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Filed Pursuant to Rule 424(B)(3)</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333-104034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prospectus dated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2926715</wp:posOffset>
            </wp:positionH>
            <wp:positionV relativeFrom="paragraph">
              <wp:posOffset>70485</wp:posOffset>
            </wp:positionV>
            <wp:extent cx="1410970" cy="361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0970"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$750,000,000 4.95% Notes due 2016</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$750,000,000 5.65%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66040</wp:posOffset>
            </wp:positionV>
            <wp:extent cx="2242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65" w:lineRule="exact"/>
        <w:rPr>
          <w:sz w:val="20"/>
          <w:szCs w:val="20"/>
          <w:color w:val="auto"/>
        </w:rPr>
      </w:pPr>
    </w:p>
    <w:p>
      <w:pPr>
        <w:ind w:right="60" w:firstLine="349"/>
        <w:spacing w:after="0" w:line="271" w:lineRule="auto"/>
        <w:rPr>
          <w:sz w:val="20"/>
          <w:szCs w:val="20"/>
          <w:color w:val="auto"/>
        </w:rPr>
      </w:pPr>
      <w:r>
        <w:rPr>
          <w:rFonts w:ascii="Arial" w:cs="Arial" w:eastAsia="Arial" w:hAnsi="Arial"/>
          <w:sz w:val="17"/>
          <w:szCs w:val="17"/>
          <w:color w:val="auto"/>
        </w:rPr>
        <w:t>We will pay interest on the notes on June 15 and December 15 of each year beginning on December 15, 2005. The notes due 2016 will bear interest at a rate of 4.95% per year and will mature on June 15, 2016. The notes due 2035 will bear interest at a rate of 5.65% per year and will mature on June 15, 2035. 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70" w:lineRule="exact"/>
        <w:rPr>
          <w:sz w:val="20"/>
          <w:szCs w:val="20"/>
          <w:color w:val="auto"/>
        </w:rPr>
      </w:pPr>
    </w:p>
    <w:p>
      <w:pPr>
        <w:ind w:firstLine="261"/>
        <w:spacing w:after="0" w:line="264" w:lineRule="auto"/>
        <w:rPr>
          <w:sz w:val="20"/>
          <w:szCs w:val="20"/>
          <w:color w:val="auto"/>
        </w:rPr>
      </w:pPr>
      <w:r>
        <w:rPr>
          <w:rFonts w:ascii="Arial" w:cs="Arial" w:eastAsia="Arial" w:hAnsi="Arial"/>
          <w:sz w:val="18"/>
          <w:szCs w:val="18"/>
          <w:color w:val="auto"/>
        </w:rPr>
        <w:t>We may redeem any of the notes at any time by paying the greater of the principal amount of the notes or a “make-whole” amount, plus, in each case, accrued interest. See “Description of the Notes and the Cable Guarantees—Optional Redemption.”</w:t>
      </w:r>
    </w:p>
    <w:p>
      <w:pPr>
        <w:spacing w:after="0" w:line="59" w:lineRule="exact"/>
        <w:rPr>
          <w:sz w:val="20"/>
          <w:szCs w:val="20"/>
          <w:color w:val="auto"/>
        </w:rPr>
      </w:pPr>
    </w:p>
    <w:p>
      <w:pPr>
        <w:ind w:right="220" w:firstLine="370"/>
        <w:spacing w:after="0" w:line="269" w:lineRule="auto"/>
        <w:rPr>
          <w:sz w:val="20"/>
          <w:szCs w:val="20"/>
          <w:color w:val="auto"/>
        </w:rPr>
      </w:pPr>
      <w:r>
        <w:rPr>
          <w:rFonts w:ascii="Arial" w:cs="Arial" w:eastAsia="Arial" w:hAnsi="Arial"/>
          <w:sz w:val="21"/>
          <w:szCs w:val="21"/>
          <w:b w:val="1"/>
          <w:bCs w:val="1"/>
          <w:color w:val="auto"/>
        </w:rPr>
        <w:t>Investing in the notes involves risks that are described in the “Risk Factors” section beginning on page 13 of our Annual Report on Form 10-K for the year ended December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43180</wp:posOffset>
            </wp:positionV>
            <wp:extent cx="2242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Price to</w:t>
            </w:r>
          </w:p>
        </w:tc>
        <w:tc>
          <w:tcPr>
            <w:tcW w:w="200" w:type="dxa"/>
            <w:vAlign w:val="bottom"/>
          </w:tcPr>
          <w:p>
            <w:pPr>
              <w:spacing w:after="0"/>
              <w:rPr>
                <w:sz w:val="14"/>
                <w:szCs w:val="14"/>
                <w:color w:val="auto"/>
              </w:rPr>
            </w:pPr>
          </w:p>
        </w:tc>
        <w:tc>
          <w:tcPr>
            <w:tcW w:w="18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Underwriters’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Proceeds to Us</w:t>
            </w:r>
          </w:p>
        </w:tc>
        <w:tc>
          <w:tcPr>
            <w:tcW w:w="0" w:type="dxa"/>
            <w:vAlign w:val="bottom"/>
          </w:tcPr>
          <w:p>
            <w:pPr>
              <w:spacing w:after="0"/>
              <w:rPr>
                <w:sz w:val="1"/>
                <w:szCs w:val="1"/>
                <w:color w:val="auto"/>
              </w:rPr>
            </w:pPr>
          </w:p>
        </w:tc>
      </w:tr>
      <w:tr>
        <w:trPr>
          <w:trHeight w:val="168"/>
        </w:trPr>
        <w:tc>
          <w:tcPr>
            <w:tcW w:w="4500" w:type="dxa"/>
            <w:vAlign w:val="bottom"/>
            <w:vMerge w:val="restart"/>
          </w:tcPr>
          <w:p>
            <w:pPr>
              <w:spacing w:after="0"/>
              <w:rPr>
                <w:sz w:val="20"/>
                <w:szCs w:val="20"/>
                <w:color w:val="auto"/>
              </w:rPr>
            </w:pPr>
            <w:r>
              <w:rPr>
                <w:rFonts w:ascii="Arial" w:cs="Arial" w:eastAsia="Arial" w:hAnsi="Arial"/>
                <w:sz w:val="18"/>
                <w:szCs w:val="18"/>
                <w:color w:val="auto"/>
              </w:rPr>
              <w:t>Per note due 2016</w:t>
            </w: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Investors(1)</w:t>
            </w: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Discount</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6"/>
              </w:rPr>
              <w:t>Before Expenses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gridSpan w:val="2"/>
          </w:tcPr>
          <w:p>
            <w:pPr>
              <w:jc w:val="right"/>
              <w:ind w:right="580"/>
              <w:spacing w:after="0" w:line="206" w:lineRule="exact"/>
              <w:rPr>
                <w:sz w:val="20"/>
                <w:szCs w:val="20"/>
                <w:color w:val="auto"/>
              </w:rPr>
            </w:pPr>
            <w:r>
              <w:rPr>
                <w:rFonts w:ascii="Arial" w:cs="Arial" w:eastAsia="Arial" w:hAnsi="Arial"/>
                <w:sz w:val="18"/>
                <w:szCs w:val="18"/>
                <w:color w:val="auto"/>
              </w:rPr>
              <w:t>99.604%</w:t>
            </w:r>
          </w:p>
        </w:tc>
        <w:tc>
          <w:tcPr>
            <w:tcW w:w="200" w:type="dxa"/>
            <w:vAlign w:val="bottom"/>
          </w:tcPr>
          <w:p>
            <w:pPr>
              <w:spacing w:after="0"/>
              <w:rPr>
                <w:sz w:val="17"/>
                <w:szCs w:val="17"/>
                <w:color w:val="auto"/>
              </w:rPr>
            </w:pPr>
          </w:p>
        </w:tc>
        <w:tc>
          <w:tcPr>
            <w:tcW w:w="1820" w:type="dxa"/>
            <w:vAlign w:val="bottom"/>
            <w:gridSpan w:val="2"/>
          </w:tcPr>
          <w:p>
            <w:pPr>
              <w:jc w:val="right"/>
              <w:ind w:right="380"/>
              <w:spacing w:after="0" w:line="206" w:lineRule="exact"/>
              <w:rPr>
                <w:sz w:val="20"/>
                <w:szCs w:val="20"/>
                <w:color w:val="auto"/>
              </w:rPr>
            </w:pPr>
            <w:r>
              <w:rPr>
                <w:rFonts w:ascii="Arial" w:cs="Arial" w:eastAsia="Arial" w:hAnsi="Arial"/>
                <w:sz w:val="18"/>
                <w:szCs w:val="18"/>
                <w:color w:val="auto"/>
              </w:rPr>
              <w:t>0.650%</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98.954%</w:t>
            </w:r>
          </w:p>
        </w:tc>
        <w:tc>
          <w:tcPr>
            <w:tcW w:w="0" w:type="dxa"/>
            <w:vAlign w:val="bottom"/>
          </w:tcPr>
          <w:p>
            <w:pPr>
              <w:spacing w:after="0"/>
              <w:rPr>
                <w:sz w:val="1"/>
                <w:szCs w:val="1"/>
                <w:color w:val="auto"/>
              </w:rPr>
            </w:pPr>
          </w:p>
        </w:tc>
      </w:tr>
      <w:tr>
        <w:trPr>
          <w:trHeight w:val="212"/>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747,030,000</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4,875,000</w:t>
            </w:r>
          </w:p>
        </w:tc>
        <w:tc>
          <w:tcPr>
            <w:tcW w:w="5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742,155,000</w:t>
            </w: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8"/>
                <w:szCs w:val="18"/>
                <w:color w:val="auto"/>
              </w:rPr>
              <w:t>Per note due 2035</w:t>
            </w:r>
          </w:p>
        </w:tc>
        <w:tc>
          <w:tcPr>
            <w:tcW w:w="200" w:type="dxa"/>
            <w:vAlign w:val="bottom"/>
          </w:tcPr>
          <w:p>
            <w:pPr>
              <w:spacing w:after="0"/>
              <w:rPr>
                <w:sz w:val="18"/>
                <w:szCs w:val="18"/>
                <w:color w:val="auto"/>
              </w:rPr>
            </w:pPr>
          </w:p>
        </w:tc>
        <w:tc>
          <w:tcPr>
            <w:tcW w:w="1940" w:type="dxa"/>
            <w:vAlign w:val="bottom"/>
            <w:gridSpan w:val="2"/>
          </w:tcPr>
          <w:p>
            <w:pPr>
              <w:jc w:val="right"/>
              <w:ind w:right="580"/>
              <w:spacing w:after="0"/>
              <w:rPr>
                <w:sz w:val="20"/>
                <w:szCs w:val="20"/>
                <w:color w:val="auto"/>
              </w:rPr>
            </w:pPr>
            <w:r>
              <w:rPr>
                <w:rFonts w:ascii="Arial" w:cs="Arial" w:eastAsia="Arial" w:hAnsi="Arial"/>
                <w:sz w:val="18"/>
                <w:szCs w:val="18"/>
                <w:color w:val="auto"/>
              </w:rPr>
              <w:t>99.769%</w:t>
            </w:r>
          </w:p>
        </w:tc>
        <w:tc>
          <w:tcPr>
            <w:tcW w:w="20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8"/>
                <w:szCs w:val="18"/>
                <w:color w:val="auto"/>
              </w:rPr>
              <w:t>0.875%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98.894%</w:t>
            </w:r>
          </w:p>
        </w:tc>
        <w:tc>
          <w:tcPr>
            <w:tcW w:w="0" w:type="dxa"/>
            <w:vAlign w:val="bottom"/>
          </w:tcPr>
          <w:p>
            <w:pPr>
              <w:spacing w:after="0"/>
              <w:rPr>
                <w:sz w:val="1"/>
                <w:szCs w:val="1"/>
                <w:color w:val="auto"/>
              </w:rPr>
            </w:pPr>
          </w:p>
        </w:tc>
      </w:tr>
      <w:tr>
        <w:trPr>
          <w:trHeight w:val="223"/>
        </w:trPr>
        <w:tc>
          <w:tcPr>
            <w:tcW w:w="450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748,267,500</w:t>
            </w:r>
          </w:p>
        </w:tc>
        <w:tc>
          <w:tcPr>
            <w:tcW w:w="7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6,562,500</w:t>
            </w:r>
          </w:p>
        </w:tc>
        <w:tc>
          <w:tcPr>
            <w:tcW w:w="5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741,705,000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60" w:hanging="572"/>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June 9, 2005, if settlement occurs after that date.</w:t>
      </w:r>
    </w:p>
    <w:p>
      <w:pPr>
        <w:spacing w:after="0" w:line="111" w:lineRule="exact"/>
        <w:rPr>
          <w:sz w:val="20"/>
          <w:szCs w:val="20"/>
          <w:color w:val="auto"/>
        </w:rPr>
      </w:pPr>
    </w:p>
    <w:p>
      <w:pPr>
        <w:ind w:right="240" w:firstLine="264"/>
        <w:spacing w:after="0" w:line="364" w:lineRule="auto"/>
        <w:rPr>
          <w:sz w:val="20"/>
          <w:szCs w:val="20"/>
          <w:color w:val="auto"/>
        </w:rPr>
      </w:pPr>
      <w:r>
        <w:rPr>
          <w:rFonts w:ascii="Arial" w:cs="Arial" w:eastAsia="Arial" w:hAnsi="Arial"/>
          <w:sz w:val="15"/>
          <w:szCs w:val="15"/>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notes will be ready for delivery only through The Depository Trust Company in book-entry form on or about June 9,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78105</wp:posOffset>
            </wp:positionV>
            <wp:extent cx="22428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5"/>
          </w:tcPr>
          <w:p>
            <w:pPr>
              <w:jc w:val="center"/>
              <w:ind w:right="540"/>
              <w:spacing w:after="0"/>
              <w:rPr>
                <w:sz w:val="20"/>
                <w:szCs w:val="20"/>
                <w:color w:val="auto"/>
              </w:rPr>
            </w:pPr>
            <w:r>
              <w:rPr>
                <w:rFonts w:ascii="Arial" w:cs="Arial" w:eastAsia="Arial" w:hAnsi="Arial"/>
                <w:sz w:val="18"/>
                <w:szCs w:val="18"/>
                <w:i w:val="1"/>
                <w:iCs w:val="1"/>
                <w:color w:val="auto"/>
                <w:w w:val="90"/>
              </w:rPr>
              <w:t>Joint Book-Running Managers</w:t>
            </w:r>
          </w:p>
        </w:tc>
        <w:tc>
          <w:tcPr>
            <w:tcW w:w="2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0"/>
        </w:trPr>
        <w:tc>
          <w:tcPr>
            <w:tcW w:w="3620" w:type="dxa"/>
            <w:vAlign w:val="bottom"/>
            <w:gridSpan w:val="13"/>
          </w:tcPr>
          <w:p>
            <w:pPr>
              <w:spacing w:after="0"/>
              <w:rPr>
                <w:sz w:val="20"/>
                <w:szCs w:val="20"/>
                <w:color w:val="auto"/>
              </w:rPr>
            </w:pPr>
            <w:r>
              <w:rPr>
                <w:rFonts w:ascii="Arial" w:cs="Arial" w:eastAsia="Arial" w:hAnsi="Arial"/>
                <w:sz w:val="23"/>
                <w:szCs w:val="23"/>
                <w:b w:val="1"/>
                <w:bCs w:val="1"/>
                <w:color w:val="auto"/>
              </w:rPr>
              <w:t>Citigroup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5"/>
          </w:tcPr>
          <w:p>
            <w:pPr>
              <w:jc w:val="center"/>
              <w:ind w:right="540"/>
              <w:spacing w:after="0"/>
              <w:rPr>
                <w:sz w:val="20"/>
                <w:szCs w:val="20"/>
                <w:color w:val="auto"/>
              </w:rPr>
            </w:pPr>
            <w:r>
              <w:rPr>
                <w:rFonts w:ascii="Arial" w:cs="Arial" w:eastAsia="Arial" w:hAnsi="Arial"/>
                <w:sz w:val="23"/>
                <w:szCs w:val="23"/>
                <w:b w:val="1"/>
                <w:bCs w:val="1"/>
                <w:color w:val="auto"/>
                <w:w w:val="91"/>
              </w:rPr>
              <w:t>Lehman Brothers</w:t>
            </w:r>
          </w:p>
        </w:tc>
        <w:tc>
          <w:tcPr>
            <w:tcW w:w="3420" w:type="dxa"/>
            <w:vAlign w:val="bottom"/>
            <w:gridSpan w:val="4"/>
          </w:tcPr>
          <w:p>
            <w:pPr>
              <w:ind w:left="1820"/>
              <w:spacing w:after="0"/>
              <w:rPr>
                <w:sz w:val="20"/>
                <w:szCs w:val="20"/>
                <w:color w:val="auto"/>
              </w:rPr>
            </w:pPr>
            <w:r>
              <w:rPr>
                <w:rFonts w:ascii="Arial" w:cs="Arial" w:eastAsia="Arial" w:hAnsi="Arial"/>
                <w:sz w:val="23"/>
                <w:szCs w:val="23"/>
                <w:b w:val="1"/>
                <w:bCs w:val="1"/>
                <w:color w:val="auto"/>
                <w:w w:val="92"/>
              </w:rPr>
              <w:t>Morgan Stanley</w:t>
            </w:r>
          </w:p>
        </w:tc>
      </w:tr>
      <w:tr>
        <w:trPr>
          <w:trHeight w:val="104"/>
        </w:trPr>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75"/>
        </w:trPr>
        <w:tc>
          <w:tcPr>
            <w:tcW w:w="40" w:type="dxa"/>
            <w:vAlign w:val="bottom"/>
          </w:tcPr>
          <w:p>
            <w:pPr>
              <w:spacing w:after="0"/>
              <w:rPr>
                <w:sz w:val="23"/>
                <w:szCs w:val="23"/>
                <w:color w:val="auto"/>
              </w:rPr>
            </w:pPr>
          </w:p>
        </w:tc>
        <w:tc>
          <w:tcPr>
            <w:tcW w:w="3580" w:type="dxa"/>
            <w:vAlign w:val="bottom"/>
            <w:gridSpan w:val="12"/>
          </w:tcPr>
          <w:p>
            <w:pPr>
              <w:jc w:val="center"/>
              <w:ind w:right="560"/>
              <w:spacing w:after="0"/>
              <w:rPr>
                <w:sz w:val="20"/>
                <w:szCs w:val="20"/>
                <w:color w:val="auto"/>
              </w:rPr>
            </w:pPr>
            <w:r>
              <w:rPr>
                <w:rFonts w:ascii="Arial" w:cs="Arial" w:eastAsia="Arial" w:hAnsi="Arial"/>
                <w:sz w:val="19"/>
                <w:szCs w:val="19"/>
                <w:b w:val="1"/>
                <w:bCs w:val="1"/>
                <w:color w:val="auto"/>
                <w:w w:val="98"/>
              </w:rPr>
              <w:t>ABN AMRO Incorporated</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80" w:type="dxa"/>
            <w:vAlign w:val="bottom"/>
            <w:gridSpan w:val="5"/>
          </w:tcPr>
          <w:p>
            <w:pPr>
              <w:jc w:val="center"/>
              <w:ind w:right="740"/>
              <w:spacing w:after="0"/>
              <w:rPr>
                <w:sz w:val="20"/>
                <w:szCs w:val="20"/>
                <w:color w:val="auto"/>
              </w:rPr>
            </w:pPr>
            <w:r>
              <w:rPr>
                <w:rFonts w:ascii="Arial" w:cs="Arial" w:eastAsia="Arial" w:hAnsi="Arial"/>
                <w:sz w:val="19"/>
                <w:szCs w:val="19"/>
                <w:b w:val="1"/>
                <w:bCs w:val="1"/>
                <w:color w:val="auto"/>
                <w:w w:val="93"/>
              </w:rPr>
              <w:t>Banc of America Securities LLC</w:t>
            </w:r>
          </w:p>
        </w:tc>
        <w:tc>
          <w:tcPr>
            <w:tcW w:w="3420" w:type="dxa"/>
            <w:vAlign w:val="bottom"/>
            <w:gridSpan w:val="4"/>
          </w:tcPr>
          <w:p>
            <w:pPr>
              <w:jc w:val="center"/>
              <w:spacing w:after="0"/>
              <w:rPr>
                <w:sz w:val="20"/>
                <w:szCs w:val="20"/>
                <w:color w:val="auto"/>
              </w:rPr>
            </w:pPr>
            <w:r>
              <w:rPr>
                <w:rFonts w:ascii="Arial" w:cs="Arial" w:eastAsia="Arial" w:hAnsi="Arial"/>
                <w:sz w:val="19"/>
                <w:szCs w:val="19"/>
                <w:b w:val="1"/>
                <w:bCs w:val="1"/>
                <w:color w:val="auto"/>
                <w:w w:val="93"/>
              </w:rPr>
              <w:t>Barclays Capital</w:t>
            </w:r>
          </w:p>
        </w:tc>
      </w:tr>
      <w:tr>
        <w:trPr>
          <w:trHeight w:val="225"/>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80" w:type="dxa"/>
            <w:vAlign w:val="bottom"/>
            <w:gridSpan w:val="11"/>
          </w:tcPr>
          <w:p>
            <w:pPr>
              <w:jc w:val="center"/>
              <w:ind w:right="1240"/>
              <w:spacing w:after="0"/>
              <w:rPr>
                <w:sz w:val="20"/>
                <w:szCs w:val="20"/>
                <w:color w:val="auto"/>
              </w:rPr>
            </w:pPr>
            <w:r>
              <w:rPr>
                <w:rFonts w:ascii="Arial" w:cs="Arial" w:eastAsia="Arial" w:hAnsi="Arial"/>
                <w:sz w:val="19"/>
                <w:szCs w:val="19"/>
                <w:b w:val="1"/>
                <w:bCs w:val="1"/>
                <w:color w:val="auto"/>
                <w:w w:val="97"/>
              </w:rPr>
              <w:t>BNP PARIBAS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5"/>
          </w:tcPr>
          <w:p>
            <w:pPr>
              <w:jc w:val="center"/>
              <w:ind w:right="720"/>
              <w:spacing w:after="0"/>
              <w:rPr>
                <w:sz w:val="20"/>
                <w:szCs w:val="20"/>
                <w:color w:val="auto"/>
              </w:rPr>
            </w:pPr>
            <w:r>
              <w:rPr>
                <w:rFonts w:ascii="Arial" w:cs="Arial" w:eastAsia="Arial" w:hAnsi="Arial"/>
                <w:sz w:val="19"/>
                <w:szCs w:val="19"/>
                <w:b w:val="1"/>
                <w:bCs w:val="1"/>
                <w:color w:val="auto"/>
                <w:w w:val="97"/>
              </w:rPr>
              <w:t>BNY Capital Markets, Inc.</w:t>
            </w:r>
          </w:p>
        </w:tc>
        <w:tc>
          <w:tcPr>
            <w:tcW w:w="3420" w:type="dxa"/>
            <w:vAlign w:val="bottom"/>
            <w:gridSpan w:val="4"/>
          </w:tcPr>
          <w:p>
            <w:pPr>
              <w:jc w:val="center"/>
              <w:spacing w:after="0"/>
              <w:rPr>
                <w:sz w:val="20"/>
                <w:szCs w:val="20"/>
                <w:color w:val="auto"/>
              </w:rPr>
            </w:pPr>
            <w:r>
              <w:rPr>
                <w:rFonts w:ascii="Arial" w:cs="Arial" w:eastAsia="Arial" w:hAnsi="Arial"/>
                <w:sz w:val="19"/>
                <w:szCs w:val="19"/>
                <w:b w:val="1"/>
                <w:bCs w:val="1"/>
                <w:color w:val="auto"/>
                <w:w w:val="89"/>
              </w:rPr>
              <w:t>Credit Suisse First Boston</w:t>
            </w:r>
          </w:p>
        </w:tc>
      </w:tr>
      <w:tr>
        <w:trPr>
          <w:trHeight w:val="225"/>
        </w:trPr>
        <w:tc>
          <w:tcPr>
            <w:tcW w:w="40" w:type="dxa"/>
            <w:vAlign w:val="bottom"/>
          </w:tcPr>
          <w:p>
            <w:pPr>
              <w:spacing w:after="0"/>
              <w:rPr>
                <w:sz w:val="19"/>
                <w:szCs w:val="19"/>
                <w:color w:val="auto"/>
              </w:rPr>
            </w:pPr>
          </w:p>
        </w:tc>
        <w:tc>
          <w:tcPr>
            <w:tcW w:w="3580" w:type="dxa"/>
            <w:vAlign w:val="bottom"/>
            <w:gridSpan w:val="12"/>
          </w:tcPr>
          <w:p>
            <w:pPr>
              <w:jc w:val="center"/>
              <w:ind w:right="560"/>
              <w:spacing w:after="0"/>
              <w:rPr>
                <w:sz w:val="20"/>
                <w:szCs w:val="20"/>
                <w:color w:val="auto"/>
              </w:rPr>
            </w:pPr>
            <w:r>
              <w:rPr>
                <w:rFonts w:ascii="Arial" w:cs="Arial" w:eastAsia="Arial" w:hAnsi="Arial"/>
                <w:sz w:val="19"/>
                <w:szCs w:val="19"/>
                <w:b w:val="1"/>
                <w:bCs w:val="1"/>
                <w:color w:val="auto"/>
                <w:w w:val="89"/>
              </w:rPr>
              <w:t>Deutsche Bank Securities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5"/>
          </w:tcPr>
          <w:p>
            <w:pPr>
              <w:jc w:val="center"/>
              <w:ind w:right="740"/>
              <w:spacing w:after="0"/>
              <w:rPr>
                <w:sz w:val="20"/>
                <w:szCs w:val="20"/>
                <w:color w:val="auto"/>
              </w:rPr>
            </w:pPr>
            <w:r>
              <w:rPr>
                <w:rFonts w:ascii="Arial" w:cs="Arial" w:eastAsia="Arial" w:hAnsi="Arial"/>
                <w:sz w:val="19"/>
                <w:szCs w:val="19"/>
                <w:b w:val="1"/>
                <w:bCs w:val="1"/>
                <w:color w:val="auto"/>
                <w:w w:val="92"/>
              </w:rPr>
              <w:t>Dresdner Kleinwort Wasserstein</w:t>
            </w:r>
          </w:p>
        </w:tc>
        <w:tc>
          <w:tcPr>
            <w:tcW w:w="3420" w:type="dxa"/>
            <w:vAlign w:val="bottom"/>
            <w:gridSpan w:val="4"/>
          </w:tcPr>
          <w:p>
            <w:pPr>
              <w:jc w:val="center"/>
              <w:spacing w:after="0"/>
              <w:rPr>
                <w:sz w:val="20"/>
                <w:szCs w:val="20"/>
                <w:color w:val="auto"/>
              </w:rPr>
            </w:pPr>
            <w:r>
              <w:rPr>
                <w:rFonts w:ascii="Arial" w:cs="Arial" w:eastAsia="Arial" w:hAnsi="Arial"/>
                <w:sz w:val="19"/>
                <w:szCs w:val="19"/>
                <w:b w:val="1"/>
                <w:bCs w:val="1"/>
                <w:color w:val="auto"/>
                <w:w w:val="97"/>
              </w:rPr>
              <w:t>JPMorgan</w:t>
            </w:r>
          </w:p>
        </w:tc>
      </w:tr>
      <w:tr>
        <w:trPr>
          <w:trHeight w:val="225"/>
        </w:trPr>
        <w:tc>
          <w:tcPr>
            <w:tcW w:w="40" w:type="dxa"/>
            <w:vAlign w:val="bottom"/>
          </w:tcPr>
          <w:p>
            <w:pPr>
              <w:spacing w:after="0"/>
              <w:rPr>
                <w:sz w:val="19"/>
                <w:szCs w:val="19"/>
                <w:color w:val="auto"/>
              </w:rPr>
            </w:pPr>
          </w:p>
        </w:tc>
        <w:tc>
          <w:tcPr>
            <w:tcW w:w="3580" w:type="dxa"/>
            <w:vAlign w:val="bottom"/>
            <w:gridSpan w:val="12"/>
          </w:tcPr>
          <w:p>
            <w:pPr>
              <w:jc w:val="center"/>
              <w:ind w:right="560"/>
              <w:spacing w:after="0"/>
              <w:rPr>
                <w:sz w:val="20"/>
                <w:szCs w:val="20"/>
                <w:color w:val="auto"/>
              </w:rPr>
            </w:pPr>
            <w:r>
              <w:rPr>
                <w:rFonts w:ascii="Arial" w:cs="Arial" w:eastAsia="Arial" w:hAnsi="Arial"/>
                <w:sz w:val="19"/>
                <w:szCs w:val="19"/>
                <w:b w:val="1"/>
                <w:bCs w:val="1"/>
                <w:color w:val="auto"/>
                <w:w w:val="97"/>
              </w:rPr>
              <w:t>Lazard Capital Markets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5"/>
          </w:tcPr>
          <w:p>
            <w:pPr>
              <w:jc w:val="center"/>
              <w:ind w:right="720"/>
              <w:spacing w:after="0"/>
              <w:rPr>
                <w:sz w:val="20"/>
                <w:szCs w:val="20"/>
                <w:color w:val="auto"/>
              </w:rPr>
            </w:pPr>
            <w:r>
              <w:rPr>
                <w:rFonts w:ascii="Arial" w:cs="Arial" w:eastAsia="Arial" w:hAnsi="Arial"/>
                <w:sz w:val="19"/>
                <w:szCs w:val="19"/>
                <w:b w:val="1"/>
                <w:bCs w:val="1"/>
                <w:color w:val="auto"/>
                <w:w w:val="99"/>
              </w:rPr>
              <w:t>Merrill Lynch &amp; Co.</w:t>
            </w:r>
          </w:p>
        </w:tc>
        <w:tc>
          <w:tcPr>
            <w:tcW w:w="3420" w:type="dxa"/>
            <w:vAlign w:val="bottom"/>
            <w:gridSpan w:val="4"/>
          </w:tcPr>
          <w:p>
            <w:pPr>
              <w:jc w:val="center"/>
              <w:spacing w:after="0"/>
              <w:rPr>
                <w:sz w:val="20"/>
                <w:szCs w:val="20"/>
                <w:color w:val="auto"/>
              </w:rPr>
            </w:pPr>
            <w:r>
              <w:rPr>
                <w:rFonts w:ascii="Arial" w:cs="Arial" w:eastAsia="Arial" w:hAnsi="Arial"/>
                <w:sz w:val="19"/>
                <w:szCs w:val="19"/>
                <w:b w:val="1"/>
                <w:bCs w:val="1"/>
                <w:color w:val="auto"/>
                <w:w w:val="93"/>
              </w:rPr>
              <w:t>RBS Greenwich Capital</w:t>
            </w:r>
          </w:p>
        </w:tc>
      </w:tr>
      <w:tr>
        <w:trPr>
          <w:trHeight w:val="253"/>
        </w:trPr>
        <w:tc>
          <w:tcPr>
            <w:tcW w:w="40" w:type="dxa"/>
            <w:vAlign w:val="bottom"/>
          </w:tcPr>
          <w:p>
            <w:pPr>
              <w:spacing w:after="0"/>
              <w:rPr>
                <w:sz w:val="21"/>
                <w:szCs w:val="21"/>
                <w:color w:val="auto"/>
              </w:rPr>
            </w:pPr>
          </w:p>
        </w:tc>
        <w:tc>
          <w:tcPr>
            <w:tcW w:w="3580" w:type="dxa"/>
            <w:vAlign w:val="bottom"/>
            <w:gridSpan w:val="12"/>
          </w:tcPr>
          <w:p>
            <w:pPr>
              <w:jc w:val="center"/>
              <w:ind w:right="540"/>
              <w:spacing w:after="0"/>
              <w:rPr>
                <w:sz w:val="20"/>
                <w:szCs w:val="20"/>
                <w:color w:val="auto"/>
              </w:rPr>
            </w:pPr>
            <w:r>
              <w:rPr>
                <w:rFonts w:ascii="Arial" w:cs="Arial" w:eastAsia="Arial" w:hAnsi="Arial"/>
                <w:sz w:val="19"/>
                <w:szCs w:val="19"/>
                <w:b w:val="1"/>
                <w:bCs w:val="1"/>
                <w:color w:val="auto"/>
                <w:w w:val="92"/>
              </w:rPr>
              <w:t>SunTrust Robinson Humphrey</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80" w:type="dxa"/>
            <w:vAlign w:val="bottom"/>
            <w:gridSpan w:val="5"/>
          </w:tcPr>
          <w:p>
            <w:pPr>
              <w:jc w:val="center"/>
              <w:ind w:right="720"/>
              <w:spacing w:after="0"/>
              <w:rPr>
                <w:sz w:val="20"/>
                <w:szCs w:val="20"/>
                <w:color w:val="auto"/>
              </w:rPr>
            </w:pPr>
            <w:r>
              <w:rPr>
                <w:rFonts w:ascii="Arial" w:cs="Arial" w:eastAsia="Arial" w:hAnsi="Arial"/>
                <w:sz w:val="19"/>
                <w:szCs w:val="19"/>
                <w:b w:val="1"/>
                <w:bCs w:val="1"/>
                <w:color w:val="auto"/>
                <w:w w:val="93"/>
              </w:rPr>
              <w:t>UBS Investment Bank</w:t>
            </w:r>
          </w:p>
        </w:tc>
        <w:tc>
          <w:tcPr>
            <w:tcW w:w="3420" w:type="dxa"/>
            <w:vAlign w:val="bottom"/>
            <w:gridSpan w:val="4"/>
          </w:tcPr>
          <w:p>
            <w:pPr>
              <w:jc w:val="center"/>
              <w:spacing w:after="0"/>
              <w:rPr>
                <w:sz w:val="20"/>
                <w:szCs w:val="20"/>
                <w:color w:val="auto"/>
              </w:rPr>
            </w:pPr>
            <w:r>
              <w:rPr>
                <w:rFonts w:ascii="Arial" w:cs="Arial" w:eastAsia="Arial" w:hAnsi="Arial"/>
                <w:sz w:val="19"/>
                <w:szCs w:val="19"/>
                <w:b w:val="1"/>
                <w:bCs w:val="1"/>
                <w:color w:val="auto"/>
                <w:w w:val="89"/>
              </w:rPr>
              <w:t>Wachovia Securities</w:t>
            </w:r>
          </w:p>
        </w:tc>
      </w:tr>
      <w:tr>
        <w:trPr>
          <w:trHeight w:val="450"/>
        </w:trPr>
        <w:tc>
          <w:tcPr>
            <w:tcW w:w="40" w:type="dxa"/>
            <w:vAlign w:val="bottom"/>
          </w:tcPr>
          <w:p>
            <w:pPr>
              <w:spacing w:after="0"/>
              <w:rPr>
                <w:sz w:val="24"/>
                <w:szCs w:val="24"/>
                <w:color w:val="auto"/>
              </w:rPr>
            </w:pPr>
          </w:p>
        </w:tc>
        <w:tc>
          <w:tcPr>
            <w:tcW w:w="3580" w:type="dxa"/>
            <w:vAlign w:val="bottom"/>
            <w:gridSpan w:val="12"/>
          </w:tcPr>
          <w:p>
            <w:pPr>
              <w:jc w:val="center"/>
              <w:ind w:right="560"/>
              <w:spacing w:after="0"/>
              <w:rPr>
                <w:sz w:val="20"/>
                <w:szCs w:val="20"/>
                <w:color w:val="auto"/>
              </w:rPr>
            </w:pPr>
            <w:r>
              <w:rPr>
                <w:rFonts w:ascii="Arial" w:cs="Arial" w:eastAsia="Arial" w:hAnsi="Arial"/>
                <w:sz w:val="19"/>
                <w:szCs w:val="19"/>
                <w:b w:val="1"/>
                <w:bCs w:val="1"/>
                <w:color w:val="auto"/>
                <w:w w:val="95"/>
              </w:rPr>
              <w:t>Guzman &amp; Company</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5"/>
          </w:tcPr>
          <w:p>
            <w:pPr>
              <w:jc w:val="center"/>
              <w:ind w:right="740"/>
              <w:spacing w:after="0"/>
              <w:rPr>
                <w:sz w:val="20"/>
                <w:szCs w:val="20"/>
                <w:color w:val="auto"/>
              </w:rPr>
            </w:pPr>
            <w:r>
              <w:rPr>
                <w:rFonts w:ascii="Arial" w:cs="Arial" w:eastAsia="Arial" w:hAnsi="Arial"/>
                <w:sz w:val="19"/>
                <w:szCs w:val="19"/>
                <w:b w:val="1"/>
                <w:bCs w:val="1"/>
                <w:color w:val="auto"/>
                <w:w w:val="96"/>
              </w:rPr>
              <w:t>Ramirez &amp; Co., Inc.</w:t>
            </w:r>
          </w:p>
        </w:tc>
        <w:tc>
          <w:tcPr>
            <w:tcW w:w="3420" w:type="dxa"/>
            <w:vAlign w:val="bottom"/>
            <w:gridSpan w:val="4"/>
          </w:tcPr>
          <w:p>
            <w:pPr>
              <w:jc w:val="center"/>
              <w:spacing w:after="0"/>
              <w:rPr>
                <w:sz w:val="20"/>
                <w:szCs w:val="20"/>
                <w:color w:val="auto"/>
              </w:rPr>
            </w:pPr>
            <w:r>
              <w:rPr>
                <w:rFonts w:ascii="Arial" w:cs="Arial" w:eastAsia="Arial" w:hAnsi="Arial"/>
                <w:sz w:val="19"/>
                <w:szCs w:val="19"/>
                <w:b w:val="1"/>
                <w:bCs w:val="1"/>
                <w:color w:val="auto"/>
                <w:w w:val="95"/>
              </w:rPr>
              <w:t>The Williams Capital Group, L.P.</w:t>
            </w:r>
          </w:p>
        </w:tc>
      </w:tr>
      <w:tr>
        <w:trPr>
          <w:trHeight w:val="41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0" w:type="dxa"/>
            <w:vAlign w:val="bottom"/>
            <w:gridSpan w:val="7"/>
          </w:tcPr>
          <w:p>
            <w:pPr>
              <w:jc w:val="center"/>
              <w:ind w:right="220"/>
              <w:spacing w:after="0"/>
              <w:rPr>
                <w:sz w:val="20"/>
                <w:szCs w:val="20"/>
                <w:color w:val="auto"/>
              </w:rPr>
            </w:pPr>
            <w:r>
              <w:rPr>
                <w:rFonts w:ascii="Arial" w:cs="Arial" w:eastAsia="Arial" w:hAnsi="Arial"/>
                <w:sz w:val="18"/>
                <w:szCs w:val="18"/>
                <w:color w:val="auto"/>
                <w:w w:val="87"/>
              </w:rPr>
              <w:t>The date of this prospectus supplement is June 6, 2005.</w:t>
            </w: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gridSpan w:val="2"/>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r>
      <w:tr>
        <w:trPr>
          <w:trHeight w:val="525"/>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6"/>
              </w:rPr>
              <w:t>TABLE OF CONTENTS</w:t>
            </w: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7"/>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5"/>
              </w:rPr>
              <w:t>Prospectus Supplement</w:t>
            </w: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2"/>
        </w:trPr>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Page</w:t>
            </w:r>
          </w:p>
        </w:tc>
        <w:tc>
          <w:tcPr>
            <w:tcW w:w="340" w:type="dxa"/>
            <w:vAlign w:val="bottom"/>
            <w:gridSpan w:val="2"/>
          </w:tcPr>
          <w:p>
            <w:pPr>
              <w:spacing w:after="0"/>
              <w:rPr>
                <w:sz w:val="23"/>
                <w:szCs w:val="23"/>
                <w:color w:val="auto"/>
              </w:rPr>
            </w:pPr>
          </w:p>
        </w:tc>
      </w:tr>
      <w:tr>
        <w:trPr>
          <w:trHeight w:val="192"/>
        </w:trPr>
        <w:tc>
          <w:tcPr>
            <w:tcW w:w="40" w:type="dxa"/>
            <w:vAlign w:val="bottom"/>
            <w:shd w:val="clear" w:color="auto" w:fill="CCEEFF"/>
          </w:tcPr>
          <w:p>
            <w:pPr>
              <w:spacing w:after="0"/>
              <w:rPr>
                <w:sz w:val="16"/>
                <w:szCs w:val="16"/>
                <w:color w:val="auto"/>
              </w:rPr>
            </w:pPr>
          </w:p>
        </w:tc>
        <w:tc>
          <w:tcPr>
            <w:tcW w:w="3580" w:type="dxa"/>
            <w:vAlign w:val="bottom"/>
            <w:gridSpan w:val="12"/>
            <w:shd w:val="clear" w:color="auto" w:fill="CCEEFF"/>
          </w:tcPr>
          <w:p>
            <w:pPr>
              <w:spacing w:after="0" w:line="17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line="172"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6"/>
                <w:szCs w:val="16"/>
                <w:color w:val="auto"/>
              </w:rPr>
            </w:pPr>
          </w:p>
        </w:tc>
      </w:tr>
      <w:tr>
        <w:trPr>
          <w:trHeight w:val="172"/>
        </w:trPr>
        <w:tc>
          <w:tcPr>
            <w:tcW w:w="40" w:type="dxa"/>
            <w:vAlign w:val="bottom"/>
            <w:tcBorders>
              <w:top w:val="single" w:sz="8" w:color="CCEEFF"/>
            </w:tcBorders>
          </w:tcPr>
          <w:p>
            <w:pPr>
              <w:spacing w:after="0"/>
              <w:rPr>
                <w:sz w:val="14"/>
                <w:szCs w:val="14"/>
                <w:color w:val="auto"/>
              </w:rPr>
            </w:pPr>
          </w:p>
        </w:tc>
        <w:tc>
          <w:tcPr>
            <w:tcW w:w="1220" w:type="dxa"/>
            <w:vAlign w:val="bottom"/>
            <w:tcBorders>
              <w:top w:val="single" w:sz="8" w:color="0000EE"/>
              <w:bottom w:val="single" w:sz="8" w:color="0000EE"/>
            </w:tcBorders>
            <w:gridSpan w:val="5"/>
          </w:tcPr>
          <w:p>
            <w:pPr>
              <w:spacing w:after="0" w:line="17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Use of Proceeds</w:t>
              </w:r>
            </w:hyperlink>
          </w:p>
        </w:tc>
        <w:tc>
          <w:tcPr>
            <w:tcW w:w="1160" w:type="dxa"/>
            <w:vAlign w:val="bottom"/>
            <w:tcBorders>
              <w:top w:val="single" w:sz="8" w:color="0000EE"/>
            </w:tcBorders>
            <w:gridSpan w:val="4"/>
          </w:tcPr>
          <w:p>
            <w:pPr>
              <w:spacing w:after="0"/>
              <w:rPr>
                <w:sz w:val="14"/>
                <w:szCs w:val="14"/>
                <w:color w:val="auto"/>
              </w:rPr>
            </w:pPr>
          </w:p>
        </w:tc>
        <w:tc>
          <w:tcPr>
            <w:tcW w:w="1200" w:type="dxa"/>
            <w:vAlign w:val="bottom"/>
            <w:tcBorders>
              <w:top w:val="single" w:sz="8" w:color="CCEEFF"/>
            </w:tcBorders>
            <w:gridSpan w:val="3"/>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16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240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gridSpan w:val="2"/>
          </w:tcPr>
          <w:p>
            <w:pPr>
              <w:jc w:val="right"/>
              <w:ind w:right="320"/>
              <w:spacing w:after="0" w:line="172" w:lineRule="exact"/>
              <w:rPr>
                <w:sz w:val="20"/>
                <w:szCs w:val="20"/>
                <w:color w:val="auto"/>
              </w:rPr>
            </w:pPr>
            <w:r>
              <w:rPr>
                <w:rFonts w:ascii="Arial" w:cs="Arial" w:eastAsia="Arial" w:hAnsi="Arial"/>
                <w:sz w:val="18"/>
                <w:szCs w:val="18"/>
                <w:color w:val="auto"/>
              </w:rPr>
              <w:t>S-4</w:t>
            </w:r>
          </w:p>
        </w:tc>
        <w:tc>
          <w:tcPr>
            <w:tcW w:w="20" w:type="dxa"/>
            <w:vAlign w:val="bottom"/>
          </w:tcPr>
          <w:p>
            <w:pPr>
              <w:spacing w:after="0"/>
              <w:rPr>
                <w:sz w:val="14"/>
                <w:szCs w:val="14"/>
                <w:color w:val="auto"/>
              </w:rPr>
            </w:pPr>
          </w:p>
        </w:tc>
      </w:tr>
      <w:tr>
        <w:trPr>
          <w:trHeight w:val="211"/>
        </w:trPr>
        <w:tc>
          <w:tcPr>
            <w:tcW w:w="40" w:type="dxa"/>
            <w:vAlign w:val="bottom"/>
            <w:tcBorders>
              <w:bottom w:val="single" w:sz="8" w:color="CCEEFF"/>
            </w:tcBorders>
            <w:shd w:val="clear" w:color="auto" w:fill="CCEEFF"/>
          </w:tcPr>
          <w:p>
            <w:pPr>
              <w:spacing w:after="0"/>
              <w:rPr>
                <w:sz w:val="18"/>
                <w:szCs w:val="18"/>
                <w:color w:val="auto"/>
              </w:rPr>
            </w:pPr>
          </w:p>
        </w:tc>
        <w:tc>
          <w:tcPr>
            <w:tcW w:w="2560" w:type="dxa"/>
            <w:vAlign w:val="bottom"/>
            <w:tcBorders>
              <w:bottom w:val="single" w:sz="8" w:color="0000EE"/>
              <w:right w:val="single" w:sz="8" w:color="CCEEFF"/>
            </w:tcBorders>
            <w:gridSpan w:val="11"/>
            <w:shd w:val="clear" w:color="auto" w:fill="CCEEFF"/>
          </w:tcPr>
          <w:p>
            <w:pPr>
              <w:spacing w:after="0" w:line="192"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Ratio of Earnings to Fixed Charges</w:t>
              </w:r>
            </w:hyperlink>
          </w:p>
        </w:tc>
        <w:tc>
          <w:tcPr>
            <w:tcW w:w="10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320"/>
              <w:spacing w:after="0" w:line="192"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8"/>
                <w:szCs w:val="18"/>
                <w:color w:val="auto"/>
              </w:rPr>
            </w:pPr>
          </w:p>
        </w:tc>
      </w:tr>
      <w:tr>
        <w:trPr>
          <w:trHeight w:val="172"/>
        </w:trPr>
        <w:tc>
          <w:tcPr>
            <w:tcW w:w="40" w:type="dxa"/>
            <w:vAlign w:val="bottom"/>
          </w:tcPr>
          <w:p>
            <w:pPr>
              <w:spacing w:after="0"/>
              <w:rPr>
                <w:sz w:val="14"/>
                <w:szCs w:val="14"/>
                <w:color w:val="auto"/>
              </w:rPr>
            </w:pPr>
          </w:p>
        </w:tc>
        <w:tc>
          <w:tcPr>
            <w:tcW w:w="3580" w:type="dxa"/>
            <w:vAlign w:val="bottom"/>
            <w:tcBorders>
              <w:bottom w:val="single" w:sz="8" w:color="0000EE"/>
            </w:tcBorders>
            <w:gridSpan w:val="12"/>
          </w:tcPr>
          <w:p>
            <w:pPr>
              <w:spacing w:after="0" w:line="172"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Description of the Notes and the Cable Guarantees</w:t>
              </w:r>
            </w:hyperlink>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0" w:type="dxa"/>
            <w:vAlign w:val="bottom"/>
            <w:gridSpan w:val="2"/>
          </w:tcPr>
          <w:p>
            <w:pPr>
              <w:jc w:val="right"/>
              <w:ind w:right="320"/>
              <w:spacing w:after="0" w:line="172" w:lineRule="exact"/>
              <w:rPr>
                <w:sz w:val="20"/>
                <w:szCs w:val="20"/>
                <w:color w:val="auto"/>
              </w:rPr>
            </w:pPr>
            <w:r>
              <w:rPr>
                <w:rFonts w:ascii="Arial" w:cs="Arial" w:eastAsia="Arial" w:hAnsi="Arial"/>
                <w:sz w:val="18"/>
                <w:szCs w:val="18"/>
                <w:color w:val="auto"/>
              </w:rPr>
              <w:t>S-5</w:t>
            </w:r>
          </w:p>
        </w:tc>
        <w:tc>
          <w:tcPr>
            <w:tcW w:w="20" w:type="dxa"/>
            <w:vAlign w:val="bottom"/>
          </w:tcPr>
          <w:p>
            <w:pPr>
              <w:spacing w:after="0"/>
              <w:rPr>
                <w:sz w:val="14"/>
                <w:szCs w:val="14"/>
                <w:color w:val="auto"/>
              </w:rPr>
            </w:pPr>
          </w:p>
        </w:tc>
      </w:tr>
      <w:tr>
        <w:trPr>
          <w:trHeight w:val="211"/>
        </w:trPr>
        <w:tc>
          <w:tcPr>
            <w:tcW w:w="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0000EE"/>
            </w:tcBorders>
            <w:gridSpan w:val="3"/>
            <w:shd w:val="clear" w:color="auto" w:fill="CCEEFF"/>
          </w:tcPr>
          <w:p>
            <w:pPr>
              <w:spacing w:after="0" w:line="192"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Underwriting</w:t>
              </w:r>
            </w:hyperlink>
          </w:p>
        </w:tc>
        <w:tc>
          <w:tcPr>
            <w:tcW w:w="2620" w:type="dxa"/>
            <w:vAlign w:val="bottom"/>
            <w:tcBorders>
              <w:bottom w:val="single" w:sz="8" w:color="CCEEFF"/>
            </w:tcBorders>
            <w:gridSpan w:val="9"/>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320"/>
              <w:spacing w:after="0" w:line="192" w:lineRule="exact"/>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r>
      <w:tr>
        <w:trPr>
          <w:trHeight w:val="172"/>
        </w:trPr>
        <w:tc>
          <w:tcPr>
            <w:tcW w:w="3620" w:type="dxa"/>
            <w:vAlign w:val="bottom"/>
            <w:gridSpan w:val="13"/>
          </w:tcPr>
          <w:p>
            <w:pPr>
              <w:ind w:left="40"/>
              <w:spacing w:after="0" w:line="172" w:lineRule="exact"/>
              <w:rPr>
                <w:rFonts w:ascii="Arial" w:cs="Arial" w:eastAsia="Arial" w:hAnsi="Arial"/>
                <w:sz w:val="18"/>
                <w:szCs w:val="18"/>
                <w:color w:val="0000EE"/>
              </w:rPr>
            </w:pPr>
            <w:hyperlink w:anchor="page15">
              <w:r>
                <w:rPr>
                  <w:rFonts w:ascii="Arial" w:cs="Arial" w:eastAsia="Arial" w:hAnsi="Arial"/>
                  <w:sz w:val="18"/>
                  <w:szCs w:val="18"/>
                  <w:color w:val="0000EE"/>
                </w:rPr>
                <w:t>Legal Matters</w:t>
              </w:r>
            </w:hyperlink>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0" w:type="dxa"/>
            <w:vAlign w:val="bottom"/>
            <w:gridSpan w:val="2"/>
          </w:tcPr>
          <w:p>
            <w:pPr>
              <w:jc w:val="right"/>
              <w:ind w:right="320"/>
              <w:spacing w:after="0" w:line="172" w:lineRule="exact"/>
              <w:rPr>
                <w:sz w:val="20"/>
                <w:szCs w:val="20"/>
                <w:color w:val="auto"/>
              </w:rPr>
            </w:pPr>
            <w:r>
              <w:rPr>
                <w:rFonts w:ascii="Arial" w:cs="Arial" w:eastAsia="Arial" w:hAnsi="Arial"/>
                <w:sz w:val="18"/>
                <w:szCs w:val="18"/>
                <w:color w:val="auto"/>
              </w:rPr>
              <w:t>S-11</w:t>
            </w:r>
          </w:p>
        </w:tc>
        <w:tc>
          <w:tcPr>
            <w:tcW w:w="20" w:type="dxa"/>
            <w:vAlign w:val="bottom"/>
          </w:tcPr>
          <w:p>
            <w:pPr>
              <w:spacing w:after="0"/>
              <w:rPr>
                <w:sz w:val="14"/>
                <w:szCs w:val="14"/>
                <w:color w:val="auto"/>
              </w:rPr>
            </w:pPr>
          </w:p>
        </w:tc>
      </w:tr>
      <w:tr>
        <w:trPr>
          <w:trHeight w:val="231"/>
        </w:trPr>
        <w:tc>
          <w:tcPr>
            <w:tcW w:w="4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2"/>
        </w:trPr>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940" w:type="dxa"/>
            <w:vAlign w:val="bottom"/>
            <w:gridSpan w:val="4"/>
            <w:shd w:val="clear" w:color="auto" w:fill="CCEEFF"/>
          </w:tcPr>
          <w:p>
            <w:pPr>
              <w:jc w:val="center"/>
              <w:ind w:right="1680"/>
              <w:spacing w:after="0"/>
              <w:rPr>
                <w:sz w:val="20"/>
                <w:szCs w:val="20"/>
                <w:color w:val="auto"/>
              </w:rPr>
            </w:pPr>
            <w:r>
              <w:rPr>
                <w:rFonts w:ascii="Arial" w:cs="Arial" w:eastAsia="Arial" w:hAnsi="Arial"/>
                <w:sz w:val="18"/>
                <w:szCs w:val="18"/>
                <w:b w:val="1"/>
                <w:bCs w:val="1"/>
                <w:color w:val="auto"/>
                <w:w w:val="83"/>
              </w:rPr>
              <w:t>Prospectus</w:t>
            </w: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2"/>
        </w:trPr>
        <w:tc>
          <w:tcPr>
            <w:tcW w:w="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0000EE"/>
            </w:tcBorders>
            <w:shd w:val="clear" w:color="auto" w:fill="CCEEFF"/>
          </w:tcPr>
          <w:p>
            <w:pPr>
              <w:spacing w:after="0" w:line="172"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Summary</w:t>
              </w:r>
            </w:hyperlink>
          </w:p>
        </w:tc>
        <w:tc>
          <w:tcPr>
            <w:tcW w:w="2880" w:type="dxa"/>
            <w:vAlign w:val="bottom"/>
            <w:tcBorders>
              <w:bottom w:val="single" w:sz="8" w:color="CCEEFF"/>
            </w:tcBorders>
            <w:gridSpan w:val="11"/>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gridSpan w:val="3"/>
            <w:shd w:val="clear" w:color="auto" w:fill="CCEEFF"/>
          </w:tcPr>
          <w:p>
            <w:pPr>
              <w:jc w:val="right"/>
              <w:ind w:right="320"/>
              <w:spacing w:after="0" w:line="17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r>
      <w:tr>
        <w:trPr>
          <w:trHeight w:val="182"/>
        </w:trPr>
        <w:tc>
          <w:tcPr>
            <w:tcW w:w="40" w:type="dxa"/>
            <w:vAlign w:val="bottom"/>
          </w:tcPr>
          <w:p>
            <w:pPr>
              <w:spacing w:after="0"/>
              <w:rPr>
                <w:sz w:val="15"/>
                <w:szCs w:val="15"/>
                <w:color w:val="auto"/>
              </w:rPr>
            </w:pPr>
          </w:p>
        </w:tc>
        <w:tc>
          <w:tcPr>
            <w:tcW w:w="900" w:type="dxa"/>
            <w:vAlign w:val="bottom"/>
            <w:tcBorders>
              <w:bottom w:val="single" w:sz="8" w:color="0000EE"/>
            </w:tcBorders>
            <w:gridSpan w:val="2"/>
          </w:tcPr>
          <w:p>
            <w:pPr>
              <w:spacing w:after="0" w:line="172"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2680" w:type="dxa"/>
            <w:vAlign w:val="bottom"/>
            <w:gridSpan w:val="10"/>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0" w:type="dxa"/>
            <w:vAlign w:val="bottom"/>
            <w:gridSpan w:val="3"/>
          </w:tcPr>
          <w:p>
            <w:pPr>
              <w:jc w:val="right"/>
              <w:ind w:right="320"/>
              <w:spacing w:after="0" w:line="17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7980" w:type="dxa"/>
            <w:vAlign w:val="bottom"/>
            <w:gridSpan w:val="19"/>
            <w:shd w:val="clear" w:color="auto" w:fill="CCEEFF"/>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Special Note Regarding Forward-Looking Statements</w:t>
              </w:r>
            </w:hyperlink>
          </w:p>
        </w:tc>
        <w:tc>
          <w:tcPr>
            <w:tcW w:w="3400" w:type="dxa"/>
            <w:vAlign w:val="bottom"/>
            <w:gridSpan w:val="3"/>
            <w:shd w:val="clear" w:color="auto" w:fill="CCEEFF"/>
          </w:tcPr>
          <w:p>
            <w:pPr>
              <w:jc w:val="right"/>
              <w:ind w:right="320"/>
              <w:spacing w:after="0" w:line="18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7"/>
                <w:szCs w:val="17"/>
                <w:color w:val="auto"/>
              </w:rPr>
            </w:pPr>
          </w:p>
        </w:tc>
      </w:tr>
      <w:tr>
        <w:trPr>
          <w:trHeight w:val="182"/>
        </w:trPr>
        <w:tc>
          <w:tcPr>
            <w:tcW w:w="40" w:type="dxa"/>
            <w:vAlign w:val="bottom"/>
            <w:tcBorders>
              <w:top w:val="single" w:sz="8" w:color="CCEEFF"/>
            </w:tcBorders>
          </w:tcPr>
          <w:p>
            <w:pPr>
              <w:spacing w:after="0"/>
              <w:rPr>
                <w:sz w:val="15"/>
                <w:szCs w:val="15"/>
                <w:color w:val="auto"/>
              </w:rPr>
            </w:pPr>
          </w:p>
        </w:tc>
        <w:tc>
          <w:tcPr>
            <w:tcW w:w="1220" w:type="dxa"/>
            <w:vAlign w:val="bottom"/>
            <w:tcBorders>
              <w:top w:val="single" w:sz="8" w:color="0000EE"/>
              <w:bottom w:val="single" w:sz="8" w:color="0000EE"/>
            </w:tcBorders>
            <w:gridSpan w:val="5"/>
          </w:tcPr>
          <w:p>
            <w:pPr>
              <w:spacing w:after="0" w:line="172"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Use of Proceeds</w:t>
              </w:r>
            </w:hyperlink>
          </w:p>
        </w:tc>
        <w:tc>
          <w:tcPr>
            <w:tcW w:w="2360" w:type="dxa"/>
            <w:vAlign w:val="bottom"/>
            <w:tcBorders>
              <w:top w:val="single" w:sz="8" w:color="0000EE"/>
            </w:tcBorders>
            <w:gridSpan w:val="7"/>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400" w:type="dxa"/>
            <w:vAlign w:val="bottom"/>
            <w:tcBorders>
              <w:top w:val="single" w:sz="8" w:color="CCEEFF"/>
            </w:tcBorders>
            <w:gridSpan w:val="3"/>
          </w:tcPr>
          <w:p>
            <w:pPr>
              <w:jc w:val="right"/>
              <w:ind w:right="320"/>
              <w:spacing w:after="0" w:line="17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r>
      <w:tr>
        <w:trPr>
          <w:trHeight w:val="182"/>
        </w:trPr>
        <w:tc>
          <w:tcPr>
            <w:tcW w:w="40" w:type="dxa"/>
            <w:vAlign w:val="bottom"/>
            <w:shd w:val="clear" w:color="auto" w:fill="CCEEFF"/>
          </w:tcPr>
          <w:p>
            <w:pPr>
              <w:spacing w:after="0"/>
              <w:rPr>
                <w:sz w:val="15"/>
                <w:szCs w:val="15"/>
                <w:color w:val="auto"/>
              </w:rPr>
            </w:pPr>
          </w:p>
        </w:tc>
        <w:tc>
          <w:tcPr>
            <w:tcW w:w="3580" w:type="dxa"/>
            <w:vAlign w:val="bottom"/>
            <w:gridSpan w:val="12"/>
            <w:shd w:val="clear" w:color="auto" w:fill="CCEEFF"/>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Dividend Policy</w:t>
              </w:r>
            </w:hyperlink>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0" w:type="dxa"/>
            <w:vAlign w:val="bottom"/>
            <w:gridSpan w:val="3"/>
            <w:shd w:val="clear" w:color="auto" w:fill="CCEEFF"/>
          </w:tcPr>
          <w:p>
            <w:pPr>
              <w:jc w:val="right"/>
              <w:ind w:right="320"/>
              <w:spacing w:after="0" w:line="18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5"/>
                <w:szCs w:val="15"/>
                <w:color w:val="auto"/>
              </w:rPr>
            </w:pPr>
          </w:p>
        </w:tc>
      </w:tr>
      <w:tr>
        <w:trPr>
          <w:trHeight w:val="40"/>
        </w:trPr>
        <w:tc>
          <w:tcPr>
            <w:tcW w:w="4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CCEEFF"/>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3580" w:type="dxa"/>
            <w:vAlign w:val="bottom"/>
            <w:gridSpan w:val="12"/>
          </w:tcPr>
          <w:p>
            <w:pPr>
              <w:spacing w:after="0" w:line="172" w:lineRule="exact"/>
              <w:rPr>
                <w:rFonts w:ascii="Arial" w:cs="Arial" w:eastAsia="Arial" w:hAnsi="Arial"/>
                <w:sz w:val="18"/>
                <w:szCs w:val="18"/>
                <w:color w:val="0000EE"/>
              </w:rPr>
            </w:pPr>
            <w:hyperlink w:anchor="page29">
              <w:r>
                <w:rPr>
                  <w:rFonts w:ascii="Arial" w:cs="Arial" w:eastAsia="Arial" w:hAnsi="Arial"/>
                  <w:sz w:val="18"/>
                  <w:szCs w:val="18"/>
                  <w:color w:val="0000EE"/>
                </w:rPr>
                <w:t>Ratios of Earnings to Fixed Charges</w:t>
              </w:r>
            </w:hyperlink>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0" w:type="dxa"/>
            <w:vAlign w:val="bottom"/>
            <w:gridSpan w:val="3"/>
          </w:tcPr>
          <w:p>
            <w:pPr>
              <w:jc w:val="right"/>
              <w:ind w:right="320"/>
              <w:spacing w:after="0" w:line="172"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2"/>
        </w:trPr>
        <w:tc>
          <w:tcPr>
            <w:tcW w:w="40" w:type="dxa"/>
            <w:vAlign w:val="bottom"/>
            <w:shd w:val="clear" w:color="auto" w:fill="CCEEFF"/>
          </w:tcPr>
          <w:p>
            <w:pPr>
              <w:spacing w:after="0"/>
              <w:rPr>
                <w:sz w:val="15"/>
                <w:szCs w:val="15"/>
                <w:color w:val="auto"/>
              </w:rPr>
            </w:pPr>
          </w:p>
        </w:tc>
        <w:tc>
          <w:tcPr>
            <w:tcW w:w="7980" w:type="dxa"/>
            <w:vAlign w:val="bottom"/>
            <w:gridSpan w:val="19"/>
            <w:shd w:val="clear" w:color="auto" w:fill="CCEEFF"/>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Ratio of Earnings to Combined Fixed Charges and Preferred Dividends</w:t>
              </w:r>
            </w:hyperlink>
          </w:p>
        </w:tc>
        <w:tc>
          <w:tcPr>
            <w:tcW w:w="30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0"/>
        </w:trPr>
        <w:tc>
          <w:tcPr>
            <w:tcW w:w="4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140" w:type="dxa"/>
            <w:vAlign w:val="bottom"/>
            <w:shd w:val="clear" w:color="auto" w:fill="0000EE"/>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7980" w:type="dxa"/>
            <w:vAlign w:val="bottom"/>
            <w:gridSpan w:val="19"/>
          </w:tcPr>
          <w:p>
            <w:pPr>
              <w:spacing w:after="0" w:line="172" w:lineRule="exact"/>
              <w:rPr>
                <w:rFonts w:ascii="Arial" w:cs="Arial" w:eastAsia="Arial" w:hAnsi="Arial"/>
                <w:sz w:val="18"/>
                <w:szCs w:val="18"/>
                <w:color w:val="0000EE"/>
              </w:rPr>
            </w:pPr>
            <w:hyperlink w:anchor="page31">
              <w:r>
                <w:rPr>
                  <w:rFonts w:ascii="Arial" w:cs="Arial" w:eastAsia="Arial" w:hAnsi="Arial"/>
                  <w:sz w:val="18"/>
                  <w:szCs w:val="18"/>
                  <w:color w:val="0000EE"/>
                </w:rPr>
                <w:t>Unaudited Pro Forma Combined Condensed Statement of Operations of Comcast Corporation</w:t>
              </w:r>
            </w:hyperlink>
          </w:p>
        </w:tc>
        <w:tc>
          <w:tcPr>
            <w:tcW w:w="3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13</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
        </w:trPr>
        <w:tc>
          <w:tcPr>
            <w:tcW w:w="40" w:type="dxa"/>
            <w:vAlign w:val="bottom"/>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6660" w:type="dxa"/>
            <w:vAlign w:val="bottom"/>
            <w:tcBorders>
              <w:bottom w:val="single" w:sz="8" w:color="0000EE"/>
            </w:tcBorders>
            <w:gridSpan w:val="17"/>
            <w:shd w:val="clear" w:color="auto" w:fill="CCEEFF"/>
          </w:tcPr>
          <w:p>
            <w:pPr>
              <w:spacing w:after="0" w:line="182"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Description of the Senior Debt Securities, Subordinated Debt Securities and Cable Guarantees</w:t>
              </w:r>
            </w:hyperlink>
          </w:p>
        </w:tc>
        <w:tc>
          <w:tcPr>
            <w:tcW w:w="1320" w:type="dxa"/>
            <w:vAlign w:val="bottom"/>
            <w:tcBorders>
              <w:bottom w:val="single" w:sz="8" w:color="CCEEFF"/>
            </w:tcBorders>
            <w:gridSpan w:val="2"/>
            <w:shd w:val="clear" w:color="auto" w:fill="CCEEFF"/>
          </w:tcPr>
          <w:p>
            <w:pPr>
              <w:spacing w:after="0"/>
              <w:rPr>
                <w:sz w:val="17"/>
                <w:szCs w:val="17"/>
                <w:color w:val="auto"/>
              </w:rPr>
            </w:pPr>
          </w:p>
        </w:tc>
        <w:tc>
          <w:tcPr>
            <w:tcW w:w="308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40" w:type="dxa"/>
            <w:vAlign w:val="bottom"/>
          </w:tcPr>
          <w:p>
            <w:pPr>
              <w:spacing w:after="0"/>
              <w:rPr>
                <w:sz w:val="15"/>
                <w:szCs w:val="15"/>
                <w:color w:val="auto"/>
              </w:rPr>
            </w:pPr>
          </w:p>
        </w:tc>
        <w:tc>
          <w:tcPr>
            <w:tcW w:w="1700" w:type="dxa"/>
            <w:vAlign w:val="bottom"/>
            <w:tcBorders>
              <w:bottom w:val="single" w:sz="8" w:color="0000EE"/>
            </w:tcBorders>
            <w:gridSpan w:val="7"/>
          </w:tcPr>
          <w:p>
            <w:pPr>
              <w:spacing w:after="0" w:line="17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Warrants</w:t>
              </w:r>
            </w:hyperlink>
          </w:p>
        </w:tc>
        <w:tc>
          <w:tcPr>
            <w:tcW w:w="188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29</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3580" w:type="dxa"/>
            <w:vAlign w:val="bottom"/>
            <w:gridSpan w:val="12"/>
            <w:shd w:val="clear" w:color="auto" w:fill="CCEEFF"/>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Purchase Contracts</w:t>
              </w:r>
            </w:hyperlink>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40" w:type="dxa"/>
            <w:vAlign w:val="bottom"/>
            <w:tcBorders>
              <w:top w:val="single" w:sz="8" w:color="CCEEFF"/>
            </w:tcBorders>
          </w:tcPr>
          <w:p>
            <w:pPr>
              <w:spacing w:after="0"/>
              <w:rPr>
                <w:sz w:val="15"/>
                <w:szCs w:val="15"/>
                <w:color w:val="auto"/>
              </w:rPr>
            </w:pPr>
          </w:p>
        </w:tc>
        <w:tc>
          <w:tcPr>
            <w:tcW w:w="2420" w:type="dxa"/>
            <w:vAlign w:val="bottom"/>
            <w:tcBorders>
              <w:top w:val="single" w:sz="8" w:color="0000EE"/>
            </w:tcBorders>
            <w:gridSpan w:val="10"/>
          </w:tcPr>
          <w:p>
            <w:pPr>
              <w:spacing w:after="0" w:line="172"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Units</w:t>
              </w:r>
            </w:hyperlink>
          </w:p>
        </w:tc>
        <w:tc>
          <w:tcPr>
            <w:tcW w:w="1160" w:type="dxa"/>
            <w:vAlign w:val="bottom"/>
            <w:tcBorders>
              <w:top w:val="single" w:sz="8" w:color="CCEEFF"/>
            </w:tcBorders>
            <w:gridSpan w:val="2"/>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3080" w:type="dxa"/>
            <w:vAlign w:val="bottom"/>
            <w:tcBorders>
              <w:top w:val="single" w:sz="8" w:color="CCEEFF"/>
            </w:tcBorders>
            <w:gridSpan w:val="2"/>
          </w:tcPr>
          <w:p>
            <w:pPr>
              <w:jc w:val="right"/>
              <w:spacing w:after="0" w:line="172" w:lineRule="exact"/>
              <w:rPr>
                <w:sz w:val="20"/>
                <w:szCs w:val="20"/>
                <w:color w:val="auto"/>
              </w:rPr>
            </w:pPr>
            <w:r>
              <w:rPr>
                <w:rFonts w:ascii="Arial" w:cs="Arial" w:eastAsia="Arial" w:hAnsi="Arial"/>
                <w:sz w:val="18"/>
                <w:szCs w:val="18"/>
                <w:color w:val="auto"/>
              </w:rPr>
              <w:t>30</w:t>
            </w:r>
          </w:p>
        </w:tc>
        <w:tc>
          <w:tcPr>
            <w:tcW w:w="32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40" w:type="dxa"/>
            <w:vAlign w:val="bottom"/>
            <w:shd w:val="clear" w:color="auto" w:fill="CCEEFF"/>
          </w:tcPr>
          <w:p>
            <w:pPr>
              <w:spacing w:after="0"/>
              <w:rPr>
                <w:sz w:val="15"/>
                <w:szCs w:val="15"/>
                <w:color w:val="auto"/>
              </w:rPr>
            </w:pPr>
          </w:p>
        </w:tc>
        <w:tc>
          <w:tcPr>
            <w:tcW w:w="1440" w:type="dxa"/>
            <w:vAlign w:val="bottom"/>
            <w:tcBorders>
              <w:top w:val="single" w:sz="8" w:color="0000EE"/>
            </w:tcBorders>
            <w:gridSpan w:val="6"/>
            <w:shd w:val="clear" w:color="auto" w:fill="CCEEFF"/>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Global Securities</w:t>
              </w:r>
            </w:hyperlink>
          </w:p>
        </w:tc>
        <w:tc>
          <w:tcPr>
            <w:tcW w:w="2140" w:type="dxa"/>
            <w:vAlign w:val="bottom"/>
            <w:gridSpan w:val="6"/>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40"/>
        </w:trPr>
        <w:tc>
          <w:tcPr>
            <w:tcW w:w="40" w:type="dxa"/>
            <w:vAlign w:val="bottom"/>
            <w:shd w:val="clear" w:color="auto" w:fill="CCEEFF"/>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4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82"/>
        </w:trPr>
        <w:tc>
          <w:tcPr>
            <w:tcW w:w="40" w:type="dxa"/>
            <w:vAlign w:val="bottom"/>
          </w:tcPr>
          <w:p>
            <w:pPr>
              <w:spacing w:after="0"/>
              <w:rPr>
                <w:sz w:val="15"/>
                <w:szCs w:val="15"/>
                <w:color w:val="auto"/>
              </w:rPr>
            </w:pPr>
          </w:p>
        </w:tc>
        <w:tc>
          <w:tcPr>
            <w:tcW w:w="3580" w:type="dxa"/>
            <w:vAlign w:val="bottom"/>
            <w:gridSpan w:val="12"/>
          </w:tcPr>
          <w:p>
            <w:pPr>
              <w:spacing w:after="0" w:line="172"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Preferred Stock</w:t>
              </w:r>
            </w:hyperlink>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8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4"/>
        </w:trPr>
        <w:tc>
          <w:tcPr>
            <w:tcW w:w="40" w:type="dxa"/>
            <w:vAlign w:val="bottom"/>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right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tcBorders>
              <w:right w:val="single" w:sz="8" w:color="CCEEFF"/>
            </w:tcBorders>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-3866515</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-3866515</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900" w:orient="portrait"/>
          <w:cols w:equalWidth="0" w:num="1">
            <w:col w:w="11420"/>
          </w:cols>
          <w:pgMar w:left="240" w:top="122"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40" w:type="dxa"/>
            <w:vAlign w:val="bottom"/>
            <w:tcBorders>
              <w:bottom w:val="single" w:sz="8" w:color="CCEEFF"/>
            </w:tcBorders>
            <w:shd w:val="clear" w:color="auto" w:fill="CCEEFF"/>
          </w:tcPr>
          <w:p>
            <w:pPr>
              <w:spacing w:after="0"/>
              <w:rPr>
                <w:sz w:val="19"/>
                <w:szCs w:val="19"/>
                <w:color w:val="auto"/>
              </w:rPr>
            </w:pPr>
          </w:p>
        </w:tc>
        <w:tc>
          <w:tcPr>
            <w:tcW w:w="236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Description of Depositary Shares</w:t>
              </w:r>
            </w:hyperlink>
          </w:p>
        </w:tc>
        <w:tc>
          <w:tcPr>
            <w:tcW w:w="1180" w:type="dxa"/>
            <w:vAlign w:val="bottom"/>
            <w:tcBorders>
              <w:bottom w:val="single" w:sz="8" w:color="CCEEFF"/>
            </w:tcBorders>
            <w:gridSpan w:val="2"/>
            <w:shd w:val="clear" w:color="auto" w:fill="CCEEFF"/>
          </w:tcPr>
          <w:p>
            <w:pPr>
              <w:spacing w:after="0"/>
              <w:rPr>
                <w:sz w:val="19"/>
                <w:szCs w:val="19"/>
                <w:color w:val="auto"/>
              </w:rPr>
            </w:pPr>
          </w:p>
        </w:tc>
        <w:tc>
          <w:tcPr>
            <w:tcW w:w="78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33</w:t>
            </w:r>
          </w:p>
        </w:tc>
      </w:tr>
      <w:tr>
        <w:trPr>
          <w:trHeight w:val="172"/>
        </w:trPr>
        <w:tc>
          <w:tcPr>
            <w:tcW w:w="40" w:type="dxa"/>
            <w:vAlign w:val="bottom"/>
          </w:tcPr>
          <w:p>
            <w:pPr>
              <w:spacing w:after="0"/>
              <w:rPr>
                <w:sz w:val="14"/>
                <w:szCs w:val="14"/>
                <w:color w:val="auto"/>
              </w:rPr>
            </w:pPr>
          </w:p>
        </w:tc>
        <w:tc>
          <w:tcPr>
            <w:tcW w:w="3540" w:type="dxa"/>
            <w:vAlign w:val="bottom"/>
            <w:gridSpan w:val="8"/>
          </w:tcPr>
          <w:p>
            <w:pPr>
              <w:spacing w:after="0" w:line="172"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Common Stock</w:t>
              </w:r>
            </w:hyperlink>
          </w:p>
        </w:tc>
        <w:tc>
          <w:tcPr>
            <w:tcW w:w="7840" w:type="dxa"/>
            <w:vAlign w:val="bottom"/>
          </w:tcPr>
          <w:p>
            <w:pPr>
              <w:jc w:val="right"/>
              <w:ind w:right="232"/>
              <w:spacing w:after="0" w:line="172" w:lineRule="exact"/>
              <w:rPr>
                <w:sz w:val="20"/>
                <w:szCs w:val="20"/>
                <w:color w:val="auto"/>
              </w:rPr>
            </w:pPr>
            <w:r>
              <w:rPr>
                <w:rFonts w:ascii="Arial" w:cs="Arial" w:eastAsia="Arial" w:hAnsi="Arial"/>
                <w:sz w:val="18"/>
                <w:szCs w:val="18"/>
                <w:color w:val="auto"/>
              </w:rPr>
              <w:t>35</w:t>
            </w: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40" w:type="dxa"/>
            <w:vAlign w:val="bottom"/>
          </w:tcPr>
          <w:p>
            <w:pPr>
              <w:spacing w:after="0"/>
              <w:rPr>
                <w:sz w:val="2"/>
                <w:szCs w:val="2"/>
                <w:color w:val="auto"/>
              </w:rPr>
            </w:pPr>
          </w:p>
        </w:tc>
      </w:tr>
      <w:tr>
        <w:trPr>
          <w:trHeight w:val="202"/>
        </w:trPr>
        <w:tc>
          <w:tcPr>
            <w:tcW w:w="40" w:type="dxa"/>
            <w:vAlign w:val="bottom"/>
            <w:shd w:val="clear" w:color="auto" w:fill="CCEEFF"/>
          </w:tcPr>
          <w:p>
            <w:pPr>
              <w:spacing w:after="0"/>
              <w:rPr>
                <w:sz w:val="17"/>
                <w:szCs w:val="17"/>
                <w:color w:val="auto"/>
              </w:rPr>
            </w:pPr>
          </w:p>
        </w:tc>
        <w:tc>
          <w:tcPr>
            <w:tcW w:w="3540" w:type="dxa"/>
            <w:vAlign w:val="bottom"/>
            <w:gridSpan w:val="8"/>
            <w:shd w:val="clear" w:color="auto" w:fill="CCEEFF"/>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Shareholder Rights Plan</w:t>
              </w:r>
            </w:hyperlink>
          </w:p>
        </w:tc>
        <w:tc>
          <w:tcPr>
            <w:tcW w:w="7840" w:type="dxa"/>
            <w:vAlign w:val="bottom"/>
            <w:shd w:val="clear" w:color="auto" w:fill="CCEEFF"/>
          </w:tcPr>
          <w:p>
            <w:pPr>
              <w:jc w:val="right"/>
              <w:ind w:right="232"/>
              <w:spacing w:after="0" w:line="182" w:lineRule="exact"/>
              <w:rPr>
                <w:sz w:val="20"/>
                <w:szCs w:val="20"/>
                <w:color w:val="auto"/>
              </w:rPr>
            </w:pPr>
            <w:r>
              <w:rPr>
                <w:rFonts w:ascii="Arial" w:cs="Arial" w:eastAsia="Arial" w:hAnsi="Arial"/>
                <w:sz w:val="18"/>
                <w:szCs w:val="18"/>
                <w:color w:val="auto"/>
              </w:rPr>
              <w:t>38</w:t>
            </w:r>
          </w:p>
        </w:tc>
      </w:tr>
      <w:tr>
        <w:trPr>
          <w:trHeight w:val="182"/>
        </w:trPr>
        <w:tc>
          <w:tcPr>
            <w:tcW w:w="40" w:type="dxa"/>
            <w:vAlign w:val="bottom"/>
            <w:tcBorders>
              <w:top w:val="single" w:sz="8" w:color="CCEEFF"/>
            </w:tcBorders>
          </w:tcPr>
          <w:p>
            <w:pPr>
              <w:spacing w:after="0"/>
              <w:rPr>
                <w:sz w:val="15"/>
                <w:szCs w:val="15"/>
                <w:color w:val="auto"/>
              </w:rPr>
            </w:pPr>
          </w:p>
        </w:tc>
        <w:tc>
          <w:tcPr>
            <w:tcW w:w="1420" w:type="dxa"/>
            <w:vAlign w:val="bottom"/>
            <w:tcBorders>
              <w:top w:val="single" w:sz="8" w:color="0000EE"/>
              <w:bottom w:val="single" w:sz="8" w:color="0000EE"/>
            </w:tcBorders>
            <w:gridSpan w:val="3"/>
          </w:tcPr>
          <w:p>
            <w:pPr>
              <w:spacing w:after="0" w:line="172" w:lineRule="exact"/>
              <w:rPr>
                <w:rFonts w:ascii="Arial" w:cs="Arial" w:eastAsia="Arial" w:hAnsi="Arial"/>
                <w:sz w:val="18"/>
                <w:szCs w:val="18"/>
                <w:color w:val="0000EE"/>
                <w:w w:val="92"/>
              </w:rPr>
            </w:pPr>
            <w:hyperlink w:anchor="page59">
              <w:r>
                <w:rPr>
                  <w:rFonts w:ascii="Arial" w:cs="Arial" w:eastAsia="Arial" w:hAnsi="Arial"/>
                  <w:sz w:val="18"/>
                  <w:szCs w:val="18"/>
                  <w:color w:val="0000EE"/>
                  <w:w w:val="92"/>
                </w:rPr>
                <w:t>Plan of Distribution</w:t>
              </w:r>
            </w:hyperlink>
          </w:p>
        </w:tc>
        <w:tc>
          <w:tcPr>
            <w:tcW w:w="1360" w:type="dxa"/>
            <w:vAlign w:val="bottom"/>
            <w:tcBorders>
              <w:top w:val="single" w:sz="8" w:color="0000EE"/>
            </w:tcBorders>
            <w:gridSpan w:val="4"/>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7840" w:type="dxa"/>
            <w:vAlign w:val="bottom"/>
            <w:tcBorders>
              <w:top w:val="single" w:sz="8" w:color="CCEEFF"/>
            </w:tcBorders>
          </w:tcPr>
          <w:p>
            <w:pPr>
              <w:jc w:val="right"/>
              <w:ind w:right="232"/>
              <w:spacing w:after="0" w:line="172" w:lineRule="exact"/>
              <w:rPr>
                <w:sz w:val="20"/>
                <w:szCs w:val="20"/>
                <w:color w:val="auto"/>
              </w:rPr>
            </w:pPr>
            <w:r>
              <w:rPr>
                <w:rFonts w:ascii="Arial" w:cs="Arial" w:eastAsia="Arial" w:hAnsi="Arial"/>
                <w:sz w:val="18"/>
                <w:szCs w:val="18"/>
                <w:color w:val="auto"/>
              </w:rPr>
              <w:t>41</w:t>
            </w: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2"/>
            <w:shd w:val="clear" w:color="auto" w:fill="CCEEFF"/>
          </w:tcPr>
          <w:p>
            <w:pPr>
              <w:spacing w:after="0" w:line="18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Legal Matters</w:t>
              </w:r>
            </w:hyperlink>
          </w:p>
        </w:tc>
        <w:tc>
          <w:tcPr>
            <w:tcW w:w="2540" w:type="dxa"/>
            <w:vAlign w:val="bottom"/>
            <w:tcBorders>
              <w:bottom w:val="single" w:sz="8" w:color="CCEEFF"/>
            </w:tcBorders>
            <w:gridSpan w:val="6"/>
            <w:shd w:val="clear" w:color="auto" w:fill="CCEEFF"/>
          </w:tcPr>
          <w:p>
            <w:pPr>
              <w:spacing w:after="0"/>
              <w:rPr>
                <w:sz w:val="17"/>
                <w:szCs w:val="17"/>
                <w:color w:val="auto"/>
              </w:rPr>
            </w:pPr>
          </w:p>
        </w:tc>
        <w:tc>
          <w:tcPr>
            <w:tcW w:w="7840" w:type="dxa"/>
            <w:vAlign w:val="bottom"/>
            <w:tcBorders>
              <w:bottom w:val="single" w:sz="8" w:color="CCEEFF"/>
            </w:tcBorders>
            <w:shd w:val="clear" w:color="auto" w:fill="CCEEFF"/>
          </w:tcPr>
          <w:p>
            <w:pPr>
              <w:jc w:val="right"/>
              <w:ind w:right="232"/>
              <w:spacing w:after="0" w:line="182" w:lineRule="exact"/>
              <w:rPr>
                <w:sz w:val="20"/>
                <w:szCs w:val="20"/>
                <w:color w:val="auto"/>
              </w:rPr>
            </w:pPr>
            <w:r>
              <w:rPr>
                <w:rFonts w:ascii="Arial" w:cs="Arial" w:eastAsia="Arial" w:hAnsi="Arial"/>
                <w:sz w:val="18"/>
                <w:szCs w:val="18"/>
                <w:color w:val="auto"/>
              </w:rPr>
              <w:t>41</w:t>
            </w:r>
          </w:p>
        </w:tc>
      </w:tr>
      <w:tr>
        <w:trPr>
          <w:trHeight w:val="172"/>
        </w:trPr>
        <w:tc>
          <w:tcPr>
            <w:tcW w:w="40" w:type="dxa"/>
            <w:vAlign w:val="bottom"/>
          </w:tcPr>
          <w:p>
            <w:pPr>
              <w:spacing w:after="0"/>
              <w:rPr>
                <w:sz w:val="14"/>
                <w:szCs w:val="14"/>
                <w:color w:val="auto"/>
              </w:rPr>
            </w:pPr>
          </w:p>
        </w:tc>
        <w:tc>
          <w:tcPr>
            <w:tcW w:w="3540" w:type="dxa"/>
            <w:vAlign w:val="bottom"/>
            <w:gridSpan w:val="8"/>
          </w:tcPr>
          <w:p>
            <w:pPr>
              <w:spacing w:after="0" w:line="172"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7840" w:type="dxa"/>
            <w:vAlign w:val="bottom"/>
          </w:tcPr>
          <w:p>
            <w:pPr>
              <w:jc w:val="right"/>
              <w:ind w:right="232"/>
              <w:spacing w:after="0" w:line="172" w:lineRule="exact"/>
              <w:rPr>
                <w:sz w:val="20"/>
                <w:szCs w:val="20"/>
                <w:color w:val="auto"/>
              </w:rPr>
            </w:pPr>
            <w:r>
              <w:rPr>
                <w:rFonts w:ascii="Arial" w:cs="Arial" w:eastAsia="Arial" w:hAnsi="Arial"/>
                <w:sz w:val="18"/>
                <w:szCs w:val="18"/>
                <w:color w:val="auto"/>
              </w:rPr>
              <w:t>42</w:t>
            </w:r>
          </w:p>
        </w:tc>
      </w:tr>
      <w:tr>
        <w:trPr>
          <w:trHeight w:val="30"/>
        </w:trPr>
        <w:tc>
          <w:tcPr>
            <w:tcW w:w="4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40" w:type="dxa"/>
            <w:vAlign w:val="bottom"/>
          </w:tcPr>
          <w:p>
            <w:pPr>
              <w:spacing w:after="0"/>
              <w:rPr>
                <w:sz w:val="2"/>
                <w:szCs w:val="2"/>
                <w:color w:val="auto"/>
              </w:rPr>
            </w:pPr>
          </w:p>
        </w:tc>
      </w:tr>
      <w:tr>
        <w:trPr>
          <w:trHeight w:val="182"/>
        </w:trPr>
        <w:tc>
          <w:tcPr>
            <w:tcW w:w="40" w:type="dxa"/>
            <w:vAlign w:val="bottom"/>
            <w:shd w:val="clear" w:color="auto" w:fill="CCEEFF"/>
          </w:tcPr>
          <w:p>
            <w:pPr>
              <w:spacing w:after="0"/>
              <w:rPr>
                <w:sz w:val="15"/>
                <w:szCs w:val="15"/>
                <w:color w:val="auto"/>
              </w:rPr>
            </w:pPr>
          </w:p>
        </w:tc>
        <w:tc>
          <w:tcPr>
            <w:tcW w:w="3540" w:type="dxa"/>
            <w:vAlign w:val="bottom"/>
            <w:gridSpan w:val="8"/>
            <w:shd w:val="clear" w:color="auto" w:fill="CCEEFF"/>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Available Information</w:t>
              </w:r>
            </w:hyperlink>
          </w:p>
        </w:tc>
        <w:tc>
          <w:tcPr>
            <w:tcW w:w="7840" w:type="dxa"/>
            <w:vAlign w:val="bottom"/>
            <w:shd w:val="clear" w:color="auto" w:fill="CCEEFF"/>
          </w:tcPr>
          <w:p>
            <w:pPr>
              <w:jc w:val="right"/>
              <w:ind w:right="232"/>
              <w:spacing w:after="0" w:line="182" w:lineRule="exact"/>
              <w:rPr>
                <w:sz w:val="20"/>
                <w:szCs w:val="20"/>
                <w:color w:val="auto"/>
              </w:rPr>
            </w:pPr>
            <w:r>
              <w:rPr>
                <w:rFonts w:ascii="Arial" w:cs="Arial" w:eastAsia="Arial" w:hAnsi="Arial"/>
                <w:sz w:val="18"/>
                <w:szCs w:val="18"/>
                <w:color w:val="auto"/>
              </w:rPr>
              <w:t>42</w:t>
            </w:r>
          </w:p>
        </w:tc>
      </w:tr>
      <w:tr>
        <w:trPr>
          <w:trHeight w:val="40"/>
        </w:trPr>
        <w:tc>
          <w:tcPr>
            <w:tcW w:w="4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840" w:type="dxa"/>
            <w:vAlign w:val="bottom"/>
            <w:shd w:val="clear" w:color="auto" w:fill="CCEEFF"/>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3540" w:type="dxa"/>
            <w:vAlign w:val="bottom"/>
            <w:tcBorders>
              <w:bottom w:val="single" w:sz="8" w:color="0000EE"/>
            </w:tcBorders>
            <w:gridSpan w:val="8"/>
          </w:tcPr>
          <w:p>
            <w:pPr>
              <w:spacing w:after="0" w:line="172"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Incorporation of Certain Documents by Reference</w:t>
              </w:r>
            </w:hyperlink>
          </w:p>
        </w:tc>
        <w:tc>
          <w:tcPr>
            <w:tcW w:w="7840" w:type="dxa"/>
            <w:vAlign w:val="bottom"/>
          </w:tcPr>
          <w:p>
            <w:pPr>
              <w:jc w:val="right"/>
              <w:ind w:right="232"/>
              <w:spacing w:after="0" w:line="172" w:lineRule="exact"/>
              <w:rPr>
                <w:sz w:val="20"/>
                <w:szCs w:val="20"/>
                <w:color w:val="auto"/>
              </w:rPr>
            </w:pPr>
            <w:r>
              <w:rPr>
                <w:rFonts w:ascii="Arial" w:cs="Arial" w:eastAsia="Arial" w:hAnsi="Arial"/>
                <w:sz w:val="18"/>
                <w:szCs w:val="18"/>
                <w:color w:val="auto"/>
              </w:rPr>
              <w:t>43</w:t>
            </w:r>
          </w:p>
        </w:tc>
      </w:tr>
    </w:tbl>
    <w:p>
      <w:pPr>
        <w:spacing w:after="0" w:line="120" w:lineRule="exact"/>
        <w:rPr>
          <w:sz w:val="20"/>
          <w:szCs w:val="20"/>
          <w:color w:val="auto"/>
        </w:rPr>
      </w:pPr>
    </w:p>
    <w:p>
      <w:pPr>
        <w:ind w:right="60" w:firstLine="258"/>
        <w:spacing w:after="0" w:line="24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4"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3"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 SUMMARY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Companies</w:t>
      </w:r>
    </w:p>
    <w:p>
      <w:pPr>
        <w:spacing w:after="0" w:line="216" w:lineRule="exact"/>
        <w:rPr>
          <w:sz w:val="20"/>
          <w:szCs w:val="20"/>
          <w:color w:val="auto"/>
        </w:rPr>
      </w:pPr>
    </w:p>
    <w:p>
      <w:pPr>
        <w:jc w:val="right"/>
        <w:ind w:right="9720"/>
        <w:spacing w:after="0"/>
        <w:rPr>
          <w:sz w:val="20"/>
          <w:szCs w:val="20"/>
          <w:color w:val="auto"/>
        </w:rPr>
      </w:pPr>
      <w:r>
        <w:rPr>
          <w:rFonts w:ascii="Arial" w:cs="Arial" w:eastAsia="Arial" w:hAnsi="Arial"/>
          <w:sz w:val="15"/>
          <w:szCs w:val="15"/>
          <w:b w:val="1"/>
          <w:bCs w:val="1"/>
          <w:color w:val="auto"/>
        </w:rPr>
        <w:t>Comcast Corporation</w:t>
      </w:r>
    </w:p>
    <w:p>
      <w:pPr>
        <w:spacing w:after="0" w:line="151" w:lineRule="exact"/>
        <w:rPr>
          <w:sz w:val="20"/>
          <w:szCs w:val="20"/>
          <w:color w:val="auto"/>
        </w:rPr>
      </w:pPr>
    </w:p>
    <w:p>
      <w:pPr>
        <w:jc w:val="right"/>
        <w:ind w:right="9720"/>
        <w:spacing w:after="0"/>
        <w:rPr>
          <w:sz w:val="20"/>
          <w:szCs w:val="20"/>
          <w:color w:val="auto"/>
        </w:rPr>
      </w:pPr>
      <w:r>
        <w:rPr>
          <w:rFonts w:ascii="Arial" w:cs="Arial" w:eastAsia="Arial" w:hAnsi="Arial"/>
          <w:sz w:val="18"/>
          <w:szCs w:val="18"/>
          <w:color w:val="auto"/>
        </w:rPr>
        <w:t>We are involved in:</w:t>
      </w:r>
    </w:p>
    <w:p>
      <w:pPr>
        <w:spacing w:after="0" w:line="111" w:lineRule="exact"/>
        <w:rPr>
          <w:sz w:val="20"/>
          <w:szCs w:val="20"/>
          <w:color w:val="auto"/>
        </w:rPr>
      </w:pPr>
    </w:p>
    <w:p>
      <w:pPr>
        <w:ind w:left="700" w:right="20" w:hanging="350"/>
        <w:spacing w:after="0" w:line="264"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including video, high-speed Internet and phone services, and regional sports and news networks,</w:t>
      </w:r>
    </w:p>
    <w:p>
      <w:pPr>
        <w:spacing w:after="0" w:line="87" w:lineRule="exact"/>
        <w:rPr>
          <w:rFonts w:ascii="Arial" w:cs="Arial" w:eastAsia="Arial" w:hAnsi="Arial"/>
          <w:sz w:val="18"/>
          <w:szCs w:val="18"/>
          <w:color w:val="auto"/>
        </w:rPr>
      </w:pPr>
    </w:p>
    <w:p>
      <w:pPr>
        <w:ind w:left="700" w:right="280" w:hanging="350"/>
        <w:spacing w:after="0" w:line="364" w:lineRule="auto"/>
        <w:tabs>
          <w:tab w:leader="none" w:pos="7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Content—through our consolidated programming investments, including our national cable television networks, E! Entertainment Television, Style Network, The Golf Channel, Outdoor Life Network, G4 and AZN Television (formerly known as International Channel), and</w:t>
      </w:r>
    </w:p>
    <w:p>
      <w:pPr>
        <w:spacing w:after="0" w:line="19" w:lineRule="exact"/>
        <w:rPr>
          <w:rFonts w:ascii="Arial" w:cs="Arial" w:eastAsia="Arial" w:hAnsi="Arial"/>
          <w:sz w:val="15"/>
          <w:szCs w:val="15"/>
          <w:color w:val="auto"/>
        </w:rPr>
      </w:pPr>
    </w:p>
    <w:p>
      <w:pPr>
        <w:ind w:left="700" w:right="500" w:hanging="350"/>
        <w:spacing w:after="0" w:line="264"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and programming interests—primarily Comcast-Spectacor, our group of businesses that perform live sporting events and own or manage facilities for sporting events, concerts and other special events.</w:t>
      </w:r>
    </w:p>
    <w:p>
      <w:pPr>
        <w:spacing w:after="0" w:line="74" w:lineRule="exact"/>
        <w:rPr>
          <w:sz w:val="20"/>
          <w:szCs w:val="20"/>
          <w:color w:val="auto"/>
        </w:rPr>
      </w:pPr>
    </w:p>
    <w:p>
      <w:pPr>
        <w:ind w:right="140" w:firstLine="261"/>
        <w:spacing w:after="0" w:line="254" w:lineRule="auto"/>
        <w:rPr>
          <w:sz w:val="20"/>
          <w:szCs w:val="20"/>
          <w:color w:val="auto"/>
        </w:rPr>
      </w:pPr>
      <w:r>
        <w:rPr>
          <w:rFonts w:ascii="Arial" w:cs="Arial" w:eastAsia="Arial" w:hAnsi="Arial"/>
          <w:sz w:val="18"/>
          <w:szCs w:val="18"/>
          <w:color w:val="auto"/>
        </w:rPr>
        <w:t>We are the largest cable operator in the United States. As of March 31, 2005, our consolidated cable operations served 21.5 million subscribers in 35 states, passed 41 million homes, and provided digital cable to 8.9 million subscribers, high-speed Internet to 7.4 million subscribers and phone to 1.2 million subscribers.</w:t>
      </w:r>
    </w:p>
    <w:p>
      <w:pPr>
        <w:spacing w:after="0" w:line="84" w:lineRule="exact"/>
        <w:rPr>
          <w:sz w:val="20"/>
          <w:szCs w:val="20"/>
          <w:color w:val="auto"/>
        </w:rPr>
      </w:pPr>
    </w:p>
    <w:p>
      <w:pPr>
        <w:ind w:right="80" w:firstLine="264"/>
        <w:spacing w:after="0" w:line="25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31" w:lineRule="exact"/>
        <w:rPr>
          <w:sz w:val="20"/>
          <w:szCs w:val="20"/>
          <w:color w:val="auto"/>
        </w:rPr>
      </w:pPr>
    </w:p>
    <w:p>
      <w:pPr>
        <w:jc w:val="both"/>
        <w:ind w:right="40" w:firstLine="261"/>
        <w:spacing w:after="0" w:line="254" w:lineRule="auto"/>
        <w:rPr>
          <w:sz w:val="20"/>
          <w:szCs w:val="20"/>
          <w:color w:val="auto"/>
        </w:rPr>
      </w:pPr>
      <w:r>
        <w:rPr>
          <w:rFonts w:ascii="Arial" w:cs="Arial" w:eastAsia="Arial" w:hAnsi="Arial"/>
          <w:sz w:val="18"/>
          <w:szCs w:val="18"/>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64" w:lineRule="exact"/>
        <w:rPr>
          <w:sz w:val="20"/>
          <w:szCs w:val="20"/>
          <w:color w:val="auto"/>
        </w:rPr>
      </w:pPr>
    </w:p>
    <w:p>
      <w:pPr>
        <w:ind w:right="280" w:firstLine="264"/>
        <w:spacing w:after="0" w:line="276" w:lineRule="auto"/>
        <w:rPr>
          <w:sz w:val="20"/>
          <w:szCs w:val="20"/>
          <w:color w:val="auto"/>
        </w:rPr>
      </w:pPr>
      <w:r>
        <w:rPr>
          <w:rFonts w:ascii="Arial" w:cs="Arial" w:eastAsia="Arial" w:hAnsi="Arial"/>
          <w:sz w:val="17"/>
          <w:szCs w:val="17"/>
          <w:color w:val="auto"/>
        </w:rPr>
        <w:t>Our obligations, including the payment of principal, premium, if any, and interest on the notes will be fully and unconditionally guaranteed by each of Comcast Cable, Comcast Cable Communications Holdings, Comcast Cable Holdings, Comcast MO Group and Comcast MO of Delaware. In this prospectus supplement, we refer to these guarantors as the cable guarantors and to these guarantees as the cable guarantees.</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58" w:lineRule="exact"/>
        <w:rPr>
          <w:sz w:val="20"/>
          <w:szCs w:val="20"/>
          <w:color w:val="auto"/>
        </w:rPr>
      </w:pPr>
    </w:p>
    <w:p>
      <w:pPr>
        <w:ind w:left="700" w:right="280" w:hanging="350"/>
        <w:spacing w:after="0" w:line="26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87" w:lineRule="exact"/>
        <w:rPr>
          <w:rFonts w:ascii="Arial" w:cs="Arial" w:eastAsia="Arial" w:hAnsi="Arial"/>
          <w:sz w:val="18"/>
          <w:szCs w:val="18"/>
          <w:color w:val="auto"/>
        </w:rPr>
      </w:pPr>
    </w:p>
    <w:p>
      <w:pPr>
        <w:ind w:left="700" w:hanging="350"/>
        <w:spacing w:after="0"/>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11" w:lineRule="exact"/>
        <w:rPr>
          <w:sz w:val="20"/>
          <w:szCs w:val="20"/>
          <w:color w:val="auto"/>
        </w:rPr>
      </w:pPr>
    </w:p>
    <w:p>
      <w:pPr>
        <w:ind w:firstLine="264"/>
        <w:spacing w:after="0" w:line="264"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our indirect wholly-owned subsidiary.</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11" w:lineRule="exact"/>
        <w:rPr>
          <w:sz w:val="20"/>
          <w:szCs w:val="20"/>
          <w:color w:val="auto"/>
        </w:rPr>
      </w:pPr>
    </w:p>
    <w:p>
      <w:pPr>
        <w:ind w:right="280" w:firstLine="264"/>
        <w:spacing w:after="0" w:line="364" w:lineRule="auto"/>
        <w:rPr>
          <w:sz w:val="20"/>
          <w:szCs w:val="20"/>
          <w:color w:val="auto"/>
        </w:rPr>
      </w:pPr>
      <w:r>
        <w:rPr>
          <w:rFonts w:ascii="Arial" w:cs="Arial" w:eastAsia="Arial" w:hAnsi="Arial"/>
          <w:sz w:val="15"/>
          <w:szCs w:val="15"/>
          <w:color w:val="auto"/>
        </w:rPr>
        <w:t>Comcast Cable Communications Holdings is a Delaware corporation (formerly known as AT&amp;T Broadband Corp.) incorporated in 2001 and our wholly-owned subsidiary. As part of the AT&amp;T Comcast transaction, AT&amp;T transferred to Comcast Cable Communications Holdings substantially all of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liabilities and businesses represented by AT&amp;T Broadband Group, the integrated broadband business of AT&amp;T.</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11" w:lineRule="exact"/>
        <w:rPr>
          <w:sz w:val="20"/>
          <w:szCs w:val="20"/>
          <w:color w:val="auto"/>
        </w:rPr>
      </w:pPr>
    </w:p>
    <w:p>
      <w:pPr>
        <w:ind w:firstLine="264"/>
        <w:spacing w:after="0" w:line="264"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wholly-owned subsidiary of Comcast Cable Communications Holdings.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11"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11" w:lineRule="exact"/>
        <w:rPr>
          <w:sz w:val="20"/>
          <w:szCs w:val="20"/>
          <w:color w:val="auto"/>
        </w:rPr>
      </w:pPr>
    </w:p>
    <w:p>
      <w:pPr>
        <w:ind w:right="80" w:firstLine="264"/>
        <w:spacing w:after="0" w:line="264"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wholly-owned subsidiary of Comcast MO Group.</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196850</wp:posOffset>
            </wp:positionV>
            <wp:extent cx="7313930" cy="7018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701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60" w:type="dxa"/>
            <w:vAlign w:val="bottom"/>
          </w:tcPr>
          <w:p>
            <w:pPr>
              <w:ind w:left="540"/>
              <w:spacing w:after="0"/>
              <w:rPr>
                <w:sz w:val="20"/>
                <w:szCs w:val="20"/>
                <w:color w:val="auto"/>
              </w:rPr>
            </w:pPr>
            <w:r>
              <w:rPr>
                <w:rFonts w:ascii="Arial" w:cs="Arial" w:eastAsia="Arial" w:hAnsi="Arial"/>
                <w:sz w:val="18"/>
                <w:szCs w:val="18"/>
                <w:b w:val="1"/>
                <w:bCs w:val="1"/>
                <w:color w:val="auto"/>
              </w:rPr>
              <w:t>The Offering</w:t>
            </w:r>
          </w:p>
        </w:tc>
      </w:tr>
      <w:tr>
        <w:trPr>
          <w:trHeight w:val="225"/>
        </w:trPr>
        <w:tc>
          <w:tcPr>
            <w:tcW w:w="3040" w:type="dxa"/>
            <w:vAlign w:val="bottom"/>
          </w:tcPr>
          <w:p>
            <w:pPr>
              <w:spacing w:after="0"/>
              <w:rPr>
                <w:sz w:val="20"/>
                <w:szCs w:val="20"/>
                <w:color w:val="auto"/>
              </w:rPr>
            </w:pPr>
            <w:r>
              <w:rPr>
                <w:rFonts w:ascii="Arial" w:cs="Arial" w:eastAsia="Arial" w:hAnsi="Arial"/>
                <w:sz w:val="18"/>
                <w:szCs w:val="18"/>
                <w:color w:val="auto"/>
              </w:rPr>
              <w:t>Issuer</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Comcast Corporation.</w:t>
            </w:r>
          </w:p>
        </w:tc>
      </w:tr>
      <w:tr>
        <w:trPr>
          <w:trHeight w:val="423"/>
        </w:trPr>
        <w:tc>
          <w:tcPr>
            <w:tcW w:w="3040" w:type="dxa"/>
            <w:vAlign w:val="bottom"/>
          </w:tcPr>
          <w:p>
            <w:pPr>
              <w:spacing w:after="0"/>
              <w:rPr>
                <w:sz w:val="20"/>
                <w:szCs w:val="20"/>
                <w:color w:val="auto"/>
              </w:rPr>
            </w:pPr>
            <w:r>
              <w:rPr>
                <w:rFonts w:ascii="Arial" w:cs="Arial" w:eastAsia="Arial" w:hAnsi="Arial"/>
                <w:sz w:val="18"/>
                <w:szCs w:val="18"/>
                <w:color w:val="auto"/>
              </w:rPr>
              <w:t>Securities Offered</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$750,000,000 aggregate principal amount of 4.95% Notes due 2016.</w:t>
            </w:r>
          </w:p>
        </w:tc>
      </w:tr>
      <w:tr>
        <w:trPr>
          <w:trHeight w:val="423"/>
        </w:trPr>
        <w:tc>
          <w:tcPr>
            <w:tcW w:w="3040" w:type="dxa"/>
            <w:vAlign w:val="bottom"/>
          </w:tcPr>
          <w:p>
            <w:pPr>
              <w:spacing w:after="0"/>
              <w:rPr>
                <w:sz w:val="24"/>
                <w:szCs w:val="24"/>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$750,000,000 aggregate principal amount of 5.65% Notes due 2035.</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Maturity</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3"/>
              </w:rPr>
              <w:t>The notes due in 2016 will mature on June 15, 2016. The notes due in 2035 will mature on</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June 15, 2035.</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Interest</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5"/>
              </w:rPr>
              <w:t>Interest on the notes due in 2016 will accrue at the rate of 4.95% per year, payable semi-</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1"/>
              </w:rPr>
              <w:t>annually in cash in arrears on June 15 and December 15, beginning on December 15, 2005.</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5"/>
              </w:rPr>
              <w:t>Interest on the notes due in 2035 will accrue at the rate of 5.65% per year, payable semi-</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1"/>
              </w:rPr>
              <w:t>annually in cash in arrears on June 15 and December 15, beginning on December 15, 2005.</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Ranking</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89"/>
              </w:rPr>
              <w:t>The notes will be unsecured and will rank equally with all of our unsecured and unsubordinated</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indebtedness.</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Cable Guarantors</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6"/>
              </w:rPr>
              <w:t>Comcast Cable Communications, LLC, Comcast Cable Communications Holdings, Inc.,</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0"/>
              </w:rPr>
              <w:t>Comcast Cable Holdings, LLC, Comcast MO Group, Inc. and Comcast MO of Delaware, LLC.</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Cable Guarantees</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0"/>
              </w:rPr>
              <w:t>The cable guarantors will fully and unconditionally guarantee the notes, including the payment</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0"/>
              </w:rPr>
              <w:t>of principal, premium, if any, and interest. The cable guarantees will rank equally with all other</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Optional Redemption</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89"/>
              </w:rPr>
              <w:t>We may redeem all or part of the notes at our option at a redemption price equal to the greater</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of:</w:t>
            </w:r>
          </w:p>
        </w:tc>
      </w:tr>
      <w:tr>
        <w:trPr>
          <w:trHeight w:val="423"/>
        </w:trPr>
        <w:tc>
          <w:tcPr>
            <w:tcW w:w="3040" w:type="dxa"/>
            <w:vAlign w:val="bottom"/>
          </w:tcPr>
          <w:p>
            <w:pPr>
              <w:spacing w:after="0"/>
              <w:rPr>
                <w:sz w:val="24"/>
                <w:szCs w:val="24"/>
                <w:color w:val="auto"/>
              </w:rPr>
            </w:pPr>
          </w:p>
        </w:tc>
        <w:tc>
          <w:tcPr>
            <w:tcW w:w="1640" w:type="dxa"/>
            <w:vAlign w:val="bottom"/>
          </w:tcPr>
          <w:p>
            <w:pPr>
              <w:ind w:left="154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rPr>
              <w:t>100% of the principal amount of the notes being redeemed; and</w:t>
            </w:r>
          </w:p>
        </w:tc>
      </w:tr>
      <w:tr>
        <w:trPr>
          <w:trHeight w:val="412"/>
        </w:trPr>
        <w:tc>
          <w:tcPr>
            <w:tcW w:w="3040" w:type="dxa"/>
            <w:vAlign w:val="bottom"/>
          </w:tcPr>
          <w:p>
            <w:pPr>
              <w:spacing w:after="0"/>
              <w:rPr>
                <w:sz w:val="24"/>
                <w:szCs w:val="24"/>
                <w:color w:val="auto"/>
              </w:rPr>
            </w:pPr>
          </w:p>
        </w:tc>
        <w:tc>
          <w:tcPr>
            <w:tcW w:w="1640" w:type="dxa"/>
            <w:vAlign w:val="bottom"/>
          </w:tcPr>
          <w:p>
            <w:pPr>
              <w:ind w:left="1540"/>
              <w:spacing w:after="0"/>
              <w:rPr>
                <w:sz w:val="20"/>
                <w:szCs w:val="20"/>
                <w:color w:val="auto"/>
              </w:rPr>
            </w:pPr>
            <w:r>
              <w:rPr>
                <w:rFonts w:ascii="Arial" w:cs="Arial" w:eastAsia="Arial" w:hAnsi="Arial"/>
                <w:sz w:val="18"/>
                <w:szCs w:val="18"/>
                <w:color w:val="auto"/>
              </w:rPr>
              <w:t>•</w:t>
            </w:r>
          </w:p>
        </w:tc>
        <w:tc>
          <w:tcPr>
            <w:tcW w:w="6660" w:type="dxa"/>
            <w:vAlign w:val="bottom"/>
          </w:tcPr>
          <w:p>
            <w:pPr>
              <w:ind w:left="40"/>
              <w:spacing w:after="0"/>
              <w:rPr>
                <w:sz w:val="20"/>
                <w:szCs w:val="20"/>
                <w:color w:val="auto"/>
              </w:rPr>
            </w:pPr>
            <w:r>
              <w:rPr>
                <w:rFonts w:ascii="Arial" w:cs="Arial" w:eastAsia="Arial" w:hAnsi="Arial"/>
                <w:sz w:val="18"/>
                <w:szCs w:val="18"/>
                <w:color w:val="auto"/>
              </w:rPr>
              <w:t>the Make-Whole Amount, as defined in “Description of the Notes</w:t>
            </w:r>
          </w:p>
        </w:tc>
      </w:tr>
      <w:tr>
        <w:trPr>
          <w:trHeight w:val="212"/>
        </w:trPr>
        <w:tc>
          <w:tcPr>
            <w:tcW w:w="3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and the Cable Guarantees—Optional Redemption” in this</w:t>
            </w:r>
          </w:p>
        </w:tc>
      </w:tr>
      <w:tr>
        <w:trPr>
          <w:trHeight w:val="223"/>
        </w:trPr>
        <w:tc>
          <w:tcPr>
            <w:tcW w:w="30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prospectus supplement for the notes being redeemed;</w:t>
            </w:r>
          </w:p>
        </w:tc>
      </w:tr>
      <w:tr>
        <w:trPr>
          <w:trHeight w:val="423"/>
        </w:trPr>
        <w:tc>
          <w:tcPr>
            <w:tcW w:w="3040" w:type="dxa"/>
            <w:vAlign w:val="bottom"/>
          </w:tcPr>
          <w:p>
            <w:pPr>
              <w:spacing w:after="0"/>
              <w:rPr>
                <w:sz w:val="24"/>
                <w:szCs w:val="24"/>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plus, in each case, accrued interest to the redemption date.</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0"/>
              </w:rPr>
              <w:t>We intend to use the proceeds from this offering, after deducting fees and expenses related to</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89"/>
              </w:rPr>
              <w:t>this offering, for working capital and general corporate purposes, including for the repayment of</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6"/>
              </w:rPr>
              <w:t>existing indebtedness. As of March 31, 2005, our indebtedness, excluding the derivative</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5"/>
              </w:rPr>
              <w:t>component for the Exchangeable Notes and the ZONES whose changes in fair value are</w:t>
            </w:r>
          </w:p>
        </w:tc>
      </w:tr>
      <w:tr>
        <w:trPr>
          <w:trHeight w:val="212"/>
        </w:trPr>
        <w:tc>
          <w:tcPr>
            <w:tcW w:w="3040" w:type="dxa"/>
            <w:vAlign w:val="bottom"/>
          </w:tcPr>
          <w:p>
            <w:pPr>
              <w:spacing w:after="0"/>
              <w:rPr>
                <w:sz w:val="18"/>
                <w:szCs w:val="18"/>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88"/>
              </w:rPr>
              <w:t>recorded to investment income (loss), net had a weighted average annual interest rate of 7.42%</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rPr>
              <w:t>and an average maturity date in 2013.</w:t>
            </w:r>
          </w:p>
        </w:tc>
      </w:tr>
      <w:tr>
        <w:trPr>
          <w:trHeight w:val="412"/>
        </w:trPr>
        <w:tc>
          <w:tcPr>
            <w:tcW w:w="3040" w:type="dxa"/>
            <w:vAlign w:val="bottom"/>
          </w:tcPr>
          <w:p>
            <w:pPr>
              <w:spacing w:after="0"/>
              <w:rPr>
                <w:sz w:val="20"/>
                <w:szCs w:val="20"/>
                <w:color w:val="auto"/>
              </w:rPr>
            </w:pPr>
            <w:r>
              <w:rPr>
                <w:rFonts w:ascii="Arial" w:cs="Arial" w:eastAsia="Arial" w:hAnsi="Arial"/>
                <w:sz w:val="18"/>
                <w:szCs w:val="18"/>
                <w:color w:val="auto"/>
              </w:rPr>
              <w:t>Book Entry</w:t>
            </w: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0"/>
              </w:rPr>
              <w:t>The notes will be issued in book-entry form and will be represented by global notes deposited</w:t>
            </w:r>
          </w:p>
        </w:tc>
      </w:tr>
      <w:tr>
        <w:trPr>
          <w:trHeight w:val="223"/>
        </w:trPr>
        <w:tc>
          <w:tcPr>
            <w:tcW w:w="3040" w:type="dxa"/>
            <w:vAlign w:val="bottom"/>
          </w:tcPr>
          <w:p>
            <w:pPr>
              <w:spacing w:after="0"/>
              <w:rPr>
                <w:sz w:val="19"/>
                <w:szCs w:val="19"/>
                <w:color w:val="auto"/>
              </w:rPr>
            </w:pPr>
          </w:p>
        </w:tc>
        <w:tc>
          <w:tcPr>
            <w:tcW w:w="8300" w:type="dxa"/>
            <w:vAlign w:val="bottom"/>
            <w:gridSpan w:val="2"/>
          </w:tcPr>
          <w:p>
            <w:pPr>
              <w:ind w:left="1540"/>
              <w:spacing w:after="0"/>
              <w:rPr>
                <w:sz w:val="20"/>
                <w:szCs w:val="20"/>
                <w:color w:val="auto"/>
              </w:rPr>
            </w:pPr>
            <w:r>
              <w:rPr>
                <w:rFonts w:ascii="Arial" w:cs="Arial" w:eastAsia="Arial" w:hAnsi="Arial"/>
                <w:sz w:val="18"/>
                <w:szCs w:val="18"/>
                <w:color w:val="auto"/>
                <w:w w:val="96"/>
              </w:rPr>
              <w:t>with, or on behalf of, DTC and registered in the name of DTC or its nominees. Beneficial</w:t>
            </w:r>
          </w:p>
        </w:tc>
      </w:tr>
    </w:tbl>
    <w:p>
      <w:pPr>
        <w:ind w:left="4760"/>
        <w:spacing w:after="0" w:line="266" w:lineRule="auto"/>
        <w:rPr>
          <w:sz w:val="20"/>
          <w:szCs w:val="20"/>
          <w:color w:val="auto"/>
        </w:rPr>
      </w:pPr>
      <w:r>
        <w:rPr>
          <w:rFonts w:ascii="Arial" w:cs="Arial" w:eastAsia="Arial" w:hAnsi="Arial"/>
          <w:sz w:val="17"/>
          <w:szCs w:val="17"/>
          <w:color w:val="auto"/>
        </w:rPr>
        <w:t>interests in any of the notes will be shown on, and transfers will be effected only through, records maintained by DTC or its nominee, and these beneficial interests may not be exchanged for certificated notes, except in limited circumstances. See “Description of the Notes and the Cable Guarantees—Book-Entry System” in this prospectus supplement.</w:t>
      </w:r>
    </w:p>
    <w:p>
      <w:pPr>
        <w:spacing w:after="0" w:line="3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117" w:lineRule="exact"/>
        <w:rPr>
          <w:sz w:val="20"/>
          <w:szCs w:val="20"/>
          <w:color w:val="auto"/>
        </w:rPr>
      </w:pPr>
    </w:p>
    <w:p>
      <w:pPr>
        <w:ind w:firstLine="261"/>
        <w:spacing w:after="0" w:line="251" w:lineRule="auto"/>
        <w:rPr>
          <w:sz w:val="20"/>
          <w:szCs w:val="20"/>
          <w:color w:val="auto"/>
        </w:rPr>
      </w:pPr>
      <w:r>
        <w:rPr>
          <w:rFonts w:ascii="Arial" w:cs="Arial" w:eastAsia="Arial" w:hAnsi="Arial"/>
          <w:sz w:val="18"/>
          <w:szCs w:val="18"/>
          <w:color w:val="auto"/>
        </w:rPr>
        <w:t>We intend to use the proceeds from this offering, after deducting fees and expenses related to this offering, for working capital and general corporate purposes, including for the repayment of existing indebtedness. As of March 31, 2005, our indebtedness, excluding the derivative component for the Exchangeable Notes and the ZONES whose changes in fair value are recorded to investment income (loss), net had a weighted average annual interest rate of 7.42% and an average maturity date in 2013.</w:t>
      </w:r>
    </w:p>
    <w:p>
      <w:pPr>
        <w:spacing w:after="0" w:line="16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20"/>
          </w:cols>
          <w:pgMar w:left="240" w:top="413"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80" w:right="3860" w:firstLine="3627"/>
        <w:spacing w:after="0" w:line="395" w:lineRule="auto"/>
        <w:rPr>
          <w:sz w:val="20"/>
          <w:szCs w:val="20"/>
          <w:color w:val="auto"/>
        </w:rPr>
      </w:pPr>
      <w:r>
        <w:rPr>
          <w:rFonts w:ascii="Arial" w:cs="Arial" w:eastAsia="Arial" w:hAnsi="Arial"/>
          <w:sz w:val="17"/>
          <w:szCs w:val="17"/>
          <w:b w:val="1"/>
          <w:bCs w:val="1"/>
          <w:color w:val="auto"/>
        </w:rPr>
        <w:t xml:space="preserve">RATIO OF EARNINGS TO FIXED CHARGES </w:t>
      </w:r>
      <w:r>
        <w:rPr>
          <w:rFonts w:ascii="Arial" w:cs="Arial" w:eastAsia="Arial" w:hAnsi="Arial"/>
          <w:sz w:val="17"/>
          <w:szCs w:val="17"/>
          <w:color w:val="auto"/>
        </w:rPr>
        <w:t>Our ratio of earnings to fixed charges were as follows for the respective periods indicated:</w:t>
      </w:r>
    </w:p>
    <w:tbl>
      <w:tblPr>
        <w:tblLayout w:type="fixed"/>
        <w:tblInd w:w="0" w:type="dxa"/>
        <w:tblCellMar>
          <w:top w:w="0" w:type="dxa"/>
          <w:left w:w="0" w:type="dxa"/>
          <w:bottom w:w="0" w:type="dxa"/>
          <w:right w:w="0" w:type="dxa"/>
        </w:tblCellMar>
      </w:tblPr>
      <w:tr>
        <w:trPr>
          <w:trHeight w:val="146"/>
        </w:trPr>
        <w:tc>
          <w:tcPr>
            <w:tcW w:w="2460" w:type="dxa"/>
            <w:vAlign w:val="bottom"/>
            <w:gridSpan w:val="2"/>
          </w:tcPr>
          <w:p>
            <w:pPr>
              <w:jc w:val="center"/>
              <w:ind w:left="1024"/>
              <w:spacing w:after="0" w:line="146" w:lineRule="exact"/>
              <w:rPr>
                <w:sz w:val="20"/>
                <w:szCs w:val="20"/>
                <w:color w:val="auto"/>
              </w:rPr>
            </w:pPr>
            <w:r>
              <w:rPr>
                <w:rFonts w:ascii="Arial" w:cs="Arial" w:eastAsia="Arial" w:hAnsi="Arial"/>
                <w:sz w:val="14"/>
                <w:szCs w:val="14"/>
                <w:b w:val="1"/>
                <w:bCs w:val="1"/>
                <w:color w:val="auto"/>
                <w:w w:val="92"/>
              </w:rPr>
              <w:t>Three Months Ended</w:t>
            </w: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2"/>
              </w:rPr>
              <w:t>March 31,</w:t>
            </w:r>
          </w:p>
        </w:tc>
        <w:tc>
          <w:tcPr>
            <w:tcW w:w="110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vMerge w:val="continue"/>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80" w:type="dxa"/>
            <w:vAlign w:val="bottom"/>
            <w:tcBorders>
              <w:bottom w:val="single" w:sz="8" w:color="auto"/>
            </w:tcBorders>
          </w:tcPr>
          <w:p>
            <w:pPr>
              <w:jc w:val="right"/>
              <w:ind w:right="424"/>
              <w:spacing w:after="0" w:line="152" w:lineRule="exact"/>
              <w:rPr>
                <w:sz w:val="20"/>
                <w:szCs w:val="20"/>
                <w:color w:val="auto"/>
              </w:rPr>
            </w:pPr>
            <w:r>
              <w:rPr>
                <w:rFonts w:ascii="Arial" w:cs="Arial" w:eastAsia="Arial" w:hAnsi="Arial"/>
                <w:sz w:val="14"/>
                <w:szCs w:val="14"/>
                <w:b w:val="1"/>
                <w:bCs w:val="1"/>
                <w:color w:val="auto"/>
              </w:rPr>
              <w:t>2005</w:t>
            </w:r>
          </w:p>
        </w:tc>
        <w:tc>
          <w:tcPr>
            <w:tcW w:w="1180" w:type="dxa"/>
            <w:vAlign w:val="bottom"/>
          </w:tcPr>
          <w:p>
            <w:pPr>
              <w:spacing w:after="0"/>
              <w:rPr>
                <w:sz w:val="13"/>
                <w:szCs w:val="13"/>
                <w:color w:val="auto"/>
              </w:rPr>
            </w:pPr>
          </w:p>
        </w:tc>
        <w:tc>
          <w:tcPr>
            <w:tcW w:w="1100" w:type="dxa"/>
            <w:vAlign w:val="bottom"/>
            <w:tcBorders>
              <w:bottom w:val="single" w:sz="8" w:color="auto"/>
            </w:tcBorders>
          </w:tcPr>
          <w:p>
            <w:pPr>
              <w:jc w:val="right"/>
              <w:ind w:right="341"/>
              <w:spacing w:after="0" w:line="152" w:lineRule="exact"/>
              <w:rPr>
                <w:sz w:val="20"/>
                <w:szCs w:val="20"/>
                <w:color w:val="auto"/>
              </w:rPr>
            </w:pPr>
            <w:r>
              <w:rPr>
                <w:rFonts w:ascii="Arial" w:cs="Arial" w:eastAsia="Arial" w:hAnsi="Arial"/>
                <w:sz w:val="14"/>
                <w:szCs w:val="14"/>
                <w:b w:val="1"/>
                <w:bCs w:val="1"/>
                <w:color w:val="auto"/>
              </w:rPr>
              <w:t>2004</w:t>
            </w:r>
          </w:p>
        </w:tc>
        <w:tc>
          <w:tcPr>
            <w:tcW w:w="920" w:type="dxa"/>
            <w:vAlign w:val="bottom"/>
          </w:tcPr>
          <w:p>
            <w:pPr>
              <w:spacing w:after="0"/>
              <w:rPr>
                <w:sz w:val="13"/>
                <w:szCs w:val="13"/>
                <w:color w:val="auto"/>
              </w:rPr>
            </w:pPr>
          </w:p>
        </w:tc>
        <w:tc>
          <w:tcPr>
            <w:tcW w:w="880" w:type="dxa"/>
            <w:vAlign w:val="bottom"/>
            <w:tcBorders>
              <w:bottom w:val="single" w:sz="8" w:color="auto"/>
            </w:tcBorders>
          </w:tcPr>
          <w:p>
            <w:pPr>
              <w:jc w:val="right"/>
              <w:ind w:right="221"/>
              <w:spacing w:after="0" w:line="152" w:lineRule="exact"/>
              <w:rPr>
                <w:sz w:val="20"/>
                <w:szCs w:val="20"/>
                <w:color w:val="auto"/>
              </w:rPr>
            </w:pPr>
            <w:r>
              <w:rPr>
                <w:rFonts w:ascii="Arial" w:cs="Arial" w:eastAsia="Arial" w:hAnsi="Arial"/>
                <w:sz w:val="14"/>
                <w:szCs w:val="14"/>
                <w:b w:val="1"/>
                <w:bCs w:val="1"/>
                <w:color w:val="auto"/>
              </w:rPr>
              <w:t>2004</w:t>
            </w:r>
          </w:p>
        </w:tc>
        <w:tc>
          <w:tcPr>
            <w:tcW w:w="660" w:type="dxa"/>
            <w:vAlign w:val="bottom"/>
          </w:tcPr>
          <w:p>
            <w:pPr>
              <w:spacing w:after="0"/>
              <w:rPr>
                <w:sz w:val="13"/>
                <w:szCs w:val="13"/>
                <w:color w:val="auto"/>
              </w:rPr>
            </w:pPr>
          </w:p>
        </w:tc>
        <w:tc>
          <w:tcPr>
            <w:tcW w:w="700" w:type="dxa"/>
            <w:vAlign w:val="bottom"/>
            <w:tcBorders>
              <w:bottom w:val="single" w:sz="8" w:color="auto"/>
            </w:tcBorders>
          </w:tcPr>
          <w:p>
            <w:pPr>
              <w:jc w:val="right"/>
              <w:ind w:right="141"/>
              <w:spacing w:after="0" w:line="152" w:lineRule="exact"/>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Borders>
              <w:bottom w:val="single" w:sz="8" w:color="auto"/>
            </w:tcBorders>
          </w:tcPr>
          <w:p>
            <w:pPr>
              <w:jc w:val="right"/>
              <w:ind w:right="121"/>
              <w:spacing w:after="0" w:line="152" w:lineRule="exact"/>
              <w:rPr>
                <w:sz w:val="20"/>
                <w:szCs w:val="20"/>
                <w:color w:val="auto"/>
              </w:rPr>
            </w:pPr>
            <w:r>
              <w:rPr>
                <w:rFonts w:ascii="Arial" w:cs="Arial" w:eastAsia="Arial" w:hAnsi="Arial"/>
                <w:sz w:val="14"/>
                <w:szCs w:val="14"/>
                <w:b w:val="1"/>
                <w:bCs w:val="1"/>
                <w:color w:val="auto"/>
              </w:rPr>
              <w:t>2002</w:t>
            </w:r>
          </w:p>
        </w:tc>
        <w:tc>
          <w:tcPr>
            <w:tcW w:w="700" w:type="dxa"/>
            <w:vAlign w:val="bottom"/>
          </w:tcPr>
          <w:p>
            <w:pPr>
              <w:spacing w:after="0"/>
              <w:rPr>
                <w:sz w:val="13"/>
                <w:szCs w:val="13"/>
                <w:color w:val="auto"/>
              </w:rPr>
            </w:pPr>
          </w:p>
        </w:tc>
        <w:tc>
          <w:tcPr>
            <w:tcW w:w="880" w:type="dxa"/>
            <w:vAlign w:val="bottom"/>
            <w:tcBorders>
              <w:bottom w:val="single" w:sz="8" w:color="auto"/>
            </w:tcBorders>
          </w:tcPr>
          <w:p>
            <w:pPr>
              <w:jc w:val="right"/>
              <w:ind w:right="221"/>
              <w:spacing w:after="0" w:line="152" w:lineRule="exact"/>
              <w:rPr>
                <w:sz w:val="20"/>
                <w:szCs w:val="20"/>
                <w:color w:val="auto"/>
              </w:rPr>
            </w:pPr>
            <w:r>
              <w:rPr>
                <w:rFonts w:ascii="Arial" w:cs="Arial" w:eastAsia="Arial" w:hAnsi="Arial"/>
                <w:sz w:val="14"/>
                <w:szCs w:val="14"/>
                <w:b w:val="1"/>
                <w:bCs w:val="1"/>
                <w:color w:val="auto"/>
              </w:rPr>
              <w:t>2001</w:t>
            </w:r>
          </w:p>
        </w:tc>
        <w:tc>
          <w:tcPr>
            <w:tcW w:w="680" w:type="dxa"/>
            <w:vAlign w:val="bottom"/>
          </w:tcPr>
          <w:p>
            <w:pPr>
              <w:spacing w:after="0"/>
              <w:rPr>
                <w:sz w:val="13"/>
                <w:szCs w:val="13"/>
                <w:color w:val="auto"/>
              </w:rPr>
            </w:pPr>
          </w:p>
        </w:tc>
        <w:tc>
          <w:tcPr>
            <w:tcW w:w="780" w:type="dxa"/>
            <w:vAlign w:val="bottom"/>
            <w:tcBorders>
              <w:bottom w:val="single" w:sz="8" w:color="auto"/>
            </w:tcBorders>
          </w:tcPr>
          <w:p>
            <w:pPr>
              <w:jc w:val="right"/>
              <w:ind w:right="181"/>
              <w:spacing w:after="0" w:line="152" w:lineRule="exact"/>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460" w:type="dxa"/>
            <w:vAlign w:val="bottom"/>
            <w:gridSpan w:val="2"/>
          </w:tcPr>
          <w:p>
            <w:pPr>
              <w:ind w:left="880"/>
              <w:spacing w:after="0"/>
              <w:rPr>
                <w:sz w:val="20"/>
                <w:szCs w:val="20"/>
                <w:color w:val="auto"/>
              </w:rPr>
            </w:pPr>
            <w:r>
              <w:rPr>
                <w:rFonts w:ascii="Arial" w:cs="Arial" w:eastAsia="Arial" w:hAnsi="Arial"/>
                <w:sz w:val="18"/>
                <w:szCs w:val="18"/>
                <w:color w:val="auto"/>
              </w:rPr>
              <w:t>1.58x</w:t>
            </w:r>
          </w:p>
        </w:tc>
        <w:tc>
          <w:tcPr>
            <w:tcW w:w="2020" w:type="dxa"/>
            <w:vAlign w:val="bottom"/>
            <w:gridSpan w:val="2"/>
          </w:tcPr>
          <w:p>
            <w:pPr>
              <w:ind w:left="700"/>
              <w:spacing w:after="0"/>
              <w:rPr>
                <w:sz w:val="20"/>
                <w:szCs w:val="20"/>
                <w:color w:val="auto"/>
              </w:rPr>
            </w:pPr>
            <w:r>
              <w:rPr>
                <w:rFonts w:ascii="Arial" w:cs="Arial" w:eastAsia="Arial" w:hAnsi="Arial"/>
                <w:sz w:val="18"/>
                <w:szCs w:val="18"/>
                <w:color w:val="auto"/>
              </w:rPr>
              <w:t>1.31x</w:t>
            </w:r>
          </w:p>
        </w:tc>
        <w:tc>
          <w:tcPr>
            <w:tcW w:w="880" w:type="dxa"/>
            <w:vAlign w:val="bottom"/>
          </w:tcPr>
          <w:p>
            <w:pPr>
              <w:jc w:val="right"/>
              <w:spacing w:after="0"/>
              <w:rPr>
                <w:sz w:val="20"/>
                <w:szCs w:val="20"/>
                <w:color w:val="auto"/>
              </w:rPr>
            </w:pPr>
            <w:r>
              <w:rPr>
                <w:rFonts w:ascii="Arial" w:cs="Arial" w:eastAsia="Arial" w:hAnsi="Arial"/>
                <w:sz w:val="18"/>
                <w:szCs w:val="18"/>
                <w:color w:val="auto"/>
              </w:rPr>
              <w:t>1.98x</w:t>
            </w:r>
          </w:p>
        </w:tc>
        <w:tc>
          <w:tcPr>
            <w:tcW w:w="66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400" w:type="dxa"/>
            <w:vAlign w:val="bottom"/>
            <w:gridSpan w:val="2"/>
          </w:tcPr>
          <w:p>
            <w:pPr>
              <w:ind w:left="520"/>
              <w:spacing w:after="0"/>
              <w:rPr>
                <w:sz w:val="20"/>
                <w:szCs w:val="20"/>
                <w:color w:val="auto"/>
              </w:rPr>
            </w:pPr>
            <w:r>
              <w:rPr>
                <w:rFonts w:ascii="Arial" w:cs="Arial" w:eastAsia="Arial" w:hAnsi="Arial"/>
                <w:sz w:val="18"/>
                <w:szCs w:val="18"/>
                <w:color w:val="auto"/>
              </w:rPr>
              <w:t>—(1)</w:t>
            </w:r>
          </w:p>
        </w:tc>
        <w:tc>
          <w:tcPr>
            <w:tcW w:w="1560" w:type="dxa"/>
            <w:vAlign w:val="bottom"/>
            <w:gridSpan w:val="2"/>
          </w:tcPr>
          <w:p>
            <w:pPr>
              <w:ind w:left="480"/>
              <w:spacing w:after="0"/>
              <w:rPr>
                <w:sz w:val="20"/>
                <w:szCs w:val="20"/>
                <w:color w:val="auto"/>
              </w:rPr>
            </w:pPr>
            <w:r>
              <w:rPr>
                <w:rFonts w:ascii="Arial" w:cs="Arial" w:eastAsia="Arial" w:hAnsi="Arial"/>
                <w:sz w:val="18"/>
                <w:szCs w:val="18"/>
                <w:color w:val="auto"/>
              </w:rPr>
              <w:t>1.33x</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w w:val="90"/>
              </w:rPr>
              <w:t>5.16x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13017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20" w:lineRule="exact"/>
        <w:rPr>
          <w:sz w:val="20"/>
          <w:szCs w:val="20"/>
          <w:color w:val="auto"/>
        </w:rPr>
      </w:pPr>
    </w:p>
    <w:p>
      <w:pPr>
        <w:ind w:left="460" w:hanging="454"/>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years ended December 31, 2003 and 2002, we had a $76 million and $490 million deficiency, respectively, of earnings to fixed charges.</w:t>
      </w:r>
    </w:p>
    <w:p>
      <w:pPr>
        <w:spacing w:after="0" w:line="122" w:lineRule="exact"/>
        <w:rPr>
          <w:sz w:val="20"/>
          <w:szCs w:val="20"/>
          <w:color w:val="auto"/>
        </w:rPr>
      </w:pPr>
    </w:p>
    <w:p>
      <w:pPr>
        <w:ind w:right="300" w:firstLine="264"/>
        <w:spacing w:after="0" w:line="276" w:lineRule="auto"/>
        <w:rPr>
          <w:sz w:val="20"/>
          <w:szCs w:val="20"/>
          <w:color w:val="auto"/>
        </w:rPr>
      </w:pPr>
      <w:r>
        <w:rPr>
          <w:rFonts w:ascii="Arial" w:cs="Arial" w:eastAsia="Arial" w:hAnsi="Arial"/>
          <w:sz w:val="17"/>
          <w:szCs w:val="17"/>
          <w:color w:val="auto"/>
        </w:rPr>
        <w:t>For purposes of calculating the ratio of earnings to fixed charges, earnings consist of income (loss) from continuing operations before income taxes, cumulative effect of accounting change, minority interest, equity in net (income) losses of affiliates, fixed charges and distributed income of equity investees. Fixed charges consist of interest expense, an estimate of interest within rental expense and preference security dividends.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 AND THE CABLE GUARANTEES</w:t>
      </w:r>
    </w:p>
    <w:p>
      <w:pPr>
        <w:spacing w:after="0" w:line="117" w:lineRule="exact"/>
        <w:rPr>
          <w:sz w:val="20"/>
          <w:szCs w:val="20"/>
          <w:color w:val="auto"/>
        </w:rPr>
      </w:pPr>
    </w:p>
    <w:p>
      <w:pPr>
        <w:ind w:right="180" w:firstLine="261"/>
        <w:spacing w:after="0" w:line="304" w:lineRule="auto"/>
        <w:rPr>
          <w:sz w:val="20"/>
          <w:szCs w:val="20"/>
          <w:color w:val="auto"/>
        </w:rPr>
      </w:pPr>
      <w:r>
        <w:rPr>
          <w:rFonts w:ascii="Arial" w:cs="Arial" w:eastAsia="Arial" w:hAnsi="Arial"/>
          <w:sz w:val="15"/>
          <w:szCs w:val="15"/>
          <w:color w:val="auto"/>
        </w:rPr>
        <w:t>We are offering $750,000,000 aggregate principal amount of our 4.95% Notes due 2016 and $750,000,000 aggregate principal amount of our 5.65% Notes due 2035. The notes due 2016 and the notes due 2035 will each be a separate series of securities issued under an indenture, dated as of January 7, 2003 among us, the cable guarantors and The Bank of New York, as trustee.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than those of the notes, to “reopen” a previous issue of a series of securities (including the notes) and to issue additional securities of any series (including the notes). Copies of the indenture and the form of notes are available from us upon request.</w:t>
      </w:r>
    </w:p>
    <w:p>
      <w:pPr>
        <w:spacing w:after="0" w:line="51" w:lineRule="exact"/>
        <w:rPr>
          <w:sz w:val="20"/>
          <w:szCs w:val="20"/>
          <w:color w:val="auto"/>
        </w:rPr>
      </w:pPr>
    </w:p>
    <w:p>
      <w:pPr>
        <w:ind w:firstLine="261"/>
        <w:spacing w:after="0" w:line="329" w:lineRule="auto"/>
        <w:rPr>
          <w:sz w:val="20"/>
          <w:szCs w:val="20"/>
          <w:color w:val="auto"/>
        </w:rPr>
      </w:pPr>
      <w:r>
        <w:rPr>
          <w:rFonts w:ascii="Arial" w:cs="Arial" w:eastAsia="Arial" w:hAnsi="Arial"/>
          <w:sz w:val="15"/>
          <w:szCs w:val="15"/>
          <w:color w:val="auto"/>
        </w:rPr>
        <w:t>The following, along with the additional information contained in the accompanying prospectus under “Description of the Senior Debt Securities, Subordinated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notes:</w:t>
      </w:r>
    </w:p>
    <w:p>
      <w:pPr>
        <w:spacing w:after="0" w:line="111" w:lineRule="exact"/>
        <w:rPr>
          <w:sz w:val="20"/>
          <w:szCs w:val="20"/>
          <w:color w:val="auto"/>
        </w:rPr>
      </w:pPr>
    </w:p>
    <w:p>
      <w:pPr>
        <w:ind w:left="700" w:hanging="350"/>
        <w:spacing w:after="0"/>
        <w:tabs>
          <w:tab w:leader="none" w:pos="7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will rank equally with all of our other unsecured and unsubordinated debt and will be entitled to the benefits of the cable guarantees described below;</w:t>
      </w:r>
    </w:p>
    <w:p>
      <w:pPr>
        <w:spacing w:after="0" w:line="158" w:lineRule="exact"/>
        <w:rPr>
          <w:rFonts w:ascii="Arial" w:cs="Arial" w:eastAsia="Arial" w:hAnsi="Arial"/>
          <w:sz w:val="15"/>
          <w:szCs w:val="15"/>
          <w:color w:val="auto"/>
        </w:rPr>
      </w:pPr>
    </w:p>
    <w:p>
      <w:pPr>
        <w:ind w:left="700" w:hanging="35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$1,500,000,000, comprised as follows:</w:t>
      </w:r>
    </w:p>
    <w:p>
      <w:pPr>
        <w:spacing w:after="0" w:line="110" w:lineRule="exact"/>
        <w:rPr>
          <w:rFonts w:ascii="Arial" w:cs="Arial" w:eastAsia="Arial" w:hAnsi="Arial"/>
          <w:sz w:val="18"/>
          <w:szCs w:val="18"/>
          <w:color w:val="auto"/>
        </w:rPr>
      </w:pPr>
    </w:p>
    <w:p>
      <w:pPr>
        <w:ind w:left="1040" w:right="100" w:hanging="346"/>
        <w:spacing w:after="0" w:line="293"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$750,000,000 initial aggregate amount of 4.95% Notes due 2016, maturing on June 15, 2016, with interest payable semiannually on each June 15 and December 15, beginning December 15, 2005, to holders of record on the preceding June 1 and December 1;</w:t>
      </w:r>
    </w:p>
    <w:p>
      <w:pPr>
        <w:spacing w:after="0" w:line="65" w:lineRule="exact"/>
        <w:rPr>
          <w:rFonts w:ascii="Arial" w:cs="Arial" w:eastAsia="Arial" w:hAnsi="Arial"/>
          <w:sz w:val="17"/>
          <w:szCs w:val="17"/>
          <w:color w:val="auto"/>
        </w:rPr>
      </w:pPr>
    </w:p>
    <w:p>
      <w:pPr>
        <w:ind w:left="1040" w:right="100" w:hanging="346"/>
        <w:spacing w:after="0" w:line="293"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$750,000,000 initial aggregate amount of 5.65% Notes due 2035, maturing on June 15, 2035, with interest payable semiannually on each June 15 and December 15, beginning December 15, 2005, to holders of record on the preceding June 1 and December 1; and</w:t>
      </w:r>
    </w:p>
    <w:p>
      <w:pPr>
        <w:spacing w:after="0" w:line="51" w:lineRule="exact"/>
        <w:rPr>
          <w:rFonts w:ascii="Arial" w:cs="Arial" w:eastAsia="Arial" w:hAnsi="Arial"/>
          <w:sz w:val="17"/>
          <w:szCs w:val="17"/>
          <w:color w:val="auto"/>
        </w:rPr>
      </w:pPr>
    </w:p>
    <w:p>
      <w:pPr>
        <w:ind w:left="700" w:hanging="35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17" w:lineRule="exact"/>
        <w:rPr>
          <w:sz w:val="20"/>
          <w:szCs w:val="20"/>
          <w:color w:val="auto"/>
        </w:rPr>
      </w:pPr>
    </w:p>
    <w:p>
      <w:pPr>
        <w:ind w:right="220" w:firstLine="264"/>
        <w:spacing w:after="0" w:line="254"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semiannually on interest payment dates described for each year.</w:t>
      </w:r>
    </w:p>
    <w:p>
      <w:pPr>
        <w:spacing w:after="0" w:line="8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117" w:lineRule="exact"/>
        <w:rPr>
          <w:sz w:val="20"/>
          <w:szCs w:val="20"/>
          <w:color w:val="auto"/>
        </w:rPr>
      </w:pPr>
    </w:p>
    <w:p>
      <w:pPr>
        <w:ind w:right="260" w:firstLine="264"/>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Comcast Cable, Comcast Cable Communications, Comcast Cable Holdings, Comcast MO Group and Comcast MO of Delaware.</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cable guarantees will rank equally with all other general unsecured and unsubordinated obligations of the cable guarantors.</w:t>
      </w:r>
    </w:p>
    <w:p>
      <w:pPr>
        <w:spacing w:after="0" w:line="111" w:lineRule="exact"/>
        <w:rPr>
          <w:sz w:val="20"/>
          <w:szCs w:val="20"/>
          <w:color w:val="auto"/>
        </w:rPr>
      </w:pPr>
    </w:p>
    <w:p>
      <w:pPr>
        <w:ind w:right="180" w:firstLine="261"/>
        <w:spacing w:after="0" w:line="254"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17" w:lineRule="exact"/>
        <w:rPr>
          <w:sz w:val="20"/>
          <w:szCs w:val="20"/>
          <w:color w:val="auto"/>
        </w:rPr>
      </w:pPr>
    </w:p>
    <w:p>
      <w:pPr>
        <w:ind w:right="40" w:firstLine="261"/>
        <w:spacing w:after="0" w:line="248" w:lineRule="auto"/>
        <w:rPr>
          <w:sz w:val="20"/>
          <w:szCs w:val="20"/>
          <w:color w:val="auto"/>
        </w:rPr>
      </w:pPr>
      <w:r>
        <w:rPr>
          <w:rFonts w:ascii="Arial" w:cs="Arial" w:eastAsia="Arial" w:hAnsi="Arial"/>
          <w:sz w:val="18"/>
          <w:szCs w:val="18"/>
          <w:color w:val="auto"/>
        </w:rPr>
        <w:t>We will have the right at our option to redeem any of the notes in whole or in part, at any time or from time to time prior to their maturity, on at least 30 days, but not more than 60 days, prior notice mailed to the registered address of each holder of the applicable series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20 basis points for the 2016 Notes (the “2016 Make-Whole Amount”) and 25 basis points for the 2035 Notes (the “2035 Make-Whole Amount” and together with the 2016 Make-Whole Amount, the “Make-Whole Amount”), plus in each case accrued interest thereon to the date of redemption.</w:t>
      </w:r>
    </w:p>
    <w:p>
      <w:pPr>
        <w:spacing w:after="0" w:line="90"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84" w:lineRule="exact"/>
        <w:rPr>
          <w:sz w:val="20"/>
          <w:szCs w:val="20"/>
          <w:color w:val="auto"/>
        </w:rPr>
      </w:pPr>
    </w:p>
    <w:p>
      <w:pPr>
        <w:ind w:right="240" w:firstLine="264"/>
        <w:spacing w:after="0" w:line="329" w:lineRule="auto"/>
        <w:rPr>
          <w:sz w:val="20"/>
          <w:szCs w:val="20"/>
          <w:color w:val="auto"/>
        </w:rPr>
      </w:pPr>
      <w:r>
        <w:rPr>
          <w:rFonts w:ascii="Arial" w:cs="Arial" w:eastAsia="Arial" w:hAnsi="Arial"/>
          <w:sz w:val="15"/>
          <w:szCs w:val="15"/>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80" w:firstLine="264"/>
        <w:spacing w:after="0" w:line="254"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84" w:lineRule="exact"/>
        <w:rPr>
          <w:sz w:val="20"/>
          <w:szCs w:val="20"/>
          <w:color w:val="auto"/>
        </w:rPr>
      </w:pPr>
    </w:p>
    <w:p>
      <w:pPr>
        <w:ind w:right="20" w:firstLine="264"/>
        <w:spacing w:after="0" w:line="251" w:lineRule="auto"/>
        <w:rPr>
          <w:sz w:val="20"/>
          <w:szCs w:val="20"/>
          <w:color w:val="auto"/>
        </w:rPr>
      </w:pPr>
      <w:r>
        <w:rPr>
          <w:rFonts w:ascii="Arial" w:cs="Arial" w:eastAsia="Arial" w:hAnsi="Arial"/>
          <w:sz w:val="18"/>
          <w:szCs w:val="18"/>
          <w:color w:val="auto"/>
        </w:rPr>
        <w:t>“Reference Treasury Dealer” means each of Citigroup Global Markets Inc., Lehman Brothers Inc. and Morgan Stanley &amp; Co. Incorporated or their affiliates which are primary United States government securities dealers, and their respective successors; provided, however, that if any of the foregoing shall cease to be a primary United States government securities dealer in The City of New York (a “Primary Treasury Dealer”), we will substitute therefor another Primary Treasury Dealer.</w:t>
      </w:r>
    </w:p>
    <w:p>
      <w:pPr>
        <w:spacing w:after="0" w:line="87" w:lineRule="exact"/>
        <w:rPr>
          <w:sz w:val="20"/>
          <w:szCs w:val="20"/>
          <w:color w:val="auto"/>
        </w:rPr>
      </w:pPr>
    </w:p>
    <w:p>
      <w:pPr>
        <w:jc w:val="both"/>
        <w:ind w:right="120" w:firstLine="264"/>
        <w:spacing w:after="0" w:line="329" w:lineRule="auto"/>
        <w:rPr>
          <w:sz w:val="20"/>
          <w:szCs w:val="20"/>
          <w:color w:val="auto"/>
        </w:rPr>
      </w:pPr>
      <w:r>
        <w:rPr>
          <w:rFonts w:ascii="Arial" w:cs="Arial" w:eastAsia="Arial" w:hAnsi="Arial"/>
          <w:sz w:val="15"/>
          <w:szCs w:val="15"/>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31" w:lineRule="exact"/>
        <w:rPr>
          <w:sz w:val="20"/>
          <w:szCs w:val="20"/>
          <w:color w:val="auto"/>
        </w:rPr>
      </w:pPr>
    </w:p>
    <w:p>
      <w:pPr>
        <w:ind w:firstLine="264"/>
        <w:spacing w:after="0" w:line="250"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interest to the redemption date on the notes to be redeemed on such date. If less than all of the notes of any series are to be redeemed, the notes to be redeemed shall be selected by the trustee by such method as the trustee shall deem fair and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17" w:lineRule="exact"/>
        <w:rPr>
          <w:sz w:val="20"/>
          <w:szCs w:val="20"/>
          <w:color w:val="auto"/>
        </w:rPr>
      </w:pPr>
    </w:p>
    <w:p>
      <w:pPr>
        <w:ind w:right="60" w:firstLine="261"/>
        <w:spacing w:after="0" w:line="317" w:lineRule="auto"/>
        <w:rPr>
          <w:sz w:val="20"/>
          <w:szCs w:val="20"/>
          <w:color w:val="auto"/>
        </w:rPr>
      </w:pPr>
      <w:r>
        <w:rPr>
          <w:rFonts w:ascii="Arial" w:cs="Arial" w:eastAsia="Arial" w:hAnsi="Arial"/>
          <w:sz w:val="15"/>
          <w:szCs w:val="15"/>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DTC</w:t>
      </w:r>
    </w:p>
    <w:p>
      <w:pPr>
        <w:spacing w:after="0" w:line="111" w:lineRule="exact"/>
        <w:rPr>
          <w:sz w:val="20"/>
          <w:szCs w:val="20"/>
          <w:color w:val="auto"/>
        </w:rPr>
      </w:pPr>
    </w:p>
    <w:p>
      <w:pPr>
        <w:ind w:right="20" w:firstLine="264"/>
        <w:spacing w:after="0" w:line="306" w:lineRule="auto"/>
        <w:rPr>
          <w:sz w:val="20"/>
          <w:szCs w:val="20"/>
          <w:color w:val="auto"/>
        </w:rPr>
      </w:pPr>
      <w:r>
        <w:rPr>
          <w:rFonts w:ascii="Arial" w:cs="Arial" w:eastAsia="Arial" w:hAnsi="Arial"/>
          <w:sz w:val="15"/>
          <w:szCs w:val="15"/>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00" w:firstLine="261"/>
        <w:spacing w:after="0" w:line="266"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76" w:lineRule="exact"/>
        <w:rPr>
          <w:sz w:val="20"/>
          <w:szCs w:val="20"/>
          <w:color w:val="auto"/>
        </w:rPr>
      </w:pPr>
    </w:p>
    <w:p>
      <w:pPr>
        <w:ind w:right="240" w:firstLine="261"/>
        <w:spacing w:after="0" w:line="264"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74" w:lineRule="exact"/>
        <w:rPr>
          <w:sz w:val="20"/>
          <w:szCs w:val="20"/>
          <w:color w:val="auto"/>
        </w:rPr>
      </w:pPr>
    </w:p>
    <w:p>
      <w:pPr>
        <w:ind w:right="40" w:firstLine="264"/>
        <w:spacing w:after="0" w:line="306" w:lineRule="auto"/>
        <w:rPr>
          <w:sz w:val="20"/>
          <w:szCs w:val="20"/>
          <w:color w:val="auto"/>
        </w:rPr>
      </w:pPr>
      <w:r>
        <w:rPr>
          <w:rFonts w:ascii="Arial" w:cs="Arial" w:eastAsia="Arial" w:hAnsi="Arial"/>
          <w:sz w:val="15"/>
          <w:szCs w:val="15"/>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48" w:lineRule="exact"/>
        <w:rPr>
          <w:sz w:val="20"/>
          <w:szCs w:val="20"/>
          <w:color w:val="auto"/>
        </w:rPr>
      </w:pPr>
    </w:p>
    <w:p>
      <w:pPr>
        <w:ind w:right="20" w:firstLine="261"/>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74" w:lineRule="exact"/>
        <w:rPr>
          <w:sz w:val="20"/>
          <w:szCs w:val="20"/>
          <w:color w:val="auto"/>
        </w:rPr>
      </w:pPr>
    </w:p>
    <w:p>
      <w:pPr>
        <w:ind w:right="40" w:firstLine="261"/>
        <w:spacing w:after="0" w:line="303" w:lineRule="auto"/>
        <w:rPr>
          <w:sz w:val="20"/>
          <w:szCs w:val="20"/>
          <w:color w:val="auto"/>
        </w:rPr>
      </w:pPr>
      <w:r>
        <w:rPr>
          <w:rFonts w:ascii="Arial" w:cs="Arial" w:eastAsia="Arial" w:hAnsi="Arial"/>
          <w:sz w:val="15"/>
          <w:szCs w:val="15"/>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51" w:lineRule="exact"/>
        <w:rPr>
          <w:sz w:val="20"/>
          <w:szCs w:val="20"/>
          <w:color w:val="auto"/>
        </w:rPr>
      </w:pPr>
    </w:p>
    <w:p>
      <w:pPr>
        <w:ind w:firstLine="255"/>
        <w:spacing w:after="0" w:line="312" w:lineRule="auto"/>
        <w:rPr>
          <w:sz w:val="20"/>
          <w:szCs w:val="20"/>
          <w:color w:val="auto"/>
        </w:rPr>
      </w:pPr>
      <w:r>
        <w:rPr>
          <w:rFonts w:ascii="Arial" w:cs="Arial" w:eastAsia="Arial" w:hAnsi="Arial"/>
          <w:sz w:val="15"/>
          <w:szCs w:val="15"/>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1" w:lineRule="exact"/>
        <w:rPr>
          <w:sz w:val="20"/>
          <w:szCs w:val="20"/>
          <w:color w:val="auto"/>
        </w:rPr>
      </w:pPr>
    </w:p>
    <w:p>
      <w:pPr>
        <w:ind w:right="960" w:firstLine="264"/>
        <w:spacing w:after="0" w:line="264"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74" w:lineRule="exact"/>
        <w:rPr>
          <w:sz w:val="20"/>
          <w:szCs w:val="20"/>
          <w:color w:val="auto"/>
        </w:rPr>
      </w:pPr>
    </w:p>
    <w:p>
      <w:pPr>
        <w:ind w:left="1040" w:right="440" w:hanging="452"/>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34"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23" w:lineRule="exact"/>
        <w:rPr>
          <w:rFonts w:ascii="Arial" w:cs="Arial" w:eastAsia="Arial" w:hAnsi="Arial"/>
          <w:sz w:val="18"/>
          <w:szCs w:val="18"/>
          <w:color w:val="auto"/>
        </w:rPr>
      </w:pPr>
    </w:p>
    <w:p>
      <w:pPr>
        <w:ind w:left="1040" w:hanging="45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11" w:lineRule="exact"/>
        <w:rPr>
          <w:sz w:val="20"/>
          <w:szCs w:val="20"/>
          <w:color w:val="auto"/>
        </w:rPr>
      </w:pPr>
    </w:p>
    <w:p>
      <w:pPr>
        <w:ind w:firstLine="255"/>
        <w:spacing w:after="0" w:line="25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11" w:lineRule="exact"/>
        <w:rPr>
          <w:sz w:val="20"/>
          <w:szCs w:val="20"/>
          <w:color w:val="auto"/>
        </w:rPr>
      </w:pPr>
    </w:p>
    <w:p>
      <w:pPr>
        <w:ind w:right="40" w:firstLine="261"/>
        <w:spacing w:after="0" w:line="25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4" w:lineRule="exact"/>
        <w:rPr>
          <w:sz w:val="20"/>
          <w:szCs w:val="20"/>
          <w:color w:val="auto"/>
        </w:rPr>
      </w:pPr>
    </w:p>
    <w:p>
      <w:pPr>
        <w:ind w:right="100" w:firstLine="264"/>
        <w:spacing w:after="0" w:line="308" w:lineRule="auto"/>
        <w:rPr>
          <w:sz w:val="20"/>
          <w:szCs w:val="20"/>
          <w:color w:val="auto"/>
        </w:rPr>
      </w:pPr>
      <w:r>
        <w:rPr>
          <w:rFonts w:ascii="Arial" w:cs="Arial" w:eastAsia="Arial" w:hAnsi="Arial"/>
          <w:sz w:val="15"/>
          <w:szCs w:val="15"/>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17" w:lineRule="exact"/>
        <w:rPr>
          <w:sz w:val="20"/>
          <w:szCs w:val="20"/>
          <w:color w:val="auto"/>
        </w:rPr>
      </w:pPr>
    </w:p>
    <w:p>
      <w:pPr>
        <w:jc w:val="both"/>
        <w:ind w:right="260" w:firstLine="261"/>
        <w:spacing w:after="0" w:line="25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2016 Notes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2035 Notes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Lehman Brothers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Incorporated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ABN AMRO Incorporated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Banc of America Securities LLC</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Barclays Capital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BNY Capital Markets,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Credit Suisse First Boston LLC</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Dresdner Kleinwort Wasserstein Securities LLC</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J.P. Morgan Securities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Lazard Capital Markets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Merrill Lynch, Pierce, Fenner &amp; Smith Incorporated</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Greenwich Capital Markets, Inc.</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Wachovia Securities,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40"/>
              <w:spacing w:after="0"/>
              <w:rPr>
                <w:sz w:val="20"/>
                <w:szCs w:val="20"/>
                <w:color w:val="auto"/>
              </w:rPr>
            </w:pPr>
            <w:r>
              <w:rPr>
                <w:rFonts w:ascii="Arial" w:cs="Arial" w:eastAsia="Arial" w:hAnsi="Arial"/>
                <w:sz w:val="18"/>
                <w:szCs w:val="18"/>
                <w:color w:val="auto"/>
              </w:rPr>
              <w:t>19,260,000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19,260,000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Samuel A. Ramirez &amp; Co., Inc.</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3,700,000</w:t>
            </w: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3,700,000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3,700,000</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20" w:type="dxa"/>
            <w:vAlign w:val="bottom"/>
            <w:gridSpan w:val="2"/>
            <w:vMerge w:val="continue"/>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750,000,000</w:t>
            </w:r>
          </w:p>
        </w:tc>
        <w:tc>
          <w:tcPr>
            <w:tcW w:w="4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750,000,000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firstLine="261"/>
        <w:spacing w:after="0" w:line="25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purchase agreement may be terminated.</w:t>
      </w:r>
    </w:p>
    <w:p>
      <w:pPr>
        <w:spacing w:after="0" w:line="84" w:lineRule="exact"/>
        <w:rPr>
          <w:sz w:val="20"/>
          <w:szCs w:val="20"/>
          <w:color w:val="auto"/>
        </w:rPr>
      </w:pPr>
    </w:p>
    <w:p>
      <w:pPr>
        <w:ind w:right="60" w:firstLine="261"/>
        <w:spacing w:after="0" w:line="264"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74" w:lineRule="exact"/>
        <w:rPr>
          <w:sz w:val="20"/>
          <w:szCs w:val="20"/>
          <w:color w:val="auto"/>
        </w:rPr>
      </w:pPr>
    </w:p>
    <w:p>
      <w:pPr>
        <w:jc w:val="both"/>
        <w:ind w:right="360" w:firstLine="261"/>
        <w:spacing w:after="0" w:line="329"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1" w:lineRule="exact"/>
        <w:rPr>
          <w:sz w:val="20"/>
          <w:szCs w:val="20"/>
          <w:color w:val="auto"/>
        </w:rPr>
      </w:pPr>
    </w:p>
    <w:p>
      <w:pPr>
        <w:ind w:right="180" w:firstLine="264"/>
        <w:spacing w:after="0" w:line="254" w:lineRule="auto"/>
        <w:rPr>
          <w:sz w:val="20"/>
          <w:szCs w:val="20"/>
          <w:color w:val="auto"/>
        </w:rPr>
      </w:pPr>
      <w:r>
        <w:rPr>
          <w:rFonts w:ascii="Arial" w:cs="Arial" w:eastAsia="Arial" w:hAnsi="Arial"/>
          <w:sz w:val="18"/>
          <w:szCs w:val="18"/>
          <w:color w:val="auto"/>
        </w:rPr>
        <w:t>Lazard Capital Markets LLC (“LCM”) has entered into an agreement with Mitsubishi Securities (USA), Inc. (“Mitsubishi”) pursuant to which Mitsubishi provides certain advisory and/or other services to LCM, including in respect of this offering. In return for the provision of such services by Mitsubishi to LCM, LCM will pay to Mitsubishi a mutually agreed upon fee.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17" w:lineRule="exact"/>
        <w:rPr>
          <w:sz w:val="20"/>
          <w:szCs w:val="20"/>
          <w:color w:val="auto"/>
        </w:rPr>
      </w:pPr>
    </w:p>
    <w:p>
      <w:pPr>
        <w:ind w:right="120" w:firstLine="261"/>
        <w:spacing w:after="0" w:line="250"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0.40% of the principal amount of the 2016 Notes and not in excess of 0.50% of the principal amount of the 2035 Notes. The underwriters may allow, and the dealers may reallow, a discount not in excess of 0.25% of the principal amount of the 2016 Notes and not in excess of 0.25% of the principal amount of the 2035 Notes to other dealers. After the initial public offering, the public offering price, concession and discount may be changed.</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expenses of the offering, not including the underwriting discount, are estimated to be $150,000 and are payable by 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17" w:lineRule="exact"/>
        <w:rPr>
          <w:sz w:val="20"/>
          <w:szCs w:val="20"/>
          <w:color w:val="auto"/>
        </w:rPr>
      </w:pPr>
    </w:p>
    <w:p>
      <w:pPr>
        <w:ind w:firstLine="261"/>
        <w:spacing w:after="0" w:line="312" w:lineRule="auto"/>
        <w:rPr>
          <w:sz w:val="20"/>
          <w:szCs w:val="20"/>
          <w:color w:val="auto"/>
        </w:rPr>
      </w:pPr>
      <w:r>
        <w:rPr>
          <w:rFonts w:ascii="Arial" w:cs="Arial" w:eastAsia="Arial" w:hAnsi="Arial"/>
          <w:sz w:val="15"/>
          <w:szCs w:val="15"/>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17" w:lineRule="exact"/>
        <w:rPr>
          <w:sz w:val="20"/>
          <w:szCs w:val="20"/>
          <w:color w:val="auto"/>
        </w:rPr>
      </w:pPr>
    </w:p>
    <w:p>
      <w:pPr>
        <w:ind w:right="120" w:firstLine="264"/>
        <w:spacing w:after="0" w:line="250"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in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86" w:lineRule="exact"/>
        <w:rPr>
          <w:sz w:val="20"/>
          <w:szCs w:val="20"/>
          <w:color w:val="auto"/>
        </w:rPr>
      </w:pPr>
    </w:p>
    <w:p>
      <w:pPr>
        <w:ind w:firstLine="264"/>
        <w:spacing w:after="0" w:line="254"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17" w:lineRule="exact"/>
        <w:rPr>
          <w:sz w:val="20"/>
          <w:szCs w:val="20"/>
          <w:color w:val="auto"/>
        </w:rPr>
      </w:pPr>
    </w:p>
    <w:p>
      <w:pPr>
        <w:ind w:right="260" w:firstLine="261"/>
        <w:spacing w:after="0" w:line="264"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17" w:lineRule="exact"/>
        <w:rPr>
          <w:sz w:val="20"/>
          <w:szCs w:val="20"/>
          <w:color w:val="auto"/>
        </w:rPr>
      </w:pPr>
    </w:p>
    <w:p>
      <w:pPr>
        <w:ind w:right="60" w:firstLine="238"/>
        <w:spacing w:after="0" w:line="364" w:lineRule="auto"/>
        <w:rPr>
          <w:sz w:val="20"/>
          <w:szCs w:val="20"/>
          <w:color w:val="auto"/>
        </w:rPr>
      </w:pPr>
      <w:r>
        <w:rPr>
          <w:rFonts w:ascii="Arial" w:cs="Arial" w:eastAsia="Arial" w:hAnsi="Arial"/>
          <w:sz w:val="15"/>
          <w:szCs w:val="15"/>
          <w:color w:val="auto"/>
        </w:rPr>
        <w:t xml:space="preserve">Various legal matters relating to the offering will be passed upon for us by Arthur R. Block, Esquire, Senior Vice President and General Counsel of Comcast Corporation and by Davis Polk &amp; Wardwell, Menlo Park, California. Cahill Gordon &amp; Reindel </w:t>
      </w:r>
      <w:r>
        <w:rPr>
          <w:rFonts w:ascii="Arial" w:cs="Arial" w:eastAsia="Arial" w:hAnsi="Arial"/>
          <w:sz w:val="13"/>
          <w:szCs w:val="13"/>
          <w:color w:val="auto"/>
        </w:rPr>
        <w:t>LLP</w:t>
      </w:r>
      <w:r>
        <w:rPr>
          <w:rFonts w:ascii="Arial" w:cs="Arial" w:eastAsia="Arial" w:hAnsi="Arial"/>
          <w:sz w:val="15"/>
          <w:szCs w:val="15"/>
          <w:color w:val="auto"/>
        </w:rPr>
        <w:t>, New York, New York, is representing the underwriters.</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Issued March 26, 2003</w:t>
      </w:r>
    </w:p>
    <w:p>
      <w:pPr>
        <w:spacing w:after="0" w:line="21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647700</wp:posOffset>
            </wp:positionV>
            <wp:extent cx="7266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152400</wp:posOffset>
            </wp:positionV>
            <wp:extent cx="1410970" cy="361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0970"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are types of securities that we may offer and sell under this prospectus:</w:t>
      </w:r>
    </w:p>
    <w:p>
      <w:pPr>
        <w:spacing w:after="0" w:line="228" w:lineRule="exact"/>
        <w:rPr>
          <w:sz w:val="20"/>
          <w:szCs w:val="20"/>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Unsecured senior debt securities</w:t>
      </w:r>
    </w:p>
    <w:p>
      <w:pPr>
        <w:spacing w:after="0" w:line="227"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Unsecured subordinated debt securities</w:t>
      </w:r>
    </w:p>
    <w:p>
      <w:pPr>
        <w:spacing w:after="0" w:line="21"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Warrants</w:t>
      </w:r>
    </w:p>
    <w:p>
      <w:pPr>
        <w:spacing w:after="0" w:line="16"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Purchase contracts</w:t>
      </w:r>
    </w:p>
    <w:p>
      <w:pPr>
        <w:spacing w:after="0" w:line="16"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Units</w:t>
      </w:r>
    </w:p>
    <w:p>
      <w:pPr>
        <w:spacing w:after="0" w:line="16"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Preferred Stock</w:t>
      </w:r>
    </w:p>
    <w:p>
      <w:pPr>
        <w:spacing w:after="0" w:line="16"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Depositary shares</w:t>
      </w:r>
    </w:p>
    <w:p>
      <w:pPr>
        <w:spacing w:after="0" w:line="16"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Class A Common Stock</w:t>
      </w:r>
    </w:p>
    <w:p>
      <w:pPr>
        <w:spacing w:after="0" w:line="16" w:lineRule="exact"/>
        <w:rPr>
          <w:rFonts w:ascii="Arial" w:cs="Arial" w:eastAsia="Arial" w:hAnsi="Arial"/>
          <w:sz w:val="17"/>
          <w:szCs w:val="17"/>
          <w:color w:val="auto"/>
        </w:rPr>
      </w:pPr>
    </w:p>
    <w:p>
      <w:pPr>
        <w:ind w:left="800" w:hanging="321"/>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Class A Special Common Stock</w:t>
      </w:r>
    </w:p>
    <w:p>
      <w:pPr>
        <w:spacing w:after="0" w:line="222" w:lineRule="exact"/>
        <w:rPr>
          <w:sz w:val="20"/>
          <w:szCs w:val="20"/>
          <w:color w:val="auto"/>
        </w:rPr>
      </w:pPr>
    </w:p>
    <w:p>
      <w:pPr>
        <w:ind w:right="560" w:firstLine="430"/>
        <w:spacing w:after="0" w:line="286" w:lineRule="auto"/>
        <w:rPr>
          <w:sz w:val="20"/>
          <w:szCs w:val="20"/>
          <w:color w:val="auto"/>
        </w:rPr>
      </w:pPr>
      <w:r>
        <w:rPr>
          <w:rFonts w:ascii="Arial" w:cs="Arial" w:eastAsia="Arial" w:hAnsi="Arial"/>
          <w:sz w:val="17"/>
          <w:szCs w:val="17"/>
          <w:color w:val="auto"/>
        </w:rPr>
        <w:t>If indicated in the relevant prospectus supplement, the securities may be fully and unconditionally guaranteed by a number of our wholly-owned cable subsidiaries named in this prospectus.</w:t>
      </w:r>
    </w:p>
    <w:p>
      <w:pPr>
        <w:spacing w:after="0" w:line="169" w:lineRule="exact"/>
        <w:rPr>
          <w:sz w:val="20"/>
          <w:szCs w:val="20"/>
          <w:color w:val="auto"/>
        </w:rPr>
      </w:pPr>
    </w:p>
    <w:p>
      <w:pPr>
        <w:ind w:right="20" w:firstLine="430"/>
        <w:spacing w:after="0" w:line="273" w:lineRule="auto"/>
        <w:rPr>
          <w:sz w:val="20"/>
          <w:szCs w:val="20"/>
          <w:color w:val="auto"/>
        </w:rPr>
      </w:pPr>
      <w:r>
        <w:rPr>
          <w:rFonts w:ascii="Arial" w:cs="Arial" w:eastAsia="Arial" w:hAnsi="Arial"/>
          <w:sz w:val="17"/>
          <w:szCs w:val="17"/>
          <w:color w:val="auto"/>
        </w:rPr>
        <w:t>Our Class A Common Stock and Class A Special Common Stock are quoted on The Nasdaq National Market System under the ticker symbols “CMCSA” and “CMCSK”. On March 24, 2003, the reported last sale prices on The Nasdaq National Market System for our Class A Common Stock and our Class A Special Common Stock were $28.61 and $27.50.</w:t>
      </w:r>
    </w:p>
    <w:p>
      <w:pPr>
        <w:spacing w:after="0" w:line="180" w:lineRule="exact"/>
        <w:rPr>
          <w:sz w:val="20"/>
          <w:szCs w:val="20"/>
          <w:color w:val="auto"/>
        </w:rPr>
      </w:pPr>
    </w:p>
    <w:p>
      <w:pPr>
        <w:ind w:firstLine="427"/>
        <w:spacing w:after="0" w:line="286" w:lineRule="auto"/>
        <w:rPr>
          <w:sz w:val="20"/>
          <w:szCs w:val="20"/>
          <w:color w:val="auto"/>
        </w:rPr>
      </w:pPr>
      <w:r>
        <w:rPr>
          <w:rFonts w:ascii="Arial" w:cs="Arial" w:eastAsia="Arial" w:hAnsi="Arial"/>
          <w:sz w:val="17"/>
          <w:szCs w:val="17"/>
          <w:color w:val="auto"/>
        </w:rPr>
        <w:t>We will describe in a prospectus supplement, which must accompany this prospectus, the securities we are offering and selling, as well as the specific terms of the securities. Those terms may include:</w:t>
      </w:r>
    </w:p>
    <w:p>
      <w:pPr>
        <w:spacing w:after="0" w:line="169" w:lineRule="exact"/>
        <w:rPr>
          <w:sz w:val="20"/>
          <w:szCs w:val="20"/>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Maturity</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Interest rate</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Sinking fund terms</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Currency of payments</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Dividends</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Redemption terms</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Listing on a securities exchange</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payable at maturity</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Conversion or exchange rights</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Liquidation amount</w:t>
      </w:r>
    </w:p>
    <w:p>
      <w:pPr>
        <w:spacing w:after="0" w:line="42" w:lineRule="exact"/>
        <w:rPr>
          <w:rFonts w:ascii="Arial" w:cs="Arial" w:eastAsia="Arial" w:hAnsi="Arial"/>
          <w:sz w:val="17"/>
          <w:szCs w:val="17"/>
          <w:color w:val="auto"/>
        </w:rPr>
      </w:pPr>
    </w:p>
    <w:p>
      <w:pPr>
        <w:ind w:left="780" w:hanging="311"/>
        <w:spacing w:after="0"/>
        <w:tabs>
          <w:tab w:leader="none" w:pos="7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167005</wp:posOffset>
            </wp:positionV>
            <wp:extent cx="72663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firstLine="430"/>
        <w:spacing w:after="0" w:line="293" w:lineRule="auto"/>
        <w:rPr>
          <w:sz w:val="20"/>
          <w:szCs w:val="20"/>
          <w:color w:val="auto"/>
        </w:rPr>
      </w:pPr>
      <w:r>
        <w:rPr>
          <w:rFonts w:ascii="Arial" w:cs="Arial" w:eastAsia="Arial" w:hAnsi="Arial"/>
          <w:sz w:val="17"/>
          <w:szCs w:val="17"/>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72663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369" w:lineRule="exact"/>
        <w:rPr>
          <w:sz w:val="20"/>
          <w:szCs w:val="20"/>
          <w:color w:val="auto"/>
        </w:rPr>
      </w:pPr>
    </w:p>
    <w:p>
      <w:pPr>
        <w:ind w:firstLine="427"/>
        <w:spacing w:after="0" w:line="273"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The date of this prospectus is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198755</wp:posOffset>
            </wp:positionV>
            <wp:extent cx="4888865" cy="3780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8886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[Illustration: The diagram is a simplified diagram of the corporate structure of Comcast Corporation and shows the wholly owned cable subsidiaries that will guarantee any debt securities which may be offered by the prospectus. These cable guarantors may also guarantee other securities offered if so stated in the prospectus supplement related to the offering of these other securities. The cable guarantors include:</w:t>
      </w:r>
    </w:p>
    <w:p>
      <w:pPr>
        <w:spacing w:after="0" w:line="180" w:lineRule="exact"/>
        <w:rPr>
          <w:sz w:val="20"/>
          <w:szCs w:val="20"/>
          <w:color w:val="auto"/>
        </w:rPr>
      </w:pPr>
    </w:p>
    <w:p>
      <w:pPr>
        <w:ind w:left="940" w:right="140" w:hanging="504"/>
        <w:spacing w:after="0" w:line="286"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Comcast Cable Communications, Inc., the principal Comcast cable subsidiary prior to Comcast’s acquisition of Broadband, referred to as “Comcast Cable.”</w:t>
      </w:r>
    </w:p>
    <w:p>
      <w:pPr>
        <w:spacing w:after="0" w:line="195" w:lineRule="exact"/>
        <w:rPr>
          <w:rFonts w:ascii="Arial" w:cs="Arial" w:eastAsia="Arial" w:hAnsi="Arial"/>
          <w:sz w:val="17"/>
          <w:szCs w:val="17"/>
          <w:color w:val="auto"/>
        </w:rPr>
      </w:pPr>
    </w:p>
    <w:p>
      <w:pPr>
        <w:ind w:left="940" w:right="180" w:hanging="504"/>
        <w:spacing w:after="0" w:line="286"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Comcast Cable Communications Holdings, Inc., the company holding the broadband business acquired from AT&amp;T, referred to as “Comcast Cable Communications Holdings” or “Broadband.”</w:t>
      </w:r>
    </w:p>
    <w:p>
      <w:pPr>
        <w:spacing w:after="0" w:line="195" w:lineRule="exact"/>
        <w:rPr>
          <w:rFonts w:ascii="Arial" w:cs="Arial" w:eastAsia="Arial" w:hAnsi="Arial"/>
          <w:sz w:val="17"/>
          <w:szCs w:val="17"/>
          <w:color w:val="auto"/>
        </w:rPr>
      </w:pPr>
    </w:p>
    <w:p>
      <w:pPr>
        <w:ind w:left="940" w:hanging="50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Comcast MO Group, Inc. (formerly known as MediaOne Group, Inc.), referred to as “Comcast MO Group.”</w:t>
      </w:r>
    </w:p>
    <w:p>
      <w:pPr>
        <w:spacing w:after="0" w:line="254" w:lineRule="exact"/>
        <w:rPr>
          <w:rFonts w:ascii="Arial" w:cs="Arial" w:eastAsia="Arial" w:hAnsi="Arial"/>
          <w:sz w:val="17"/>
          <w:szCs w:val="17"/>
          <w:color w:val="auto"/>
        </w:rPr>
      </w:pPr>
    </w:p>
    <w:p>
      <w:pPr>
        <w:ind w:left="940" w:right="560" w:hanging="504"/>
        <w:spacing w:after="0" w:line="286"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Comcast Cable Holdings, LLC, (formerly known as AT&amp;T Broadband, LLC and Tele- Communications, Inc.), referred to as “Comcast Cable Holdings.”</w:t>
      </w:r>
    </w:p>
    <w:p>
      <w:pPr>
        <w:spacing w:after="0" w:line="195" w:lineRule="exact"/>
        <w:rPr>
          <w:rFonts w:ascii="Arial" w:cs="Arial" w:eastAsia="Arial" w:hAnsi="Arial"/>
          <w:sz w:val="17"/>
          <w:szCs w:val="17"/>
          <w:color w:val="auto"/>
        </w:rPr>
      </w:pPr>
    </w:p>
    <w:p>
      <w:pPr>
        <w:ind w:left="940" w:right="120" w:hanging="504"/>
        <w:spacing w:after="0" w:line="286"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Comcast MO of Delaware, Inc. (formerly known as MediaOne of Delaware, Inc. and Continental Cablevision, Inc.), referred to as “Comcast MO of Delaware.”</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diagram also shows that Comcast Holdings Corporation, a subsidiary of Comcast and the parent of Comcast Cable Communications, Inc., as well various non-cable subsidiaries, will not be a cable guarantor, that Comcast has other non-cable subsidiaries, and that the cable guarantors have various operating subsidiaries which will not guarantee the Continental Notes.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End of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433705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3"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170"/>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94"/>
        </w:trPr>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99"/>
        </w:trPr>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172"/>
        </w:trPr>
        <w:tc>
          <w:tcPr>
            <w:tcW w:w="40" w:type="dxa"/>
            <w:vAlign w:val="bottom"/>
            <w:shd w:val="clear" w:color="auto" w:fill="EEEEEE"/>
          </w:tcPr>
          <w:p>
            <w:pPr>
              <w:spacing w:after="0"/>
              <w:rPr>
                <w:sz w:val="14"/>
                <w:szCs w:val="14"/>
                <w:color w:val="auto"/>
              </w:rPr>
            </w:pPr>
          </w:p>
        </w:tc>
        <w:tc>
          <w:tcPr>
            <w:tcW w:w="6340" w:type="dxa"/>
            <w:vAlign w:val="bottom"/>
            <w:gridSpan w:val="21"/>
            <w:shd w:val="clear" w:color="auto" w:fill="EEEEEE"/>
          </w:tcPr>
          <w:p>
            <w:pPr>
              <w:spacing w:after="0" w:line="172" w:lineRule="exact"/>
              <w:rPr>
                <w:rFonts w:ascii="Arial" w:cs="Arial" w:eastAsia="Arial" w:hAnsi="Arial"/>
                <w:sz w:val="17"/>
                <w:szCs w:val="17"/>
                <w:color w:val="0000EE"/>
              </w:rPr>
            </w:pPr>
            <w:hyperlink w:anchor="page19">
              <w:r>
                <w:rPr>
                  <w:rFonts w:ascii="Arial" w:cs="Arial" w:eastAsia="Arial" w:hAnsi="Arial"/>
                  <w:sz w:val="17"/>
                  <w:szCs w:val="17"/>
                  <w:color w:val="0000EE"/>
                </w:rPr>
                <w:t>Summary</w:t>
              </w:r>
            </w:hyperlink>
          </w:p>
        </w:tc>
        <w:tc>
          <w:tcPr>
            <w:tcW w:w="460" w:type="dxa"/>
            <w:vAlign w:val="bottom"/>
            <w:shd w:val="clear" w:color="auto" w:fill="EEEEEE"/>
          </w:tcPr>
          <w:p>
            <w:pPr>
              <w:jc w:val="right"/>
              <w:ind w:right="55"/>
              <w:spacing w:after="0" w:line="172" w:lineRule="exact"/>
              <w:rPr>
                <w:sz w:val="20"/>
                <w:szCs w:val="20"/>
                <w:color w:val="auto"/>
              </w:rPr>
            </w:pPr>
            <w:r>
              <w:rPr>
                <w:rFonts w:ascii="Arial" w:cs="Arial" w:eastAsia="Arial" w:hAnsi="Arial"/>
                <w:sz w:val="17"/>
                <w:szCs w:val="17"/>
                <w:color w:val="auto"/>
              </w:rPr>
              <w:t>1</w:t>
            </w:r>
          </w:p>
        </w:tc>
      </w:tr>
      <w:tr>
        <w:trPr>
          <w:trHeight w:val="40"/>
        </w:trPr>
        <w:tc>
          <w:tcPr>
            <w:tcW w:w="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tcBorders>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120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68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21">
              <w:r>
                <w:rPr>
                  <w:rFonts w:ascii="Arial" w:cs="Arial" w:eastAsia="Arial" w:hAnsi="Arial"/>
                  <w:sz w:val="17"/>
                  <w:szCs w:val="17"/>
                  <w:color w:val="0000EE"/>
                </w:rPr>
                <w:t>Risk Factors</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3</w:t>
            </w:r>
          </w:p>
        </w:tc>
      </w:tr>
      <w:tr>
        <w:trPr>
          <w:trHeight w:val="30"/>
        </w:trPr>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40" w:type="dxa"/>
            <w:vAlign w:val="bottom"/>
            <w:shd w:val="clear" w:color="auto" w:fill="EEEEEE"/>
          </w:tcPr>
          <w:p>
            <w:pPr>
              <w:spacing w:after="0"/>
              <w:rPr>
                <w:sz w:val="17"/>
                <w:szCs w:val="17"/>
                <w:color w:val="auto"/>
              </w:rPr>
            </w:pPr>
          </w:p>
        </w:tc>
        <w:tc>
          <w:tcPr>
            <w:tcW w:w="6340" w:type="dxa"/>
            <w:vAlign w:val="bottom"/>
            <w:gridSpan w:val="21"/>
            <w:shd w:val="clear" w:color="auto" w:fill="EEEEEE"/>
          </w:tcPr>
          <w:p>
            <w:pPr>
              <w:spacing w:after="0" w:line="182" w:lineRule="exact"/>
              <w:rPr>
                <w:rFonts w:ascii="Arial" w:cs="Arial" w:eastAsia="Arial" w:hAnsi="Arial"/>
                <w:sz w:val="17"/>
                <w:szCs w:val="17"/>
                <w:color w:val="0000EE"/>
              </w:rPr>
            </w:pPr>
            <w:hyperlink w:anchor="page29">
              <w:r>
                <w:rPr>
                  <w:rFonts w:ascii="Arial" w:cs="Arial" w:eastAsia="Arial" w:hAnsi="Arial"/>
                  <w:sz w:val="17"/>
                  <w:szCs w:val="17"/>
                  <w:color w:val="0000EE"/>
                </w:rPr>
                <w:t>Special Note Regarding Forward-Looking Statements</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11</w:t>
            </w:r>
          </w:p>
        </w:tc>
      </w:tr>
      <w:tr>
        <w:trPr>
          <w:trHeight w:val="182"/>
        </w:trPr>
        <w:tc>
          <w:tcPr>
            <w:tcW w:w="40" w:type="dxa"/>
            <w:vAlign w:val="bottom"/>
            <w:tcBorders>
              <w:top w:val="single" w:sz="8" w:color="EEEEEE"/>
            </w:tcBorders>
          </w:tcPr>
          <w:p>
            <w:pPr>
              <w:spacing w:after="0"/>
              <w:rPr>
                <w:sz w:val="15"/>
                <w:szCs w:val="15"/>
                <w:color w:val="auto"/>
              </w:rPr>
            </w:pPr>
          </w:p>
        </w:tc>
        <w:tc>
          <w:tcPr>
            <w:tcW w:w="1180" w:type="dxa"/>
            <w:vAlign w:val="bottom"/>
            <w:tcBorders>
              <w:top w:val="single" w:sz="8" w:color="0000EE"/>
              <w:bottom w:val="single" w:sz="8" w:color="0000EE"/>
            </w:tcBorders>
            <w:gridSpan w:val="6"/>
          </w:tcPr>
          <w:p>
            <w:pPr>
              <w:spacing w:after="0" w:line="172" w:lineRule="exact"/>
              <w:rPr>
                <w:rFonts w:ascii="Arial" w:cs="Arial" w:eastAsia="Arial" w:hAnsi="Arial"/>
                <w:sz w:val="17"/>
                <w:szCs w:val="17"/>
                <w:color w:val="0000EE"/>
                <w:w w:val="90"/>
              </w:rPr>
            </w:pPr>
            <w:hyperlink w:anchor="page29">
              <w:r>
                <w:rPr>
                  <w:rFonts w:ascii="Arial" w:cs="Arial" w:eastAsia="Arial" w:hAnsi="Arial"/>
                  <w:sz w:val="17"/>
                  <w:szCs w:val="17"/>
                  <w:color w:val="0000EE"/>
                  <w:w w:val="90"/>
                </w:rPr>
                <w:t>Use of Proceeds</w:t>
              </w:r>
            </w:hyperlink>
          </w:p>
        </w:tc>
        <w:tc>
          <w:tcPr>
            <w:tcW w:w="2520" w:type="dxa"/>
            <w:vAlign w:val="bottom"/>
            <w:tcBorders>
              <w:top w:val="single" w:sz="8" w:color="0000EE"/>
            </w:tcBorders>
            <w:gridSpan w:val="11"/>
          </w:tcPr>
          <w:p>
            <w:pPr>
              <w:spacing w:after="0"/>
              <w:rPr>
                <w:sz w:val="15"/>
                <w:szCs w:val="15"/>
                <w:color w:val="auto"/>
              </w:rPr>
            </w:pPr>
          </w:p>
        </w:tc>
        <w:tc>
          <w:tcPr>
            <w:tcW w:w="2640" w:type="dxa"/>
            <w:vAlign w:val="bottom"/>
            <w:tcBorders>
              <w:top w:val="single" w:sz="8" w:color="EEEEEE"/>
            </w:tcBorders>
            <w:gridSpan w:val="4"/>
          </w:tcPr>
          <w:p>
            <w:pPr>
              <w:spacing w:after="0"/>
              <w:rPr>
                <w:sz w:val="15"/>
                <w:szCs w:val="15"/>
                <w:color w:val="auto"/>
              </w:rPr>
            </w:pPr>
          </w:p>
        </w:tc>
        <w:tc>
          <w:tcPr>
            <w:tcW w:w="460" w:type="dxa"/>
            <w:vAlign w:val="bottom"/>
            <w:tcBorders>
              <w:top w:val="single" w:sz="8" w:color="EEEEEE"/>
            </w:tcBorders>
          </w:tcPr>
          <w:p>
            <w:pPr>
              <w:jc w:val="right"/>
              <w:ind w:right="55"/>
              <w:spacing w:after="0" w:line="172" w:lineRule="exact"/>
              <w:rPr>
                <w:sz w:val="20"/>
                <w:szCs w:val="20"/>
                <w:color w:val="auto"/>
              </w:rPr>
            </w:pPr>
            <w:r>
              <w:rPr>
                <w:rFonts w:ascii="Arial" w:cs="Arial" w:eastAsia="Arial" w:hAnsi="Arial"/>
                <w:sz w:val="17"/>
                <w:szCs w:val="17"/>
                <w:color w:val="auto"/>
              </w:rPr>
              <w:t>11</w:t>
            </w:r>
          </w:p>
        </w:tc>
      </w:tr>
      <w:tr>
        <w:trPr>
          <w:trHeight w:val="202"/>
        </w:trPr>
        <w:tc>
          <w:tcPr>
            <w:tcW w:w="40" w:type="dxa"/>
            <w:vAlign w:val="bottom"/>
            <w:tcBorders>
              <w:bottom w:val="single" w:sz="8" w:color="EEEEEE"/>
            </w:tcBorders>
            <w:shd w:val="clear" w:color="auto" w:fill="EEEEEE"/>
          </w:tcPr>
          <w:p>
            <w:pPr>
              <w:spacing w:after="0"/>
              <w:rPr>
                <w:sz w:val="17"/>
                <w:szCs w:val="17"/>
                <w:color w:val="auto"/>
              </w:rPr>
            </w:pPr>
          </w:p>
        </w:tc>
        <w:tc>
          <w:tcPr>
            <w:tcW w:w="1180" w:type="dxa"/>
            <w:vAlign w:val="bottom"/>
            <w:tcBorders>
              <w:bottom w:val="single" w:sz="8" w:color="0000EE"/>
              <w:right w:val="single" w:sz="8" w:color="EEEEEE"/>
            </w:tcBorders>
            <w:gridSpan w:val="6"/>
            <w:shd w:val="clear" w:color="auto" w:fill="EEEEEE"/>
          </w:tcPr>
          <w:p>
            <w:pPr>
              <w:spacing w:after="0" w:line="182" w:lineRule="exact"/>
              <w:rPr>
                <w:rFonts w:ascii="Arial" w:cs="Arial" w:eastAsia="Arial" w:hAnsi="Arial"/>
                <w:sz w:val="17"/>
                <w:szCs w:val="17"/>
                <w:color w:val="0000EE"/>
                <w:w w:val="98"/>
              </w:rPr>
            </w:pPr>
            <w:hyperlink w:anchor="page29">
              <w:r>
                <w:rPr>
                  <w:rFonts w:ascii="Arial" w:cs="Arial" w:eastAsia="Arial" w:hAnsi="Arial"/>
                  <w:sz w:val="17"/>
                  <w:szCs w:val="17"/>
                  <w:color w:val="0000EE"/>
                  <w:w w:val="98"/>
                </w:rPr>
                <w:t>Dividend Policy</w:t>
              </w:r>
            </w:hyperlink>
          </w:p>
        </w:tc>
        <w:tc>
          <w:tcPr>
            <w:tcW w:w="5160" w:type="dxa"/>
            <w:vAlign w:val="bottom"/>
            <w:tcBorders>
              <w:bottom w:val="single" w:sz="8" w:color="EEEEEE"/>
            </w:tcBorders>
            <w:gridSpan w:val="15"/>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11</w:t>
            </w:r>
          </w:p>
        </w:tc>
      </w:tr>
      <w:tr>
        <w:trPr>
          <w:trHeight w:val="182"/>
        </w:trPr>
        <w:tc>
          <w:tcPr>
            <w:tcW w:w="40" w:type="dxa"/>
            <w:vAlign w:val="bottom"/>
          </w:tcPr>
          <w:p>
            <w:pPr>
              <w:spacing w:after="0"/>
              <w:rPr>
                <w:sz w:val="15"/>
                <w:szCs w:val="15"/>
                <w:color w:val="auto"/>
              </w:rPr>
            </w:pPr>
          </w:p>
        </w:tc>
        <w:tc>
          <w:tcPr>
            <w:tcW w:w="2500" w:type="dxa"/>
            <w:vAlign w:val="bottom"/>
            <w:tcBorders>
              <w:bottom w:val="single" w:sz="8" w:color="0000EE"/>
            </w:tcBorders>
            <w:gridSpan w:val="14"/>
          </w:tcPr>
          <w:p>
            <w:pPr>
              <w:spacing w:after="0" w:line="172" w:lineRule="exact"/>
              <w:rPr>
                <w:rFonts w:ascii="Arial" w:cs="Arial" w:eastAsia="Arial" w:hAnsi="Arial"/>
                <w:sz w:val="17"/>
                <w:szCs w:val="17"/>
                <w:color w:val="0000EE"/>
                <w:w w:val="90"/>
              </w:rPr>
            </w:pPr>
            <w:hyperlink w:anchor="page29">
              <w:r>
                <w:rPr>
                  <w:rFonts w:ascii="Arial" w:cs="Arial" w:eastAsia="Arial" w:hAnsi="Arial"/>
                  <w:sz w:val="17"/>
                  <w:szCs w:val="17"/>
                  <w:color w:val="0000EE"/>
                  <w:w w:val="90"/>
                </w:rPr>
                <w:t>Ratios of Earnings to Fixed Charges</w:t>
              </w:r>
            </w:hyperlink>
          </w:p>
        </w:tc>
        <w:tc>
          <w:tcPr>
            <w:tcW w:w="3840" w:type="dxa"/>
            <w:vAlign w:val="bottom"/>
            <w:gridSpan w:val="7"/>
          </w:tcPr>
          <w:p>
            <w:pPr>
              <w:spacing w:after="0"/>
              <w:rPr>
                <w:sz w:val="15"/>
                <w:szCs w:val="15"/>
                <w:color w:val="auto"/>
              </w:rPr>
            </w:pPr>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11</w:t>
            </w:r>
          </w:p>
        </w:tc>
      </w:tr>
      <w:tr>
        <w:trPr>
          <w:trHeight w:val="182"/>
        </w:trPr>
        <w:tc>
          <w:tcPr>
            <w:tcW w:w="40" w:type="dxa"/>
            <w:vAlign w:val="bottom"/>
            <w:shd w:val="clear" w:color="auto" w:fill="EEEEEE"/>
          </w:tcPr>
          <w:p>
            <w:pPr>
              <w:spacing w:after="0"/>
              <w:rPr>
                <w:sz w:val="15"/>
                <w:szCs w:val="15"/>
                <w:color w:val="auto"/>
              </w:rPr>
            </w:pPr>
          </w:p>
        </w:tc>
        <w:tc>
          <w:tcPr>
            <w:tcW w:w="6340" w:type="dxa"/>
            <w:vAlign w:val="bottom"/>
            <w:gridSpan w:val="21"/>
            <w:shd w:val="clear" w:color="auto" w:fill="EEEEEE"/>
          </w:tcPr>
          <w:p>
            <w:pPr>
              <w:spacing w:after="0" w:line="182" w:lineRule="exact"/>
              <w:rPr>
                <w:rFonts w:ascii="Arial" w:cs="Arial" w:eastAsia="Arial" w:hAnsi="Arial"/>
                <w:sz w:val="17"/>
                <w:szCs w:val="17"/>
                <w:color w:val="0000EE"/>
              </w:rPr>
            </w:pPr>
            <w:hyperlink w:anchor="page30">
              <w:r>
                <w:rPr>
                  <w:rFonts w:ascii="Arial" w:cs="Arial" w:eastAsia="Arial" w:hAnsi="Arial"/>
                  <w:sz w:val="17"/>
                  <w:szCs w:val="17"/>
                  <w:color w:val="0000EE"/>
                </w:rPr>
                <w:t>Ratio of Earnings to Combined Fixed Charges and Preferred Dividends</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12</w:t>
            </w:r>
          </w:p>
        </w:tc>
      </w:tr>
      <w:tr>
        <w:trPr>
          <w:trHeight w:val="40"/>
        </w:trPr>
        <w:tc>
          <w:tcPr>
            <w:tcW w:w="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00" w:type="dxa"/>
            <w:vAlign w:val="bottom"/>
            <w:shd w:val="clear" w:color="auto" w:fill="0000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68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31">
              <w:r>
                <w:rPr>
                  <w:rFonts w:ascii="Arial" w:cs="Arial" w:eastAsia="Arial" w:hAnsi="Arial"/>
                  <w:sz w:val="17"/>
                  <w:szCs w:val="17"/>
                  <w:color w:val="0000EE"/>
                </w:rPr>
                <w:t>Unaudited Pro Forma Combined Condensed Statement of Operations of Comcast</w:t>
              </w:r>
            </w:hyperlink>
          </w:p>
        </w:tc>
        <w:tc>
          <w:tcPr>
            <w:tcW w:w="460" w:type="dxa"/>
            <w:vAlign w:val="bottom"/>
          </w:tcPr>
          <w:p>
            <w:pPr>
              <w:spacing w:after="0"/>
              <w:rPr>
                <w:sz w:val="14"/>
                <w:szCs w:val="14"/>
                <w:color w:val="auto"/>
              </w:rPr>
            </w:pPr>
          </w:p>
        </w:tc>
      </w:tr>
      <w:tr>
        <w:trPr>
          <w:trHeight w:val="202"/>
        </w:trPr>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3"/>
          </w:tcPr>
          <w:p>
            <w:pPr>
              <w:spacing w:after="0" w:line="192" w:lineRule="exact"/>
              <w:rPr>
                <w:rFonts w:ascii="Arial" w:cs="Arial" w:eastAsia="Arial" w:hAnsi="Arial"/>
                <w:sz w:val="17"/>
                <w:szCs w:val="17"/>
                <w:color w:val="0000EE"/>
                <w:w w:val="83"/>
              </w:rPr>
            </w:pPr>
            <w:hyperlink w:anchor="page31">
              <w:r>
                <w:rPr>
                  <w:rFonts w:ascii="Arial" w:cs="Arial" w:eastAsia="Arial" w:hAnsi="Arial"/>
                  <w:sz w:val="17"/>
                  <w:szCs w:val="17"/>
                  <w:color w:val="0000EE"/>
                  <w:w w:val="83"/>
                </w:rPr>
                <w:t>Corporation</w:t>
              </w:r>
            </w:hyperlink>
          </w:p>
        </w:tc>
        <w:tc>
          <w:tcPr>
            <w:tcW w:w="4740" w:type="dxa"/>
            <w:vAlign w:val="bottom"/>
            <w:tcBorders>
              <w:top w:val="single" w:sz="8" w:color="0000EE"/>
            </w:tcBorders>
            <w:gridSpan w:val="15"/>
          </w:tcPr>
          <w:p>
            <w:pPr>
              <w:spacing w:after="0"/>
              <w:rPr>
                <w:sz w:val="17"/>
                <w:szCs w:val="17"/>
                <w:color w:val="auto"/>
              </w:rPr>
            </w:pPr>
          </w:p>
        </w:tc>
        <w:tc>
          <w:tcPr>
            <w:tcW w:w="740" w:type="dxa"/>
            <w:vAlign w:val="bottom"/>
            <w:gridSpan w:val="2"/>
          </w:tcPr>
          <w:p>
            <w:pPr>
              <w:spacing w:after="0"/>
              <w:rPr>
                <w:sz w:val="17"/>
                <w:szCs w:val="17"/>
                <w:color w:val="auto"/>
              </w:rPr>
            </w:pPr>
          </w:p>
        </w:tc>
        <w:tc>
          <w:tcPr>
            <w:tcW w:w="460" w:type="dxa"/>
            <w:vAlign w:val="bottom"/>
          </w:tcPr>
          <w:p>
            <w:pPr>
              <w:jc w:val="right"/>
              <w:ind w:right="55"/>
              <w:spacing w:after="0" w:line="192" w:lineRule="exact"/>
              <w:rPr>
                <w:sz w:val="20"/>
                <w:szCs w:val="20"/>
                <w:color w:val="auto"/>
              </w:rPr>
            </w:pPr>
            <w:r>
              <w:rPr>
                <w:rFonts w:ascii="Arial" w:cs="Arial" w:eastAsia="Arial" w:hAnsi="Arial"/>
                <w:sz w:val="17"/>
                <w:szCs w:val="17"/>
                <w:color w:val="auto"/>
              </w:rPr>
              <w:t>13</w:t>
            </w:r>
          </w:p>
        </w:tc>
      </w:tr>
      <w:tr>
        <w:trPr>
          <w:trHeight w:val="182"/>
        </w:trPr>
        <w:tc>
          <w:tcPr>
            <w:tcW w:w="40" w:type="dxa"/>
            <w:vAlign w:val="bottom"/>
            <w:shd w:val="clear" w:color="auto" w:fill="EEEEEE"/>
          </w:tcPr>
          <w:p>
            <w:pPr>
              <w:spacing w:after="0"/>
              <w:rPr>
                <w:sz w:val="15"/>
                <w:szCs w:val="15"/>
                <w:color w:val="auto"/>
              </w:rPr>
            </w:pPr>
          </w:p>
        </w:tc>
        <w:tc>
          <w:tcPr>
            <w:tcW w:w="6340" w:type="dxa"/>
            <w:vAlign w:val="bottom"/>
            <w:gridSpan w:val="21"/>
            <w:shd w:val="clear" w:color="auto" w:fill="EEEEEE"/>
          </w:tcPr>
          <w:p>
            <w:pPr>
              <w:spacing w:after="0" w:line="182" w:lineRule="exact"/>
              <w:rPr>
                <w:rFonts w:ascii="Arial" w:cs="Arial" w:eastAsia="Arial" w:hAnsi="Arial"/>
                <w:sz w:val="17"/>
                <w:szCs w:val="17"/>
                <w:color w:val="0000EE"/>
              </w:rPr>
            </w:pPr>
            <w:hyperlink w:anchor="page34">
              <w:r>
                <w:rPr>
                  <w:rFonts w:ascii="Arial" w:cs="Arial" w:eastAsia="Arial" w:hAnsi="Arial"/>
                  <w:sz w:val="17"/>
                  <w:szCs w:val="17"/>
                  <w:color w:val="0000EE"/>
                </w:rPr>
                <w:t>Description of the Senior Debt Securities, Subordinated Debt Securities and Cable</w:t>
              </w:r>
            </w:hyperlink>
          </w:p>
        </w:tc>
        <w:tc>
          <w:tcPr>
            <w:tcW w:w="460" w:type="dxa"/>
            <w:vAlign w:val="bottom"/>
            <w:shd w:val="clear" w:color="auto" w:fill="EEEEEE"/>
          </w:tcPr>
          <w:p>
            <w:pPr>
              <w:spacing w:after="0"/>
              <w:rPr>
                <w:sz w:val="15"/>
                <w:szCs w:val="15"/>
                <w:color w:val="auto"/>
              </w:rPr>
            </w:pPr>
          </w:p>
        </w:tc>
      </w:tr>
      <w:tr>
        <w:trPr>
          <w:trHeight w:val="192"/>
        </w:trPr>
        <w:tc>
          <w:tcPr>
            <w:tcW w:w="4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5580" w:type="dxa"/>
            <w:vAlign w:val="bottom"/>
            <w:tcBorders>
              <w:top w:val="single" w:sz="8" w:color="0000EE"/>
            </w:tcBorders>
            <w:gridSpan w:val="19"/>
            <w:shd w:val="clear" w:color="auto" w:fill="EEEEEE"/>
          </w:tcPr>
          <w:p>
            <w:pPr>
              <w:spacing w:after="0" w:line="192" w:lineRule="exact"/>
              <w:rPr>
                <w:rFonts w:ascii="Arial" w:cs="Arial" w:eastAsia="Arial" w:hAnsi="Arial"/>
                <w:sz w:val="17"/>
                <w:szCs w:val="17"/>
                <w:color w:val="0000EE"/>
              </w:rPr>
            </w:pPr>
            <w:hyperlink w:anchor="page34">
              <w:r>
                <w:rPr>
                  <w:rFonts w:ascii="Arial" w:cs="Arial" w:eastAsia="Arial" w:hAnsi="Arial"/>
                  <w:sz w:val="17"/>
                  <w:szCs w:val="17"/>
                  <w:color w:val="0000EE"/>
                </w:rPr>
                <w:t>Guarantees</w:t>
              </w:r>
            </w:hyperlink>
          </w:p>
        </w:tc>
        <w:tc>
          <w:tcPr>
            <w:tcW w:w="680" w:type="dxa"/>
            <w:vAlign w:val="bottom"/>
            <w:tcBorders>
              <w:top w:val="single" w:sz="8" w:color="EEEEEE"/>
            </w:tcBorders>
            <w:shd w:val="clear" w:color="auto" w:fill="EEEEEE"/>
          </w:tcPr>
          <w:p>
            <w:pPr>
              <w:spacing w:after="0"/>
              <w:rPr>
                <w:sz w:val="16"/>
                <w:szCs w:val="16"/>
                <w:color w:val="auto"/>
              </w:rPr>
            </w:pPr>
          </w:p>
        </w:tc>
        <w:tc>
          <w:tcPr>
            <w:tcW w:w="460" w:type="dxa"/>
            <w:vAlign w:val="bottom"/>
            <w:tcBorders>
              <w:top w:val="single" w:sz="8" w:color="EEEEEE"/>
            </w:tcBorders>
            <w:shd w:val="clear" w:color="auto" w:fill="EEEEEE"/>
          </w:tcPr>
          <w:p>
            <w:pPr>
              <w:jc w:val="right"/>
              <w:ind w:right="55"/>
              <w:spacing w:after="0" w:line="192" w:lineRule="exact"/>
              <w:rPr>
                <w:sz w:val="20"/>
                <w:szCs w:val="20"/>
                <w:color w:val="auto"/>
              </w:rPr>
            </w:pPr>
            <w:r>
              <w:rPr>
                <w:rFonts w:ascii="Arial" w:cs="Arial" w:eastAsia="Arial" w:hAnsi="Arial"/>
                <w:sz w:val="17"/>
                <w:szCs w:val="17"/>
                <w:color w:val="auto"/>
              </w:rPr>
              <w:t>16</w:t>
            </w:r>
          </w:p>
        </w:tc>
      </w:tr>
      <w:tr>
        <w:trPr>
          <w:trHeight w:val="40"/>
        </w:trPr>
        <w:tc>
          <w:tcPr>
            <w:tcW w:w="4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EEEEEE"/>
            </w:tcBorders>
            <w:shd w:val="clear" w:color="auto" w:fill="EEEEEE"/>
          </w:tcPr>
          <w:p>
            <w:pPr>
              <w:spacing w:after="0"/>
              <w:rPr>
                <w:sz w:val="3"/>
                <w:szCs w:val="3"/>
                <w:color w:val="auto"/>
              </w:rPr>
            </w:pPr>
          </w:p>
        </w:tc>
        <w:tc>
          <w:tcPr>
            <w:tcW w:w="220" w:type="dxa"/>
            <w:vAlign w:val="bottom"/>
            <w:tcBorders>
              <w:right w:val="single" w:sz="8" w:color="EEEEEE"/>
            </w:tcBorders>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120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68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47">
              <w:r>
                <w:rPr>
                  <w:rFonts w:ascii="Arial" w:cs="Arial" w:eastAsia="Arial" w:hAnsi="Arial"/>
                  <w:sz w:val="17"/>
                  <w:szCs w:val="17"/>
                  <w:color w:val="0000EE"/>
                </w:rPr>
                <w:t>Description of Warrants</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29</w:t>
            </w:r>
          </w:p>
        </w:tc>
      </w:tr>
      <w:tr>
        <w:trPr>
          <w:trHeight w:val="30"/>
        </w:trPr>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40" w:type="dxa"/>
            <w:vAlign w:val="bottom"/>
            <w:tcBorders>
              <w:bottom w:val="single" w:sz="8" w:color="EEEEEE"/>
            </w:tcBorders>
            <w:shd w:val="clear" w:color="auto" w:fill="EEEEEE"/>
          </w:tcPr>
          <w:p>
            <w:pPr>
              <w:spacing w:after="0"/>
              <w:rPr>
                <w:sz w:val="17"/>
                <w:szCs w:val="17"/>
                <w:color w:val="auto"/>
              </w:rPr>
            </w:pPr>
          </w:p>
        </w:tc>
        <w:tc>
          <w:tcPr>
            <w:tcW w:w="2360" w:type="dxa"/>
            <w:vAlign w:val="bottom"/>
            <w:tcBorders>
              <w:bottom w:val="single" w:sz="8" w:color="0000EE"/>
            </w:tcBorders>
            <w:gridSpan w:val="13"/>
            <w:shd w:val="clear" w:color="auto" w:fill="EEEEEE"/>
          </w:tcPr>
          <w:p>
            <w:pPr>
              <w:spacing w:after="0" w:line="182" w:lineRule="exact"/>
              <w:rPr>
                <w:rFonts w:ascii="Arial" w:cs="Arial" w:eastAsia="Arial" w:hAnsi="Arial"/>
                <w:sz w:val="17"/>
                <w:szCs w:val="17"/>
                <w:color w:val="0000EE"/>
                <w:w w:val="90"/>
              </w:rPr>
            </w:pPr>
            <w:hyperlink w:anchor="page48">
              <w:r>
                <w:rPr>
                  <w:rFonts w:ascii="Arial" w:cs="Arial" w:eastAsia="Arial" w:hAnsi="Arial"/>
                  <w:sz w:val="17"/>
                  <w:szCs w:val="17"/>
                  <w:color w:val="0000EE"/>
                  <w:w w:val="90"/>
                </w:rPr>
                <w:t>Description of Purchase Contracts</w:t>
              </w:r>
            </w:hyperlink>
          </w:p>
        </w:tc>
        <w:tc>
          <w:tcPr>
            <w:tcW w:w="3980" w:type="dxa"/>
            <w:vAlign w:val="bottom"/>
            <w:tcBorders>
              <w:bottom w:val="single" w:sz="8" w:color="EEEEEE"/>
            </w:tcBorders>
            <w:gridSpan w:val="8"/>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30</w:t>
            </w:r>
          </w:p>
        </w:tc>
      </w:tr>
      <w:tr>
        <w:trPr>
          <w:trHeight w:val="182"/>
        </w:trPr>
        <w:tc>
          <w:tcPr>
            <w:tcW w:w="40" w:type="dxa"/>
            <w:vAlign w:val="bottom"/>
          </w:tcPr>
          <w:p>
            <w:pPr>
              <w:spacing w:after="0"/>
              <w:rPr>
                <w:sz w:val="15"/>
                <w:szCs w:val="15"/>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48">
              <w:r>
                <w:rPr>
                  <w:rFonts w:ascii="Arial" w:cs="Arial" w:eastAsia="Arial" w:hAnsi="Arial"/>
                  <w:sz w:val="17"/>
                  <w:szCs w:val="17"/>
                  <w:color w:val="0000EE"/>
                </w:rPr>
                <w:t>Description of Units</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30</w:t>
            </w:r>
          </w:p>
        </w:tc>
      </w:tr>
      <w:tr>
        <w:trPr>
          <w:trHeight w:val="182"/>
        </w:trPr>
        <w:tc>
          <w:tcPr>
            <w:tcW w:w="40" w:type="dxa"/>
            <w:vAlign w:val="bottom"/>
            <w:shd w:val="clear" w:color="auto" w:fill="EEEEEE"/>
          </w:tcPr>
          <w:p>
            <w:pPr>
              <w:spacing w:after="0"/>
              <w:rPr>
                <w:sz w:val="15"/>
                <w:szCs w:val="15"/>
                <w:color w:val="auto"/>
              </w:rPr>
            </w:pPr>
          </w:p>
        </w:tc>
        <w:tc>
          <w:tcPr>
            <w:tcW w:w="1400" w:type="dxa"/>
            <w:vAlign w:val="bottom"/>
            <w:tcBorders>
              <w:top w:val="single" w:sz="8" w:color="0000EE"/>
            </w:tcBorders>
            <w:gridSpan w:val="8"/>
            <w:shd w:val="clear" w:color="auto" w:fill="EEEEEE"/>
          </w:tcPr>
          <w:p>
            <w:pPr>
              <w:spacing w:after="0" w:line="182" w:lineRule="exact"/>
              <w:rPr>
                <w:rFonts w:ascii="Arial" w:cs="Arial" w:eastAsia="Arial" w:hAnsi="Arial"/>
                <w:sz w:val="17"/>
                <w:szCs w:val="17"/>
                <w:color w:val="0000EE"/>
              </w:rPr>
            </w:pPr>
            <w:hyperlink w:anchor="page49">
              <w:r>
                <w:rPr>
                  <w:rFonts w:ascii="Arial" w:cs="Arial" w:eastAsia="Arial" w:hAnsi="Arial"/>
                  <w:sz w:val="17"/>
                  <w:szCs w:val="17"/>
                  <w:color w:val="0000EE"/>
                </w:rPr>
                <w:t>Global Securities</w:t>
              </w:r>
            </w:hyperlink>
          </w:p>
        </w:tc>
        <w:tc>
          <w:tcPr>
            <w:tcW w:w="4940" w:type="dxa"/>
            <w:vAlign w:val="bottom"/>
            <w:gridSpan w:val="13"/>
            <w:shd w:val="clear" w:color="auto" w:fill="EEEEEE"/>
          </w:tcPr>
          <w:p>
            <w:pPr>
              <w:spacing w:after="0"/>
              <w:rPr>
                <w:sz w:val="15"/>
                <w:szCs w:val="15"/>
                <w:color w:val="auto"/>
              </w:rPr>
            </w:pPr>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31</w:t>
            </w:r>
          </w:p>
        </w:tc>
      </w:tr>
      <w:tr>
        <w:trPr>
          <w:trHeight w:val="40"/>
        </w:trPr>
        <w:tc>
          <w:tcPr>
            <w:tcW w:w="40" w:type="dxa"/>
            <w:vAlign w:val="bottom"/>
            <w:shd w:val="clear" w:color="auto" w:fill="EEEE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00" w:type="dxa"/>
            <w:vAlign w:val="bottom"/>
            <w:tcBorders>
              <w:left w:val="single" w:sz="8" w:color="0000EE"/>
            </w:tcBorders>
            <w:shd w:val="clear" w:color="auto" w:fill="0000EE"/>
          </w:tcPr>
          <w:p>
            <w:pPr>
              <w:spacing w:after="0"/>
              <w:rPr>
                <w:sz w:val="3"/>
                <w:szCs w:val="3"/>
                <w:color w:val="auto"/>
              </w:rPr>
            </w:pPr>
          </w:p>
        </w:tc>
        <w:tc>
          <w:tcPr>
            <w:tcW w:w="22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4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c>
          <w:tcPr>
            <w:tcW w:w="180" w:type="dxa"/>
            <w:vAlign w:val="bottom"/>
            <w:shd w:val="clear" w:color="auto" w:fill="EEEEEE"/>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1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760" w:type="dxa"/>
            <w:vAlign w:val="bottom"/>
            <w:shd w:val="clear" w:color="auto" w:fill="EEEEEE"/>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120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680" w:type="dxa"/>
            <w:vAlign w:val="bottom"/>
            <w:shd w:val="clear" w:color="auto" w:fill="EEEEEE"/>
          </w:tcPr>
          <w:p>
            <w:pPr>
              <w:spacing w:after="0"/>
              <w:rPr>
                <w:sz w:val="3"/>
                <w:szCs w:val="3"/>
                <w:color w:val="auto"/>
              </w:rPr>
            </w:pPr>
          </w:p>
        </w:tc>
        <w:tc>
          <w:tcPr>
            <w:tcW w:w="460" w:type="dxa"/>
            <w:vAlign w:val="bottom"/>
            <w:shd w:val="clear" w:color="auto" w:fill="EEEEEE"/>
          </w:tcPr>
          <w:p>
            <w:pPr>
              <w:spacing w:after="0"/>
              <w:rPr>
                <w:sz w:val="3"/>
                <w:szCs w:val="3"/>
                <w:color w:val="auto"/>
              </w:rPr>
            </w:pPr>
          </w:p>
        </w:tc>
      </w:tr>
      <w:tr>
        <w:trPr>
          <w:trHeight w:val="172"/>
        </w:trPr>
        <w:tc>
          <w:tcPr>
            <w:tcW w:w="40" w:type="dxa"/>
            <w:vAlign w:val="bottom"/>
          </w:tcPr>
          <w:p>
            <w:pPr>
              <w:spacing w:after="0"/>
              <w:rPr>
                <w:sz w:val="14"/>
                <w:szCs w:val="14"/>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50">
              <w:r>
                <w:rPr>
                  <w:rFonts w:ascii="Arial" w:cs="Arial" w:eastAsia="Arial" w:hAnsi="Arial"/>
                  <w:sz w:val="17"/>
                  <w:szCs w:val="17"/>
                  <w:color w:val="0000EE"/>
                </w:rPr>
                <w:t>Description of Preferred Stock</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32</w:t>
            </w:r>
          </w:p>
        </w:tc>
      </w:tr>
      <w:tr>
        <w:trPr>
          <w:trHeight w:val="30"/>
        </w:trPr>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40" w:type="dxa"/>
            <w:vAlign w:val="bottom"/>
            <w:shd w:val="clear" w:color="auto" w:fill="EEEEEE"/>
          </w:tcPr>
          <w:p>
            <w:pPr>
              <w:spacing w:after="0"/>
              <w:rPr>
                <w:sz w:val="17"/>
                <w:szCs w:val="17"/>
                <w:color w:val="auto"/>
              </w:rPr>
            </w:pPr>
          </w:p>
        </w:tc>
        <w:tc>
          <w:tcPr>
            <w:tcW w:w="6340" w:type="dxa"/>
            <w:vAlign w:val="bottom"/>
            <w:gridSpan w:val="21"/>
            <w:shd w:val="clear" w:color="auto" w:fill="EEEEEE"/>
          </w:tcPr>
          <w:p>
            <w:pPr>
              <w:spacing w:after="0" w:line="182" w:lineRule="exact"/>
              <w:rPr>
                <w:rFonts w:ascii="Arial" w:cs="Arial" w:eastAsia="Arial" w:hAnsi="Arial"/>
                <w:sz w:val="17"/>
                <w:szCs w:val="17"/>
                <w:color w:val="0000EE"/>
              </w:rPr>
            </w:pPr>
            <w:hyperlink w:anchor="page51">
              <w:r>
                <w:rPr>
                  <w:rFonts w:ascii="Arial" w:cs="Arial" w:eastAsia="Arial" w:hAnsi="Arial"/>
                  <w:sz w:val="17"/>
                  <w:szCs w:val="17"/>
                  <w:color w:val="0000EE"/>
                </w:rPr>
                <w:t>Description of Depositary Shares</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33</w:t>
            </w:r>
          </w:p>
        </w:tc>
      </w:tr>
      <w:tr>
        <w:trPr>
          <w:trHeight w:val="172"/>
        </w:trPr>
        <w:tc>
          <w:tcPr>
            <w:tcW w:w="40" w:type="dxa"/>
            <w:vAlign w:val="bottom"/>
            <w:tcBorders>
              <w:top w:val="single" w:sz="8" w:color="EEEEEE"/>
            </w:tcBorders>
          </w:tcPr>
          <w:p>
            <w:pPr>
              <w:spacing w:after="0"/>
              <w:rPr>
                <w:sz w:val="14"/>
                <w:szCs w:val="14"/>
                <w:color w:val="auto"/>
              </w:rPr>
            </w:pPr>
          </w:p>
        </w:tc>
        <w:tc>
          <w:tcPr>
            <w:tcW w:w="2280" w:type="dxa"/>
            <w:vAlign w:val="bottom"/>
            <w:tcBorders>
              <w:top w:val="single" w:sz="8" w:color="0000EE"/>
            </w:tcBorders>
            <w:gridSpan w:val="12"/>
          </w:tcPr>
          <w:p>
            <w:pPr>
              <w:spacing w:after="0" w:line="172" w:lineRule="exact"/>
              <w:rPr>
                <w:rFonts w:ascii="Arial" w:cs="Arial" w:eastAsia="Arial" w:hAnsi="Arial"/>
                <w:sz w:val="17"/>
                <w:szCs w:val="17"/>
                <w:color w:val="0000EE"/>
              </w:rPr>
            </w:pPr>
            <w:hyperlink w:anchor="page53">
              <w:r>
                <w:rPr>
                  <w:rFonts w:ascii="Arial" w:cs="Arial" w:eastAsia="Arial" w:hAnsi="Arial"/>
                  <w:sz w:val="17"/>
                  <w:szCs w:val="17"/>
                  <w:color w:val="0000EE"/>
                </w:rPr>
                <w:t>Description of Common Stock</w:t>
              </w:r>
            </w:hyperlink>
          </w:p>
        </w:tc>
        <w:tc>
          <w:tcPr>
            <w:tcW w:w="4060" w:type="dxa"/>
            <w:vAlign w:val="bottom"/>
            <w:tcBorders>
              <w:top w:val="single" w:sz="8" w:color="EEEEEE"/>
            </w:tcBorders>
            <w:gridSpan w:val="9"/>
          </w:tcPr>
          <w:p>
            <w:pPr>
              <w:spacing w:after="0"/>
              <w:rPr>
                <w:sz w:val="14"/>
                <w:szCs w:val="14"/>
                <w:color w:val="auto"/>
              </w:rPr>
            </w:pPr>
          </w:p>
        </w:tc>
        <w:tc>
          <w:tcPr>
            <w:tcW w:w="460" w:type="dxa"/>
            <w:vAlign w:val="bottom"/>
            <w:tcBorders>
              <w:top w:val="single" w:sz="8" w:color="EEEEEE"/>
            </w:tcBorders>
          </w:tcPr>
          <w:p>
            <w:pPr>
              <w:jc w:val="right"/>
              <w:ind w:right="55"/>
              <w:spacing w:after="0" w:line="172" w:lineRule="exact"/>
              <w:rPr>
                <w:sz w:val="20"/>
                <w:szCs w:val="20"/>
                <w:color w:val="auto"/>
              </w:rPr>
            </w:pPr>
            <w:r>
              <w:rPr>
                <w:rFonts w:ascii="Arial" w:cs="Arial" w:eastAsia="Arial" w:hAnsi="Arial"/>
                <w:sz w:val="17"/>
                <w:szCs w:val="17"/>
                <w:color w:val="auto"/>
              </w:rPr>
              <w:t>35</w:t>
            </w:r>
          </w:p>
        </w:tc>
      </w:tr>
      <w:tr>
        <w:trPr>
          <w:trHeight w:val="30"/>
        </w:trPr>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40" w:type="dxa"/>
            <w:vAlign w:val="bottom"/>
            <w:shd w:val="clear" w:color="auto" w:fill="EEEEEE"/>
          </w:tcPr>
          <w:p>
            <w:pPr>
              <w:spacing w:after="0"/>
              <w:rPr>
                <w:sz w:val="17"/>
                <w:szCs w:val="17"/>
                <w:color w:val="auto"/>
              </w:rPr>
            </w:pPr>
          </w:p>
        </w:tc>
        <w:tc>
          <w:tcPr>
            <w:tcW w:w="6340" w:type="dxa"/>
            <w:vAlign w:val="bottom"/>
            <w:gridSpan w:val="21"/>
            <w:shd w:val="clear" w:color="auto" w:fill="EEEEEE"/>
          </w:tcPr>
          <w:p>
            <w:pPr>
              <w:spacing w:after="0" w:line="182" w:lineRule="exact"/>
              <w:rPr>
                <w:rFonts w:ascii="Arial" w:cs="Arial" w:eastAsia="Arial" w:hAnsi="Arial"/>
                <w:sz w:val="17"/>
                <w:szCs w:val="17"/>
                <w:color w:val="0000EE"/>
              </w:rPr>
            </w:pPr>
            <w:hyperlink w:anchor="page56">
              <w:r>
                <w:rPr>
                  <w:rFonts w:ascii="Arial" w:cs="Arial" w:eastAsia="Arial" w:hAnsi="Arial"/>
                  <w:sz w:val="17"/>
                  <w:szCs w:val="17"/>
                  <w:color w:val="0000EE"/>
                </w:rPr>
                <w:t>Description of Shareholder Rights Plan</w:t>
              </w:r>
            </w:hyperlink>
          </w:p>
        </w:tc>
        <w:tc>
          <w:tcPr>
            <w:tcW w:w="460" w:type="dxa"/>
            <w:vAlign w:val="bottom"/>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38</w:t>
            </w:r>
          </w:p>
        </w:tc>
      </w:tr>
      <w:tr>
        <w:trPr>
          <w:trHeight w:val="182"/>
        </w:trPr>
        <w:tc>
          <w:tcPr>
            <w:tcW w:w="40" w:type="dxa"/>
            <w:vAlign w:val="bottom"/>
            <w:tcBorders>
              <w:top w:val="single" w:sz="8" w:color="EEEEEE"/>
            </w:tcBorders>
          </w:tcPr>
          <w:p>
            <w:pPr>
              <w:spacing w:after="0"/>
              <w:rPr>
                <w:sz w:val="15"/>
                <w:szCs w:val="15"/>
                <w:color w:val="auto"/>
              </w:rPr>
            </w:pPr>
          </w:p>
        </w:tc>
        <w:tc>
          <w:tcPr>
            <w:tcW w:w="2700" w:type="dxa"/>
            <w:vAlign w:val="bottom"/>
            <w:tcBorders>
              <w:top w:val="single" w:sz="8" w:color="0000EE"/>
            </w:tcBorders>
            <w:gridSpan w:val="15"/>
          </w:tcPr>
          <w:p>
            <w:pPr>
              <w:spacing w:after="0" w:line="172" w:lineRule="exact"/>
              <w:rPr>
                <w:rFonts w:ascii="Arial" w:cs="Arial" w:eastAsia="Arial" w:hAnsi="Arial"/>
                <w:sz w:val="17"/>
                <w:szCs w:val="17"/>
                <w:color w:val="0000EE"/>
              </w:rPr>
            </w:pPr>
            <w:hyperlink w:anchor="page59">
              <w:r>
                <w:rPr>
                  <w:rFonts w:ascii="Arial" w:cs="Arial" w:eastAsia="Arial" w:hAnsi="Arial"/>
                  <w:sz w:val="17"/>
                  <w:szCs w:val="17"/>
                  <w:color w:val="0000EE"/>
                </w:rPr>
                <w:t>Plan of Distribution</w:t>
              </w:r>
            </w:hyperlink>
          </w:p>
        </w:tc>
        <w:tc>
          <w:tcPr>
            <w:tcW w:w="3640" w:type="dxa"/>
            <w:vAlign w:val="bottom"/>
            <w:tcBorders>
              <w:top w:val="single" w:sz="8" w:color="EEEEEE"/>
            </w:tcBorders>
            <w:gridSpan w:val="6"/>
          </w:tcPr>
          <w:p>
            <w:pPr>
              <w:spacing w:after="0"/>
              <w:rPr>
                <w:sz w:val="15"/>
                <w:szCs w:val="15"/>
                <w:color w:val="auto"/>
              </w:rPr>
            </w:pPr>
          </w:p>
        </w:tc>
        <w:tc>
          <w:tcPr>
            <w:tcW w:w="460" w:type="dxa"/>
            <w:vAlign w:val="bottom"/>
            <w:tcBorders>
              <w:top w:val="single" w:sz="8" w:color="EEEEEE"/>
            </w:tcBorders>
          </w:tcPr>
          <w:p>
            <w:pPr>
              <w:jc w:val="right"/>
              <w:ind w:right="55"/>
              <w:spacing w:after="0" w:line="172" w:lineRule="exact"/>
              <w:rPr>
                <w:sz w:val="20"/>
                <w:szCs w:val="20"/>
                <w:color w:val="auto"/>
              </w:rPr>
            </w:pPr>
            <w:r>
              <w:rPr>
                <w:rFonts w:ascii="Arial" w:cs="Arial" w:eastAsia="Arial" w:hAnsi="Arial"/>
                <w:sz w:val="17"/>
                <w:szCs w:val="17"/>
                <w:color w:val="auto"/>
              </w:rPr>
              <w:t>41</w:t>
            </w:r>
          </w:p>
        </w:tc>
      </w:tr>
      <w:tr>
        <w:trPr>
          <w:trHeight w:val="202"/>
        </w:trPr>
        <w:tc>
          <w:tcPr>
            <w:tcW w:w="40" w:type="dxa"/>
            <w:vAlign w:val="bottom"/>
            <w:tcBorders>
              <w:bottom w:val="single" w:sz="8" w:color="EEEEEE"/>
            </w:tcBorders>
            <w:shd w:val="clear" w:color="auto" w:fill="EEEEEE"/>
          </w:tcPr>
          <w:p>
            <w:pPr>
              <w:spacing w:after="0"/>
              <w:rPr>
                <w:sz w:val="17"/>
                <w:szCs w:val="17"/>
                <w:color w:val="auto"/>
              </w:rPr>
            </w:pPr>
          </w:p>
        </w:tc>
        <w:tc>
          <w:tcPr>
            <w:tcW w:w="960" w:type="dxa"/>
            <w:vAlign w:val="bottom"/>
            <w:tcBorders>
              <w:top w:val="single" w:sz="8" w:color="0000EE"/>
              <w:bottom w:val="single" w:sz="8" w:color="0000EE"/>
            </w:tcBorders>
            <w:gridSpan w:val="5"/>
            <w:shd w:val="clear" w:color="auto" w:fill="EEEEEE"/>
          </w:tcPr>
          <w:p>
            <w:pPr>
              <w:spacing w:after="0" w:line="182" w:lineRule="exact"/>
              <w:rPr>
                <w:rFonts w:ascii="Arial" w:cs="Arial" w:eastAsia="Arial" w:hAnsi="Arial"/>
                <w:sz w:val="17"/>
                <w:szCs w:val="17"/>
                <w:color w:val="0000EE"/>
                <w:w w:val="91"/>
              </w:rPr>
            </w:pPr>
            <w:hyperlink w:anchor="page59">
              <w:r>
                <w:rPr>
                  <w:rFonts w:ascii="Arial" w:cs="Arial" w:eastAsia="Arial" w:hAnsi="Arial"/>
                  <w:sz w:val="17"/>
                  <w:szCs w:val="17"/>
                  <w:color w:val="0000EE"/>
                  <w:w w:val="91"/>
                </w:rPr>
                <w:t>Legal Matters</w:t>
              </w:r>
            </w:hyperlink>
          </w:p>
        </w:tc>
        <w:tc>
          <w:tcPr>
            <w:tcW w:w="400" w:type="dxa"/>
            <w:vAlign w:val="bottom"/>
            <w:tcBorders>
              <w:top w:val="single" w:sz="8" w:color="0000EE"/>
              <w:bottom w:val="single" w:sz="8" w:color="EEEEEE"/>
            </w:tcBorders>
            <w:gridSpan w:val="2"/>
            <w:shd w:val="clear" w:color="auto" w:fill="EEEEEE"/>
          </w:tcPr>
          <w:p>
            <w:pPr>
              <w:spacing w:after="0"/>
              <w:rPr>
                <w:sz w:val="17"/>
                <w:szCs w:val="17"/>
                <w:color w:val="auto"/>
              </w:rPr>
            </w:pPr>
          </w:p>
        </w:tc>
        <w:tc>
          <w:tcPr>
            <w:tcW w:w="4980" w:type="dxa"/>
            <w:vAlign w:val="bottom"/>
            <w:tcBorders>
              <w:bottom w:val="single" w:sz="8" w:color="EEEEEE"/>
            </w:tcBorders>
            <w:gridSpan w:val="14"/>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41</w:t>
            </w:r>
          </w:p>
        </w:tc>
      </w:tr>
      <w:tr>
        <w:trPr>
          <w:trHeight w:val="172"/>
        </w:trPr>
        <w:tc>
          <w:tcPr>
            <w:tcW w:w="40" w:type="dxa"/>
            <w:vAlign w:val="bottom"/>
          </w:tcPr>
          <w:p>
            <w:pPr>
              <w:spacing w:after="0"/>
              <w:rPr>
                <w:sz w:val="14"/>
                <w:szCs w:val="14"/>
                <w:color w:val="auto"/>
              </w:rPr>
            </w:pPr>
          </w:p>
        </w:tc>
        <w:tc>
          <w:tcPr>
            <w:tcW w:w="6340" w:type="dxa"/>
            <w:vAlign w:val="bottom"/>
            <w:gridSpan w:val="21"/>
          </w:tcPr>
          <w:p>
            <w:pPr>
              <w:spacing w:after="0" w:line="172" w:lineRule="exact"/>
              <w:rPr>
                <w:rFonts w:ascii="Arial" w:cs="Arial" w:eastAsia="Arial" w:hAnsi="Arial"/>
                <w:sz w:val="17"/>
                <w:szCs w:val="17"/>
                <w:color w:val="0000EE"/>
              </w:rPr>
            </w:pPr>
            <w:hyperlink w:anchor="page60">
              <w:r>
                <w:rPr>
                  <w:rFonts w:ascii="Arial" w:cs="Arial" w:eastAsia="Arial" w:hAnsi="Arial"/>
                  <w:sz w:val="17"/>
                  <w:szCs w:val="17"/>
                  <w:color w:val="0000EE"/>
                </w:rPr>
                <w:t>Experts</w:t>
              </w:r>
            </w:hyperlink>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42</w:t>
            </w:r>
          </w:p>
        </w:tc>
      </w:tr>
      <w:tr>
        <w:trPr>
          <w:trHeight w:val="30"/>
        </w:trPr>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02"/>
        </w:trPr>
        <w:tc>
          <w:tcPr>
            <w:tcW w:w="40" w:type="dxa"/>
            <w:vAlign w:val="bottom"/>
            <w:tcBorders>
              <w:bottom w:val="single" w:sz="8" w:color="EEEEEE"/>
            </w:tcBorders>
            <w:shd w:val="clear" w:color="auto" w:fill="EEEEEE"/>
          </w:tcPr>
          <w:p>
            <w:pPr>
              <w:spacing w:after="0"/>
              <w:rPr>
                <w:sz w:val="17"/>
                <w:szCs w:val="17"/>
                <w:color w:val="auto"/>
              </w:rPr>
            </w:pPr>
          </w:p>
        </w:tc>
        <w:tc>
          <w:tcPr>
            <w:tcW w:w="1520" w:type="dxa"/>
            <w:vAlign w:val="bottom"/>
            <w:tcBorders>
              <w:bottom w:val="single" w:sz="8" w:color="0000EE"/>
            </w:tcBorders>
            <w:gridSpan w:val="9"/>
            <w:shd w:val="clear" w:color="auto" w:fill="EEEEEE"/>
          </w:tcPr>
          <w:p>
            <w:pPr>
              <w:spacing w:after="0" w:line="182" w:lineRule="exact"/>
              <w:rPr>
                <w:rFonts w:ascii="Arial" w:cs="Arial" w:eastAsia="Arial" w:hAnsi="Arial"/>
                <w:sz w:val="17"/>
                <w:szCs w:val="17"/>
                <w:color w:val="0000EE"/>
                <w:w w:val="94"/>
              </w:rPr>
            </w:pPr>
            <w:hyperlink w:anchor="page60">
              <w:r>
                <w:rPr>
                  <w:rFonts w:ascii="Arial" w:cs="Arial" w:eastAsia="Arial" w:hAnsi="Arial"/>
                  <w:sz w:val="17"/>
                  <w:szCs w:val="17"/>
                  <w:color w:val="0000EE"/>
                  <w:w w:val="94"/>
                </w:rPr>
                <w:t>Available Information</w:t>
              </w:r>
            </w:hyperlink>
          </w:p>
        </w:tc>
        <w:tc>
          <w:tcPr>
            <w:tcW w:w="4820" w:type="dxa"/>
            <w:vAlign w:val="bottom"/>
            <w:tcBorders>
              <w:bottom w:val="single" w:sz="8" w:color="EEEEEE"/>
            </w:tcBorders>
            <w:gridSpan w:val="12"/>
            <w:shd w:val="clear" w:color="auto" w:fill="EEEEEE"/>
          </w:tcPr>
          <w:p>
            <w:pPr>
              <w:spacing w:after="0"/>
              <w:rPr>
                <w:sz w:val="17"/>
                <w:szCs w:val="17"/>
                <w:color w:val="auto"/>
              </w:rPr>
            </w:pPr>
          </w:p>
        </w:tc>
        <w:tc>
          <w:tcPr>
            <w:tcW w:w="460" w:type="dxa"/>
            <w:vAlign w:val="bottom"/>
            <w:tcBorders>
              <w:bottom w:val="single" w:sz="8" w:color="EEEEEE"/>
            </w:tcBorders>
            <w:shd w:val="clear" w:color="auto" w:fill="EEEEEE"/>
          </w:tcPr>
          <w:p>
            <w:pPr>
              <w:jc w:val="right"/>
              <w:ind w:right="55"/>
              <w:spacing w:after="0" w:line="182" w:lineRule="exact"/>
              <w:rPr>
                <w:sz w:val="20"/>
                <w:szCs w:val="20"/>
                <w:color w:val="auto"/>
              </w:rPr>
            </w:pPr>
            <w:r>
              <w:rPr>
                <w:rFonts w:ascii="Arial" w:cs="Arial" w:eastAsia="Arial" w:hAnsi="Arial"/>
                <w:sz w:val="17"/>
                <w:szCs w:val="17"/>
                <w:color w:val="auto"/>
              </w:rPr>
              <w:t>42</w:t>
            </w:r>
          </w:p>
        </w:tc>
      </w:tr>
      <w:tr>
        <w:trPr>
          <w:trHeight w:val="172"/>
        </w:trPr>
        <w:tc>
          <w:tcPr>
            <w:tcW w:w="40" w:type="dxa"/>
            <w:vAlign w:val="bottom"/>
          </w:tcPr>
          <w:p>
            <w:pPr>
              <w:spacing w:after="0"/>
              <w:rPr>
                <w:sz w:val="14"/>
                <w:szCs w:val="14"/>
                <w:color w:val="auto"/>
              </w:rPr>
            </w:pPr>
          </w:p>
        </w:tc>
        <w:tc>
          <w:tcPr>
            <w:tcW w:w="3460" w:type="dxa"/>
            <w:vAlign w:val="bottom"/>
            <w:tcBorders>
              <w:bottom w:val="single" w:sz="8" w:color="0000EE"/>
            </w:tcBorders>
            <w:gridSpan w:val="16"/>
          </w:tcPr>
          <w:p>
            <w:pPr>
              <w:spacing w:after="0" w:line="172" w:lineRule="exact"/>
              <w:rPr>
                <w:rFonts w:ascii="Arial" w:cs="Arial" w:eastAsia="Arial" w:hAnsi="Arial"/>
                <w:sz w:val="17"/>
                <w:szCs w:val="17"/>
                <w:color w:val="0000EE"/>
                <w:w w:val="91"/>
              </w:rPr>
            </w:pPr>
            <w:hyperlink w:anchor="page61">
              <w:r>
                <w:rPr>
                  <w:rFonts w:ascii="Arial" w:cs="Arial" w:eastAsia="Arial" w:hAnsi="Arial"/>
                  <w:sz w:val="17"/>
                  <w:szCs w:val="17"/>
                  <w:color w:val="0000EE"/>
                  <w:w w:val="91"/>
                </w:rPr>
                <w:t>Incorporation of Certain Documents by Reference</w:t>
              </w:r>
            </w:hyperlink>
          </w:p>
        </w:tc>
        <w:tc>
          <w:tcPr>
            <w:tcW w:w="2880" w:type="dxa"/>
            <w:vAlign w:val="bottom"/>
            <w:gridSpan w:val="5"/>
          </w:tcPr>
          <w:p>
            <w:pPr>
              <w:spacing w:after="0"/>
              <w:rPr>
                <w:sz w:val="14"/>
                <w:szCs w:val="14"/>
                <w:color w:val="auto"/>
              </w:rPr>
            </w:pPr>
          </w:p>
        </w:tc>
        <w:tc>
          <w:tcPr>
            <w:tcW w:w="460" w:type="dxa"/>
            <w:vAlign w:val="bottom"/>
          </w:tcPr>
          <w:p>
            <w:pPr>
              <w:jc w:val="right"/>
              <w:ind w:right="55"/>
              <w:spacing w:after="0" w:line="172" w:lineRule="exact"/>
              <w:rPr>
                <w:sz w:val="20"/>
                <w:szCs w:val="20"/>
                <w:color w:val="auto"/>
              </w:rPr>
            </w:pPr>
            <w:r>
              <w:rPr>
                <w:rFonts w:ascii="Arial" w:cs="Arial" w:eastAsia="Arial" w:hAnsi="Arial"/>
                <w:sz w:val="17"/>
                <w:szCs w:val="17"/>
                <w:color w:val="auto"/>
              </w:rPr>
              <w:t>43</w:t>
            </w:r>
          </w:p>
        </w:tc>
      </w:tr>
    </w:tbl>
    <w:p>
      <w:pPr>
        <w:spacing w:after="0" w:line="256"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7"/>
          <w:szCs w:val="17"/>
          <w:color w:val="auto"/>
        </w:rPr>
        <w:t>We refer to Comcast Corporation in this prospectus as “Comcast” or “we,” “us,” “our” or comparable terms and to Comcast Holdings Corporation as “Comcast Holdings.” We refer to Comcast Cable Communications, Inc., Comcast Cable Communications Holdings, Inc., Comcast Cable Holdings, LLC, Comcast MO Group, Inc. and Comcast MO of Delaware, Inc. collectively as the “Cable Guarantors.”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SUMMARY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COMPANIES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260" w:lineRule="exact"/>
        <w:rPr>
          <w:sz w:val="20"/>
          <w:szCs w:val="20"/>
          <w:color w:val="auto"/>
        </w:rPr>
      </w:pPr>
    </w:p>
    <w:p>
      <w:pPr>
        <w:jc w:val="both"/>
        <w:ind w:right="60" w:firstLine="318"/>
        <w:spacing w:after="0" w:line="273" w:lineRule="auto"/>
        <w:rPr>
          <w:sz w:val="20"/>
          <w:szCs w:val="20"/>
          <w:color w:val="auto"/>
        </w:rPr>
      </w:pPr>
      <w:r>
        <w:rPr>
          <w:rFonts w:ascii="Arial" w:cs="Arial" w:eastAsia="Arial" w:hAnsi="Arial"/>
          <w:sz w:val="17"/>
          <w:szCs w:val="17"/>
          <w:color w:val="auto"/>
        </w:rPr>
        <w:t>We were incorporated in 2001 under the name AT&amp;T Comcast Corporation to effect the acquisition of the broadband business of AT&amp;T Corp, which we refer to as “Broadband.” The acquisition, which we refer to as the “Broadband acquisition,” was consummated on November 18, 2002. On November 18, 2002, we changed our name to Comcast Corporation.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involved in three principal lines of business:</w:t>
      </w:r>
    </w:p>
    <w:p>
      <w:pPr>
        <w:spacing w:after="0" w:line="228" w:lineRule="exact"/>
        <w:rPr>
          <w:sz w:val="20"/>
          <w:szCs w:val="20"/>
          <w:color w:val="auto"/>
        </w:rPr>
      </w:pPr>
    </w:p>
    <w:p>
      <w:pPr>
        <w:ind w:left="820" w:right="220" w:hanging="470"/>
        <w:spacing w:after="0" w:line="286"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Cable—through the development, management and operation of broadband communications networks, including video, high-speed Internet and phone service,</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Commerce—through QVC, our electronic retailing subsidiary, and</w:t>
      </w:r>
    </w:p>
    <w:p>
      <w:pPr>
        <w:spacing w:after="0" w:line="280" w:lineRule="exact"/>
        <w:rPr>
          <w:rFonts w:ascii="Arial" w:cs="Arial" w:eastAsia="Arial" w:hAnsi="Arial"/>
          <w:sz w:val="17"/>
          <w:szCs w:val="17"/>
          <w:color w:val="auto"/>
        </w:rPr>
      </w:pPr>
    </w:p>
    <w:p>
      <w:pPr>
        <w:ind w:left="820" w:right="360" w:hanging="470"/>
        <w:spacing w:after="0" w:line="273"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206" w:lineRule="exact"/>
        <w:rPr>
          <w:sz w:val="20"/>
          <w:szCs w:val="20"/>
          <w:color w:val="auto"/>
        </w:rPr>
      </w:pPr>
    </w:p>
    <w:p>
      <w:pPr>
        <w:ind w:firstLine="318"/>
        <w:spacing w:after="0" w:line="298" w:lineRule="auto"/>
        <w:rPr>
          <w:sz w:val="20"/>
          <w:szCs w:val="20"/>
          <w:color w:val="auto"/>
        </w:rPr>
      </w:pPr>
      <w:r>
        <w:rPr>
          <w:rFonts w:ascii="Arial" w:cs="Arial" w:eastAsia="Arial" w:hAnsi="Arial"/>
          <w:sz w:val="15"/>
          <w:szCs w:val="15"/>
          <w:color w:val="auto"/>
        </w:rPr>
        <w:t>As a result of the Broadband acquisition, we are the largest cable operator in the United States. We have deployed digital cable and high-speed Internet service to the substantial majority of our cable systems. As of December 31, 2002, our consolidated cable operations served 21.3 million subscribers in 41 states, passed</w:t>
      </w:r>
    </w:p>
    <w:p>
      <w:pPr>
        <w:spacing w:after="0" w:line="1"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39.1 million homes, and provided digital cable to more than 6.6 million subscribers, high-speed Internet to more than 3.6 million subscribers and phone service to more than 1.4 million subscribers. The Broadband acquisition contributed approximately 60% of these subscribers, 64% of these homes passed, 66% of the digital cable subscribers, 58% of the high-speed Internet subscribers and 97% of the phone subscribers. We expect to make substantial capital expenditures over the next two years to complete the upgrade and rebuild of the newly acquired cable systems.</w:t>
      </w:r>
    </w:p>
    <w:p>
      <w:pPr>
        <w:spacing w:after="0" w:line="213" w:lineRule="exact"/>
        <w:rPr>
          <w:sz w:val="20"/>
          <w:szCs w:val="20"/>
          <w:color w:val="auto"/>
        </w:rPr>
      </w:pPr>
    </w:p>
    <w:p>
      <w:pPr>
        <w:ind w:right="220" w:firstLine="318"/>
        <w:spacing w:after="0" w:line="273" w:lineRule="auto"/>
        <w:rPr>
          <w:sz w:val="20"/>
          <w:szCs w:val="20"/>
          <w:color w:val="auto"/>
        </w:rPr>
      </w:pPr>
      <w:r>
        <w:rPr>
          <w:rFonts w:ascii="Arial" w:cs="Arial" w:eastAsia="Arial" w:hAnsi="Arial"/>
          <w:sz w:val="17"/>
          <w:szCs w:val="17"/>
          <w:color w:val="auto"/>
        </w:rPr>
        <w:t>Through QVC, we market a wide variety of products directly to consumers primarily on merchandise-focused television programs. As of December 31, 2002, QVC was available, on a full and part-time basis, to 85.9 million homes in the United States, 11.4 million homes in the United Kingdom, 25.8 million homes in Germany and 8.4 million homes in Japan.</w:t>
      </w:r>
    </w:p>
    <w:p>
      <w:pPr>
        <w:spacing w:after="0" w:line="206" w:lineRule="exact"/>
        <w:rPr>
          <w:sz w:val="20"/>
          <w:szCs w:val="20"/>
          <w:color w:val="auto"/>
        </w:rPr>
      </w:pPr>
    </w:p>
    <w:p>
      <w:pPr>
        <w:ind w:right="300" w:firstLine="318"/>
        <w:spacing w:after="0" w:line="273"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206" w:lineRule="exact"/>
        <w:rPr>
          <w:sz w:val="20"/>
          <w:szCs w:val="20"/>
          <w:color w:val="auto"/>
        </w:rPr>
      </w:pPr>
    </w:p>
    <w:p>
      <w:pPr>
        <w:jc w:val="both"/>
        <w:ind w:right="360" w:firstLine="318"/>
        <w:spacing w:after="0" w:line="356" w:lineRule="auto"/>
        <w:rPr>
          <w:sz w:val="20"/>
          <w:szCs w:val="20"/>
          <w:color w:val="auto"/>
        </w:rPr>
      </w:pPr>
      <w:r>
        <w:rPr>
          <w:rFonts w:ascii="Arial" w:cs="Arial" w:eastAsia="Arial" w:hAnsi="Arial"/>
          <w:sz w:val="15"/>
          <w:szCs w:val="15"/>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5"/>
          <w:szCs w:val="15"/>
          <w:i w:val="1"/>
          <w:iCs w:val="1"/>
          <w:color w:val="auto"/>
        </w:rPr>
        <w:t>www.comcast.com</w:t>
      </w:r>
      <w:r>
        <w:rPr>
          <w:rFonts w:ascii="Arial" w:cs="Arial" w:eastAsia="Arial" w:hAnsi="Arial"/>
          <w:sz w:val="15"/>
          <w:szCs w:val="15"/>
          <w:color w:val="auto"/>
        </w:rPr>
        <w:t>. The information on our web site is not part of this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Guarantors</w:t>
      </w:r>
    </w:p>
    <w:p>
      <w:pPr>
        <w:spacing w:after="0" w:line="260" w:lineRule="exact"/>
        <w:rPr>
          <w:sz w:val="20"/>
          <w:szCs w:val="20"/>
          <w:color w:val="auto"/>
        </w:rPr>
      </w:pPr>
    </w:p>
    <w:p>
      <w:pPr>
        <w:ind w:right="100" w:firstLine="318"/>
        <w:spacing w:after="0" w:line="290"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cable guarantees will not contain any restrictions on the ability of any cable guarantor to:</w:t>
      </w:r>
    </w:p>
    <w:p>
      <w:pPr>
        <w:spacing w:after="0" w:line="228" w:lineRule="exact"/>
        <w:rPr>
          <w:sz w:val="20"/>
          <w:szCs w:val="20"/>
          <w:color w:val="auto"/>
        </w:rPr>
      </w:pPr>
    </w:p>
    <w:p>
      <w:pPr>
        <w:ind w:left="820" w:hanging="470"/>
        <w:spacing w:after="0" w:line="286" w:lineRule="auto"/>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pay dividends or distributions on, or redeem, purchase, acquire, or make a liquidation payment with respect to, any of that cable guarantor’s capital stock; or</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Comcast Cable Communications, Inc.</w:t>
      </w:r>
    </w:p>
    <w:p>
      <w:pPr>
        <w:spacing w:after="0" w:line="254"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Comcast Cable is a Delaware corporation incorporated in 1981 and our indirect wholly-owned subsidiary. As of December 31, 2002, Comcast Cable served approximately 8.5 million subscribers.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Comcast Cable Communications Holdings, Inc.</w:t>
      </w:r>
    </w:p>
    <w:p>
      <w:pPr>
        <w:spacing w:after="0" w:line="254" w:lineRule="exact"/>
        <w:rPr>
          <w:sz w:val="20"/>
          <w:szCs w:val="20"/>
          <w:color w:val="auto"/>
        </w:rPr>
      </w:pPr>
    </w:p>
    <w:p>
      <w:pPr>
        <w:ind w:right="600" w:firstLine="318"/>
        <w:spacing w:after="0" w:line="286" w:lineRule="auto"/>
        <w:rPr>
          <w:sz w:val="20"/>
          <w:szCs w:val="20"/>
          <w:color w:val="auto"/>
        </w:rPr>
      </w:pPr>
      <w:r>
        <w:rPr>
          <w:rFonts w:ascii="Arial" w:cs="Arial" w:eastAsia="Arial" w:hAnsi="Arial"/>
          <w:sz w:val="17"/>
          <w:szCs w:val="17"/>
          <w:color w:val="auto"/>
        </w:rPr>
        <w:t>Comcast Cable Communications Holdings is a Delaware corporation incorporated in 2001 and our wholly-owned subsidiary. As of December 31, 2002, Comcast Cable Communications Holdings served approximately 12.8 million subscribers.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Comcast Cable Holdings, LLC</w:t>
      </w:r>
    </w:p>
    <w:p>
      <w:pPr>
        <w:spacing w:after="0" w:line="254"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Comcast Cable Holdings is a Delaware limited liability company formed in 1994. Comcast Cable Holdings is a wholly-owned subsidiary of Comcast Cable Communications Holdings.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Comcast MO Group, Inc.</w:t>
      </w:r>
    </w:p>
    <w:p>
      <w:pPr>
        <w:spacing w:after="0" w:line="254"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Comcast MO Group is a Delaware corporation incorporated in 1999. Comcast MO Group is a wholly-owned subsidiary of Comcast Cable Communications Holdings.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Comcast MO of Delaware, Inc.</w:t>
      </w:r>
    </w:p>
    <w:p>
      <w:pPr>
        <w:spacing w:after="0" w:line="254" w:lineRule="exact"/>
        <w:rPr>
          <w:sz w:val="20"/>
          <w:szCs w:val="20"/>
          <w:color w:val="auto"/>
        </w:rPr>
      </w:pPr>
    </w:p>
    <w:p>
      <w:pPr>
        <w:ind w:right="180" w:firstLine="318"/>
        <w:spacing w:after="0" w:line="286" w:lineRule="auto"/>
        <w:rPr>
          <w:sz w:val="20"/>
          <w:szCs w:val="20"/>
          <w:color w:val="auto"/>
        </w:rPr>
      </w:pPr>
      <w:r>
        <w:rPr>
          <w:rFonts w:ascii="Arial" w:cs="Arial" w:eastAsia="Arial" w:hAnsi="Arial"/>
          <w:sz w:val="17"/>
          <w:szCs w:val="17"/>
          <w:color w:val="auto"/>
        </w:rPr>
        <w:t>Comcast MO of Delaware is a Delaware Corporation incorporated in 1996. Comcast MO of Delaware is an indirect wholly-owned subsidiary of Comcast MO Group.</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cable guarantor’s principal place of business is 1500 Market Street, Philadelphia, Pennsylvania 19102-2148.</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the Broadband Acquisition</w:t>
      </w:r>
    </w:p>
    <w:p>
      <w:pPr>
        <w:spacing w:after="0" w:line="200" w:lineRule="exact"/>
        <w:rPr>
          <w:sz w:val="20"/>
          <w:szCs w:val="20"/>
          <w:color w:val="auto"/>
        </w:rPr>
      </w:pPr>
    </w:p>
    <w:p>
      <w:pPr>
        <w:spacing w:after="0" w:line="27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fail to realize the anticipated benefits of the Broadband acquisition.</w:t>
      </w:r>
    </w:p>
    <w:p>
      <w:pPr>
        <w:spacing w:after="0" w:line="254"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Broadband acquisition combined two companies that have previously operated separately. We expect to realize cost savings and other financial and operating benefits as a result of the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have to abide by restrictions to preserve the tax treatment of the Broadband acquisition.</w:t>
      </w:r>
    </w:p>
    <w:p>
      <w:pPr>
        <w:spacing w:after="0" w:line="254" w:lineRule="exact"/>
        <w:rPr>
          <w:sz w:val="20"/>
          <w:szCs w:val="20"/>
          <w:color w:val="auto"/>
        </w:rPr>
      </w:pPr>
    </w:p>
    <w:p>
      <w:pPr>
        <w:ind w:right="340" w:firstLine="318"/>
        <w:spacing w:after="0" w:line="297" w:lineRule="auto"/>
        <w:rPr>
          <w:sz w:val="20"/>
          <w:szCs w:val="20"/>
          <w:color w:val="auto"/>
        </w:rPr>
      </w:pPr>
      <w:r>
        <w:rPr>
          <w:rFonts w:ascii="Arial" w:cs="Arial" w:eastAsia="Arial" w:hAnsi="Arial"/>
          <w:sz w:val="16"/>
          <w:szCs w:val="16"/>
          <w:color w:val="auto"/>
        </w:rPr>
        <w:t>In order to preserve the treatment of the Broadband acquisition as tax-free, our ability to redeem stock or issue equity securities will be limited through December 2004. As of December 31, 2002, we had the ability to issue at least 250 million shares of our common stock without affecting the tax treatment of the Broadband acquisition. These restrictions may limit our ability to issue equity securities to satisfy our financing needs or to acquire businesses or assets.</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and our subsidiaries have significant debt and debt-like obligations and may not maintain investment-grade credit ratings.</w:t>
      </w:r>
    </w:p>
    <w:p>
      <w:pPr>
        <w:spacing w:after="0" w:line="254" w:lineRule="exact"/>
        <w:rPr>
          <w:sz w:val="20"/>
          <w:szCs w:val="20"/>
          <w:color w:val="auto"/>
        </w:rPr>
      </w:pPr>
    </w:p>
    <w:p>
      <w:pPr>
        <w:ind w:right="40" w:firstLine="318"/>
        <w:spacing w:after="0" w:line="306" w:lineRule="auto"/>
        <w:rPr>
          <w:sz w:val="20"/>
          <w:szCs w:val="20"/>
          <w:color w:val="auto"/>
        </w:rPr>
      </w:pPr>
      <w:r>
        <w:rPr>
          <w:rFonts w:ascii="Arial" w:cs="Arial" w:eastAsia="Arial" w:hAnsi="Arial"/>
          <w:sz w:val="15"/>
          <w:szCs w:val="15"/>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value of our common stock.</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Atypical governance arrangements may make it more difficult for our shareholders to act.</w:t>
      </w:r>
    </w:p>
    <w:p>
      <w:pPr>
        <w:spacing w:after="0" w:line="254"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connection with the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215"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In addition to the governance arrangements relating to our Board, a number of governance arrangements will make it difficult to replace our senior management. Upon completion of the Broadband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306" w:lineRule="auto"/>
        <w:rPr>
          <w:sz w:val="20"/>
          <w:szCs w:val="20"/>
          <w:color w:val="auto"/>
        </w:rPr>
      </w:pPr>
      <w:r>
        <w:rPr>
          <w:rFonts w:ascii="Arial" w:cs="Arial" w:eastAsia="Arial" w:hAnsi="Arial"/>
          <w:sz w:val="15"/>
          <w:szCs w:val="15"/>
          <w:color w:val="auto"/>
        </w:rPr>
        <w:t>acquisition, C. Michael Armstrong, Chairman of the Board and CEO of AT&amp;T, became our Chairman of the Board and Brian L. Roberts, President of Comcast Holdings, became our President and CEO.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 Mr. Armstrong has notified us that as of May 7, 2003, the date of our 2003 annual shareholders meeting, he will exercise his election to become non-executive Chairman of the Board of Directors.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Our principal shareholder has considerable influence over our operations.</w:t>
      </w:r>
    </w:p>
    <w:p>
      <w:pPr>
        <w:spacing w:after="0" w:line="254"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President and CEO and will, together with our Chairman of the Board, comprise the Office of the Chairman, our principal executive deliberative body.</w:t>
      </w:r>
    </w:p>
    <w:p>
      <w:pPr>
        <w:spacing w:after="0" w:line="185" w:lineRule="exact"/>
        <w:rPr>
          <w:sz w:val="20"/>
          <w:szCs w:val="20"/>
          <w:color w:val="auto"/>
        </w:rPr>
      </w:pPr>
    </w:p>
    <w:p>
      <w:pPr>
        <w:ind w:right="400" w:firstLine="215"/>
        <w:spacing w:after="0" w:line="286" w:lineRule="auto"/>
        <w:rPr>
          <w:sz w:val="20"/>
          <w:szCs w:val="20"/>
          <w:color w:val="auto"/>
        </w:rPr>
      </w:pPr>
      <w:r>
        <w:rPr>
          <w:rFonts w:ascii="Arial" w:cs="Arial" w:eastAsia="Arial" w:hAnsi="Arial"/>
          <w:sz w:val="17"/>
          <w:szCs w:val="17"/>
          <w:b w:val="1"/>
          <w:bCs w:val="1"/>
          <w:i w:val="1"/>
          <w:iCs w:val="1"/>
          <w:color w:val="auto"/>
        </w:rPr>
        <w:t>The performance of Broadband prior to the Broadband acquisition may not be representative of the results of Comcast Cable Communications Holdings without the other AT&amp;T businesses and therefore is not a reliable indicator of its future results.</w:t>
      </w:r>
    </w:p>
    <w:p>
      <w:pPr>
        <w:spacing w:after="0" w:line="196"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Broadband was a fully integrated business unit of AT&amp;T, and as a result the financial information of Broadband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actual financial position and results of operations may differ significantly and adversely from the pro forma amounts included in this prospectus.</w:t>
      </w:r>
    </w:p>
    <w:p>
      <w:pPr>
        <w:spacing w:after="0" w:line="277"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Our actual financial position and results of operations may differ, perhaps significantly and adversely, from the pro forma information included in this prospectus due to a variety of factors, including access to additional information and changes in value not currently identified.</w:t>
      </w:r>
    </w:p>
    <w:p>
      <w:pPr>
        <w:spacing w:after="0" w:line="196"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addition, in many cases each of Comcast Holdings and Broadband had long-term agreements, in some cases with the same counterparties, for the same services and products, such as programming, billing services and interactive programming guides. It is not clear, in the case of certain services and products, whether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187" w:lineRule="exact"/>
        <w:rPr>
          <w:sz w:val="20"/>
          <w:szCs w:val="20"/>
          <w:color w:val="auto"/>
        </w:rPr>
      </w:pPr>
    </w:p>
    <w:p>
      <w:pPr>
        <w:ind w:right="120" w:firstLine="215"/>
        <w:spacing w:after="0" w:line="286" w:lineRule="auto"/>
        <w:rPr>
          <w:sz w:val="20"/>
          <w:szCs w:val="20"/>
          <w:color w:val="auto"/>
        </w:rPr>
      </w:pPr>
      <w:r>
        <w:rPr>
          <w:rFonts w:ascii="Arial" w:cs="Arial" w:eastAsia="Arial" w:hAnsi="Arial"/>
          <w:sz w:val="17"/>
          <w:szCs w:val="17"/>
          <w:b w:val="1"/>
          <w:bCs w:val="1"/>
          <w:i w:val="1"/>
          <w:iCs w:val="1"/>
          <w:color w:val="auto"/>
        </w:rPr>
        <w:t>Programming costs are increasing and we may not have the ability to pass these increases on to our subscribers, which would materially adversely affect our cash flow and operating margins.</w:t>
      </w:r>
    </w:p>
    <w:p>
      <w:pPr>
        <w:spacing w:after="0" w:line="196" w:lineRule="exact"/>
        <w:rPr>
          <w:sz w:val="20"/>
          <w:szCs w:val="20"/>
          <w:color w:val="auto"/>
        </w:rPr>
      </w:pPr>
    </w:p>
    <w:p>
      <w:pPr>
        <w:ind w:right="420" w:firstLine="318"/>
        <w:spacing w:after="0" w:line="356" w:lineRule="auto"/>
        <w:rPr>
          <w:sz w:val="20"/>
          <w:szCs w:val="20"/>
          <w:color w:val="auto"/>
        </w:rPr>
      </w:pPr>
      <w:r>
        <w:rPr>
          <w:rFonts w:ascii="Arial" w:cs="Arial" w:eastAsia="Arial" w:hAnsi="Arial"/>
          <w:sz w:val="15"/>
          <w:szCs w:val="15"/>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w:t>
      </w:r>
    </w:p>
    <w:p>
      <w:pPr>
        <w:spacing w:after="0" w:line="212" w:lineRule="exact"/>
        <w:rPr>
          <w:sz w:val="20"/>
          <w:szCs w:val="20"/>
          <w:color w:val="auto"/>
        </w:rPr>
      </w:pPr>
    </w:p>
    <w:p>
      <w:pPr>
        <w:ind w:right="160" w:firstLine="318"/>
        <w:spacing w:after="0" w:line="273" w:lineRule="auto"/>
        <w:rPr>
          <w:sz w:val="20"/>
          <w:szCs w:val="20"/>
          <w:color w:val="auto"/>
        </w:rPr>
      </w:pPr>
      <w:r>
        <w:rPr>
          <w:rFonts w:ascii="Arial" w:cs="Arial" w:eastAsia="Arial" w:hAnsi="Arial"/>
          <w:sz w:val="17"/>
          <w:szCs w:val="17"/>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face a wide range of competition in areas served by our cable systems, which could adversely affect our future results of operations.</w:t>
      </w:r>
    </w:p>
    <w:p>
      <w:pPr>
        <w:spacing w:after="0" w:line="254"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have substantial capital requirements which may require us to obtain additional financing that may be difficult to obtain.</w:t>
      </w:r>
    </w:p>
    <w:p>
      <w:pPr>
        <w:spacing w:after="0" w:line="254"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Our future capital expenditures may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212"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anticipate that we will upgrade a significant portion of our broadband systems over the coming years and make other capital investments, including with respect to our advanced services. During 2003, we expect to incur approximately $4.2 billion of capital expenditures in our cable, commerce and content businesses, including approximately $4 billion for our cable operations.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our systems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firstLine="215"/>
        <w:spacing w:after="0" w:line="286" w:lineRule="auto"/>
        <w:rPr>
          <w:sz w:val="20"/>
          <w:szCs w:val="20"/>
          <w:color w:val="auto"/>
        </w:rPr>
      </w:pPr>
      <w:r>
        <w:rPr>
          <w:rFonts w:ascii="Arial" w:cs="Arial" w:eastAsia="Arial" w:hAnsi="Arial"/>
          <w:sz w:val="17"/>
          <w:szCs w:val="17"/>
          <w:b w:val="1"/>
          <w:bCs w:val="1"/>
          <w:i w:val="1"/>
          <w:iCs w:val="1"/>
          <w:color w:val="auto"/>
        </w:rPr>
        <w:t>Some of our subsidiaries may be subject to long-term exclusive agreements that may limit their future operating flexibility and materially adversely affect our financial results.</w:t>
      </w:r>
    </w:p>
    <w:p>
      <w:pPr>
        <w:spacing w:after="0" w:line="196" w:lineRule="exact"/>
        <w:rPr>
          <w:sz w:val="20"/>
          <w:szCs w:val="20"/>
          <w:color w:val="auto"/>
        </w:rPr>
      </w:pPr>
    </w:p>
    <w:p>
      <w:pPr>
        <w:ind w:right="40" w:firstLine="318"/>
        <w:spacing w:after="0" w:line="268" w:lineRule="auto"/>
        <w:rPr>
          <w:sz w:val="20"/>
          <w:szCs w:val="20"/>
          <w:color w:val="auto"/>
        </w:rPr>
      </w:pPr>
      <w:r>
        <w:rPr>
          <w:rFonts w:ascii="Arial" w:cs="Arial" w:eastAsia="Arial" w:hAnsi="Arial"/>
          <w:sz w:val="17"/>
          <w:szCs w:val="17"/>
          <w:color w:val="auto"/>
        </w:rPr>
        <w:t>Some of the entities that became our subsidiaries following the Broadband acquisition may be subject to long-term agreements relating to significant aspects of their operations, including long-term agreements for video programming, audio programming, electronic program guides, billing and other services. The price, terms and conditions of these agreements may not reflect current market terms and if one or more of these arrangements were to continue to apply to any of our subsidiaries, they may materially adversely impact our financial performance.</w:t>
      </w:r>
    </w:p>
    <w:p>
      <w:pPr>
        <w:spacing w:after="0" w:line="212"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Comcast Cable Holdings, and Broadband’s subsidiary, Satellite Services, Inc., are parties to an affiliation term sheet with Starz Encore Group LLC, an affiliate of Liberty Media, which extends to 2022 and provided for annual fixed price payments, subject to adjustment for various factors including inflation, and purported to require Broadband to pay two-thirds of Starz Encore Group’s programming costs above levels designated in the term sheet. Excess programming costs that may be payable by us in future years are not presently estimable, and could be significant.</w:t>
      </w:r>
    </w:p>
    <w:p>
      <w:pPr>
        <w:spacing w:after="0" w:line="212"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in Colorado state court seeking payment of alleged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205" w:lineRule="exact"/>
        <w:rPr>
          <w:sz w:val="20"/>
          <w:szCs w:val="20"/>
          <w:color w:val="auto"/>
        </w:rPr>
      </w:pPr>
    </w:p>
    <w:p>
      <w:pPr>
        <w:ind w:right="140" w:firstLine="318"/>
        <w:spacing w:after="0" w:line="286" w:lineRule="auto"/>
        <w:rPr>
          <w:sz w:val="20"/>
          <w:szCs w:val="20"/>
          <w:color w:val="auto"/>
        </w:rPr>
      </w:pPr>
      <w:r>
        <w:rPr>
          <w:rFonts w:ascii="Arial" w:cs="Arial" w:eastAsia="Arial" w:hAnsi="Arial"/>
          <w:sz w:val="16"/>
          <w:szCs w:val="16"/>
          <w:color w:val="auto"/>
        </w:rPr>
        <w:t>On November 18, 2002, we filed suit against Starz Encore Group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Group programming is acquired and transmitted by our cable systems. In January 2003, Starz Encore Group filed a motion to dismiss the lawsuit on the grounds that claims asserted by us raised issues of state law that the United States District Court should decline to decide. We have responded contesting these assertions. The motion has been submitted to the Court for decision.</w:t>
      </w:r>
    </w:p>
    <w:p>
      <w:pPr>
        <w:spacing w:after="0" w:line="200" w:lineRule="exact"/>
        <w:rPr>
          <w:sz w:val="20"/>
          <w:szCs w:val="20"/>
          <w:color w:val="auto"/>
        </w:rPr>
      </w:pPr>
    </w:p>
    <w:p>
      <w:pPr>
        <w:ind w:right="120" w:firstLine="318"/>
        <w:spacing w:after="0" w:line="290" w:lineRule="auto"/>
        <w:rPr>
          <w:sz w:val="20"/>
          <w:szCs w:val="20"/>
          <w:color w:val="auto"/>
        </w:rPr>
      </w:pPr>
      <w:r>
        <w:rPr>
          <w:rFonts w:ascii="Arial" w:cs="Arial" w:eastAsia="Arial" w:hAnsi="Arial"/>
          <w:sz w:val="16"/>
          <w:szCs w:val="16"/>
          <w:color w:val="auto"/>
        </w:rPr>
        <w:t>On January 31, 2003, Starz Encore filed an amended complaint that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195" w:lineRule="exact"/>
        <w:rPr>
          <w:sz w:val="20"/>
          <w:szCs w:val="20"/>
          <w:color w:val="auto"/>
        </w:rPr>
      </w:pPr>
    </w:p>
    <w:p>
      <w:pPr>
        <w:ind w:right="180" w:firstLine="318"/>
        <w:spacing w:after="0" w:line="268" w:lineRule="auto"/>
        <w:rPr>
          <w:sz w:val="20"/>
          <w:szCs w:val="20"/>
          <w:color w:val="auto"/>
        </w:rPr>
      </w:pPr>
      <w:r>
        <w:rPr>
          <w:rFonts w:ascii="Arial" w:cs="Arial" w:eastAsia="Arial" w:hAnsi="Arial"/>
          <w:sz w:val="17"/>
          <w:szCs w:val="17"/>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 second amended complaint and, in light of Starz Encore’s pending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motion for leave to amend, have sought an extension of time from the Court to respond to Starz Encore’s amended complaint.</w:t>
      </w:r>
    </w:p>
    <w:p>
      <w:pPr>
        <w:spacing w:after="0" w:line="254"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200"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breach of the master agreement, a declaration that we are now bound by the master agreement to use CSG as our exclusive provider for certain billing and customer care services, tortious interference with prospective contractual relations, and civil conspiracy. A hearing in the arbitration is scheduled to commence on May 5, 2003.</w:t>
      </w:r>
    </w:p>
    <w:p>
      <w:pPr>
        <w:spacing w:after="0" w:line="213" w:lineRule="exact"/>
        <w:rPr>
          <w:sz w:val="20"/>
          <w:szCs w:val="20"/>
          <w:color w:val="auto"/>
        </w:rPr>
      </w:pPr>
    </w:p>
    <w:p>
      <w:pPr>
        <w:ind w:right="60" w:firstLine="318"/>
        <w:spacing w:after="0" w:line="284" w:lineRule="auto"/>
        <w:rPr>
          <w:sz w:val="20"/>
          <w:szCs w:val="20"/>
          <w:color w:val="auto"/>
        </w:rPr>
      </w:pPr>
      <w:r>
        <w:rPr>
          <w:rFonts w:ascii="Arial" w:cs="Arial" w:eastAsia="Arial" w:hAnsi="Arial"/>
          <w:sz w:val="16"/>
          <w:szCs w:val="16"/>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we now own may be added to a billing service agreement between us and CSG. CSG moved to dismiss or stay the lawsuit on the ground that the issues raised by the complaint could be wholly or substantially determined by the above-mentioned arbitration. By an order dated February 10, 2003, the Court stayed the lawsuit until further notice.</w:t>
      </w:r>
    </w:p>
    <w:p>
      <w:pPr>
        <w:spacing w:after="0" w:line="202" w:lineRule="exact"/>
        <w:rPr>
          <w:sz w:val="20"/>
          <w:szCs w:val="20"/>
          <w:color w:val="auto"/>
        </w:rPr>
      </w:pPr>
    </w:p>
    <w:p>
      <w:pPr>
        <w:ind w:right="100" w:firstLine="318"/>
        <w:spacing w:after="0" w:line="310" w:lineRule="auto"/>
        <w:rPr>
          <w:sz w:val="20"/>
          <w:szCs w:val="20"/>
          <w:color w:val="auto"/>
        </w:rPr>
      </w:pPr>
      <w:r>
        <w:rPr>
          <w:rFonts w:ascii="Arial" w:cs="Arial" w:eastAsia="Arial" w:hAnsi="Arial"/>
          <w:sz w:val="15"/>
          <w:szCs w:val="15"/>
          <w:color w:val="auto"/>
        </w:rPr>
        <w:t>On January 8, 2003, Liberty Digital, Inc. filed a complaint in Colorado state court against us and Comcast Cable Holdings, LLC (formerly AT&amp;T Broadband LLC and Tele-Communications, Inc.), our wholly-owned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denied the essential allegations of the complaint and asserted various affirmative defenses.</w:t>
      </w:r>
    </w:p>
    <w:p>
      <w:pPr>
        <w:spacing w:after="0" w:line="15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We are subject to regulation by federal, state and local governments which may impose costs and restrictions.</w:t>
      </w:r>
    </w:p>
    <w:p>
      <w:pPr>
        <w:spacing w:after="0" w:line="254" w:lineRule="exact"/>
        <w:rPr>
          <w:sz w:val="20"/>
          <w:szCs w:val="20"/>
          <w:color w:val="auto"/>
        </w:rPr>
      </w:pPr>
    </w:p>
    <w:p>
      <w:pPr>
        <w:ind w:right="20" w:firstLine="318"/>
        <w:spacing w:after="0" w:line="265" w:lineRule="auto"/>
        <w:rPr>
          <w:sz w:val="20"/>
          <w:szCs w:val="20"/>
          <w:color w:val="auto"/>
        </w:rPr>
      </w:pPr>
      <w:r>
        <w:rPr>
          <w:rFonts w:ascii="Arial" w:cs="Arial" w:eastAsia="Arial" w:hAnsi="Arial"/>
          <w:sz w:val="17"/>
          <w:szCs w:val="17"/>
          <w:color w:val="auto"/>
        </w:rPr>
        <w:t>Federal, state and local governments extensively regulate the cable industry. We expect that legislative enactments, courts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80" w:firstLine="212"/>
        <w:spacing w:after="0" w:line="286" w:lineRule="auto"/>
        <w:rPr>
          <w:sz w:val="20"/>
          <w:szCs w:val="20"/>
          <w:color w:val="auto"/>
        </w:rPr>
      </w:pPr>
      <w:r>
        <w:rPr>
          <w:rFonts w:ascii="Arial" w:cs="Arial" w:eastAsia="Arial" w:hAnsi="Arial"/>
          <w:sz w:val="17"/>
          <w:szCs w:val="17"/>
          <w:b w:val="1"/>
          <w:bCs w:val="1"/>
          <w:i w:val="1"/>
          <w:iCs w:val="1"/>
          <w:color w:val="auto"/>
        </w:rPr>
        <w:t>We are subject to additional regulatory burdens in connection with the provision of telecommunications services, which could cause us to incur additional costs.</w:t>
      </w:r>
    </w:p>
    <w:p>
      <w:pPr>
        <w:spacing w:after="0" w:line="196" w:lineRule="exact"/>
        <w:rPr>
          <w:sz w:val="20"/>
          <w:szCs w:val="20"/>
          <w:color w:val="auto"/>
        </w:rPr>
      </w:pPr>
    </w:p>
    <w:p>
      <w:pPr>
        <w:jc w:val="both"/>
        <w:ind w:right="20" w:firstLine="318"/>
        <w:spacing w:after="0" w:line="273" w:lineRule="auto"/>
        <w:rPr>
          <w:sz w:val="20"/>
          <w:szCs w:val="20"/>
          <w:color w:val="auto"/>
        </w:rPr>
      </w:pPr>
      <w:r>
        <w:rPr>
          <w:rFonts w:ascii="Arial" w:cs="Arial" w:eastAsia="Arial" w:hAnsi="Arial"/>
          <w:sz w:val="17"/>
          <w:szCs w:val="17"/>
          <w:color w:val="auto"/>
        </w:rPr>
        <w:t>We are subject to risks associated with the regulation of our telecommunications services by the Federal Communications Commission, or FCC, and state public utilities commissions, or PUCs. Telecommunications companies generally are subject to significant regulation. This regulation could materially adversely affect our business operations.</w:t>
      </w:r>
    </w:p>
    <w:p>
      <w:pPr>
        <w:spacing w:after="0" w:line="180" w:lineRule="exact"/>
        <w:rPr>
          <w:sz w:val="20"/>
          <w:szCs w:val="20"/>
          <w:color w:val="auto"/>
        </w:rPr>
      </w:pPr>
    </w:p>
    <w:p>
      <w:pPr>
        <w:ind w:right="240" w:firstLine="212"/>
        <w:spacing w:after="0" w:line="286" w:lineRule="auto"/>
        <w:rPr>
          <w:sz w:val="20"/>
          <w:szCs w:val="20"/>
          <w:color w:val="auto"/>
        </w:rPr>
      </w:pPr>
      <w:r>
        <w:rPr>
          <w:rFonts w:ascii="Arial" w:cs="Arial" w:eastAsia="Arial" w:hAnsi="Arial"/>
          <w:sz w:val="17"/>
          <w:szCs w:val="17"/>
          <w:b w:val="1"/>
          <w:bCs w:val="1"/>
          <w:i w:val="1"/>
          <w:iCs w:val="1"/>
          <w:color w:val="auto"/>
        </w:rPr>
        <w:t>We may face increased competition because of technological advances and new regulatory requirements, which could adversely affect our future results of operations.</w:t>
      </w:r>
    </w:p>
    <w:p>
      <w:pPr>
        <w:spacing w:after="0" w:line="196"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213"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color w:val="auto"/>
        </w:rPr>
        <w:t>Ever since high-speed cable Internet service was introduced, some local governments and various competitors sought to impose regulatory requirements on how we deal with third-party Internet service providers, or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and a decision by a federal appellate court is expected later this year.</w:t>
      </w:r>
    </w:p>
    <w:p>
      <w:pPr>
        <w:spacing w:after="0" w:line="213" w:lineRule="exact"/>
        <w:rPr>
          <w:sz w:val="20"/>
          <w:szCs w:val="20"/>
          <w:color w:val="auto"/>
        </w:rPr>
      </w:pPr>
    </w:p>
    <w:p>
      <w:pPr>
        <w:ind w:right="40" w:firstLine="318"/>
        <w:spacing w:after="0" w:line="310" w:lineRule="auto"/>
        <w:rPr>
          <w:sz w:val="20"/>
          <w:szCs w:val="20"/>
          <w:color w:val="auto"/>
        </w:rPr>
      </w:pPr>
      <w:r>
        <w:rPr>
          <w:rFonts w:ascii="Arial" w:cs="Arial" w:eastAsia="Arial" w:hAnsi="Arial"/>
          <w:sz w:val="15"/>
          <w:szCs w:val="15"/>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82" w:lineRule="exact"/>
        <w:rPr>
          <w:sz w:val="20"/>
          <w:szCs w:val="20"/>
          <w:color w:val="auto"/>
        </w:rPr>
      </w:pPr>
    </w:p>
    <w:p>
      <w:pPr>
        <w:ind w:right="60" w:firstLine="318"/>
        <w:spacing w:after="0" w:line="310" w:lineRule="auto"/>
        <w:rPr>
          <w:sz w:val="20"/>
          <w:szCs w:val="20"/>
          <w:color w:val="auto"/>
        </w:rPr>
      </w:pPr>
      <w:r>
        <w:rPr>
          <w:rFonts w:ascii="Arial" w:cs="Arial" w:eastAsia="Arial" w:hAnsi="Arial"/>
          <w:sz w:val="15"/>
          <w:szCs w:val="15"/>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TWE, we will enter into a three-year non-exclusive access agreement with AOL Time Warner. We also have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i w:val="1"/>
          <w:iCs w:val="1"/>
          <w:color w:val="auto"/>
        </w:rPr>
        <w:t>We, through Comcast Cable Communications Holdings, have substantial economic interests in joint ventures in which we have limited management rights.</w:t>
      </w:r>
    </w:p>
    <w:p>
      <w:pPr>
        <w:spacing w:after="0" w:line="277"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Communications Holdings has cable partnerships with each of AOL Time Warner, Insight Communications, Adelphia Communications, Midcontinent and US Cable.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Materially adverse financial or other developments with respect to a partner could adversely impact the applicable partnership.</w:t>
      </w:r>
    </w:p>
    <w:p>
      <w:pPr>
        <w:spacing w:after="0" w:line="222" w:lineRule="exact"/>
        <w:rPr>
          <w:sz w:val="20"/>
          <w:szCs w:val="20"/>
          <w:color w:val="auto"/>
        </w:rPr>
      </w:pPr>
    </w:p>
    <w:p>
      <w:pPr>
        <w:ind w:right="720" w:firstLine="212"/>
        <w:spacing w:after="0" w:line="286" w:lineRule="auto"/>
        <w:rPr>
          <w:sz w:val="20"/>
          <w:szCs w:val="20"/>
          <w:color w:val="auto"/>
        </w:rPr>
      </w:pPr>
      <w:r>
        <w:rPr>
          <w:rFonts w:ascii="Arial" w:cs="Arial" w:eastAsia="Arial" w:hAnsi="Arial"/>
          <w:sz w:val="17"/>
          <w:szCs w:val="17"/>
          <w:b w:val="1"/>
          <w:bCs w:val="1"/>
          <w:i w:val="1"/>
          <w:iCs w:val="1"/>
          <w:color w:val="auto"/>
        </w:rPr>
        <w:t>We, through Comcast Holdings and Comcast Cable Communications Holdings, face risks arising from their and AT&amp;T’s relationship with At Home Corporation.</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Litigation has been filed against us as a result of our alleged conduct with respect to our investment in and distribution relationship with At Home Corporation.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At Home was a provider of high-speed Internet access and content services which filed for bankruptcy protection in September 2001. Filed actions are:</w:t>
      </w:r>
    </w:p>
    <w:p>
      <w:pPr>
        <w:spacing w:after="0" w:line="222" w:lineRule="exact"/>
        <w:rPr>
          <w:sz w:val="20"/>
          <w:szCs w:val="20"/>
          <w:color w:val="auto"/>
        </w:rPr>
      </w:pPr>
    </w:p>
    <w:p>
      <w:pPr>
        <w:ind w:left="460" w:right="140" w:hanging="110"/>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an investor in At Home and a former distributor of the At Home service;</w:t>
      </w:r>
    </w:p>
    <w:p>
      <w:pPr>
        <w:spacing w:after="0" w:line="195" w:lineRule="exact"/>
        <w:rPr>
          <w:rFonts w:ascii="Arial" w:cs="Arial" w:eastAsia="Arial" w:hAnsi="Arial"/>
          <w:sz w:val="16"/>
          <w:szCs w:val="16"/>
          <w:color w:val="auto"/>
        </w:rPr>
      </w:pPr>
    </w:p>
    <w:p>
      <w:pPr>
        <w:ind w:left="460" w:right="420" w:hanging="110"/>
        <w:spacing w:after="0" w:line="286"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class action lawsuits against Comcast Cable Communications, Inc., AT&amp;T and others in the United States District Court for the Southern District of New York, alleging securities law violations and common law fraud in connection with disclosures made by At Home in 2001; and</w:t>
      </w:r>
    </w:p>
    <w:p>
      <w:pPr>
        <w:spacing w:after="0" w:line="195" w:lineRule="exact"/>
        <w:rPr>
          <w:rFonts w:ascii="Arial" w:cs="Arial" w:eastAsia="Arial" w:hAnsi="Arial"/>
          <w:sz w:val="17"/>
          <w:szCs w:val="17"/>
          <w:color w:val="auto"/>
        </w:rPr>
      </w:pPr>
    </w:p>
    <w:p>
      <w:pPr>
        <w:ind w:left="460" w:right="20" w:hanging="110"/>
        <w:spacing w:after="0" w:line="26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w:t>
      </w:r>
    </w:p>
    <w:p>
      <w:pPr>
        <w:spacing w:after="0" w:line="212"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212" w:lineRule="exact"/>
        <w:rPr>
          <w:sz w:val="20"/>
          <w:szCs w:val="20"/>
          <w:color w:val="auto"/>
        </w:rPr>
      </w:pPr>
    </w:p>
    <w:p>
      <w:pPr>
        <w:jc w:val="both"/>
        <w:ind w:right="60" w:firstLine="318"/>
        <w:spacing w:after="0" w:line="297"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 against AT&amp;T described above, where we are also a defendant, there are two additional actions brought by At Home’s bondholders’ liquidating trust against AT&amp;T, not naming us:</w:t>
      </w:r>
    </w:p>
    <w:p>
      <w:pPr>
        <w:spacing w:after="0" w:line="164" w:lineRule="exact"/>
        <w:rPr>
          <w:sz w:val="20"/>
          <w:szCs w:val="20"/>
          <w:color w:val="auto"/>
        </w:rPr>
      </w:pPr>
    </w:p>
    <w:p>
      <w:pPr>
        <w:ind w:left="460" w:right="400" w:hanging="110"/>
        <w:spacing w:after="0" w:line="273"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spacing w:after="0" w:line="206" w:lineRule="exact"/>
        <w:rPr>
          <w:rFonts w:ascii="Arial" w:cs="Arial" w:eastAsia="Arial" w:hAnsi="Arial"/>
          <w:sz w:val="17"/>
          <w:szCs w:val="17"/>
          <w:color w:val="auto"/>
        </w:rPr>
      </w:pPr>
    </w:p>
    <w:p>
      <w:pPr>
        <w:ind w:left="460" w:right="600" w:hanging="110"/>
        <w:spacing w:after="0" w:line="286"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action filed against AT&amp;T in the District Court for the Northern District of California, alleging that AT&amp;T infringes an At Home patent by using its broadband distribution and high-speed Internet backbone networks and equipment.</w:t>
      </w:r>
    </w:p>
    <w:p>
      <w:pPr>
        <w:spacing w:after="0" w:line="196" w:lineRule="exact"/>
        <w:rPr>
          <w:sz w:val="20"/>
          <w:szCs w:val="20"/>
          <w:color w:val="auto"/>
        </w:rPr>
      </w:pPr>
    </w:p>
    <w:p>
      <w:pPr>
        <w:ind w:right="20" w:firstLine="318"/>
        <w:spacing w:after="0" w:line="319" w:lineRule="auto"/>
        <w:rPr>
          <w:sz w:val="20"/>
          <w:szCs w:val="20"/>
          <w:color w:val="auto"/>
        </w:rPr>
      </w:pPr>
      <w:r>
        <w:rPr>
          <w:rFonts w:ascii="Arial" w:cs="Arial" w:eastAsia="Arial" w:hAnsi="Arial"/>
          <w:sz w:val="16"/>
          <w:szCs w:val="16"/>
          <w:color w:val="auto"/>
        </w:rPr>
        <w:t>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12" w:lineRule="exact"/>
        <w:rPr>
          <w:sz w:val="20"/>
          <w:szCs w:val="20"/>
          <w:color w:val="auto"/>
        </w:rPr>
      </w:pPr>
    </w:p>
    <w:p>
      <w:pPr>
        <w:ind w:right="260" w:firstLine="318"/>
        <w:spacing w:after="0" w:line="356" w:lineRule="auto"/>
        <w:rPr>
          <w:sz w:val="20"/>
          <w:szCs w:val="20"/>
          <w:color w:val="auto"/>
        </w:rPr>
      </w:pPr>
      <w:r>
        <w:rPr>
          <w:rFonts w:ascii="Arial" w:cs="Arial" w:eastAsia="Arial" w:hAnsi="Arial"/>
          <w:sz w:val="15"/>
          <w:szCs w:val="15"/>
          <w:color w:val="auto"/>
        </w:rPr>
        <w:t>Management is continuing to evaluate this litigation and is unable to currently determine what impact, if any, that our 50% share of the At Home potential liabilities would have on our consolidated financial position or results of operations. No assurance can be given that any adverse outcome would not be material.</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Our indentures do not restrict our ability to incur additional indebtedness, which could make our debt securities more risky in the future.</w:t>
      </w:r>
    </w:p>
    <w:p>
      <w:pPr>
        <w:spacing w:after="0" w:line="254"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As of December 31, 2002, our consolidated indebtedness was approximately $34.9 billion, of which $34.2 billion was issued by our subsidiaries and was senior to debt obligations at Comcast Corporation. As of December 31, 2002, our consolidated stockholders’ equity was approximately $38.3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85" w:lineRule="exact"/>
        <w:rPr>
          <w:sz w:val="20"/>
          <w:szCs w:val="20"/>
          <w:color w:val="auto"/>
        </w:rPr>
      </w:pPr>
    </w:p>
    <w:p>
      <w:pPr>
        <w:ind w:left="820" w:hanging="470"/>
        <w:spacing w:after="0"/>
        <w:tabs>
          <w:tab w:leader="none" w:pos="8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limiting our ability to obtain any necessary financing in the future for working capital, capital expenditures, debt service requirements or other purposes;</w:t>
      </w:r>
    </w:p>
    <w:p>
      <w:pPr>
        <w:spacing w:after="0" w:line="303" w:lineRule="exact"/>
        <w:rPr>
          <w:rFonts w:ascii="Arial" w:cs="Arial" w:eastAsia="Arial" w:hAnsi="Arial"/>
          <w:sz w:val="15"/>
          <w:szCs w:val="15"/>
          <w:color w:val="auto"/>
        </w:rPr>
      </w:pPr>
    </w:p>
    <w:p>
      <w:pPr>
        <w:ind w:left="820" w:right="460" w:hanging="470"/>
        <w:spacing w:after="0" w:line="286" w:lineRule="auto"/>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flows from operations to the payment of indebtedness and not for other purposes, such as working capital and capital expenditures;</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limiting our flexibility to plan for, or react to, changes in our businesses;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us more indebted than some of our competitors, which may place us at a competitive disadvantage; and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making us more vulnerable to a downturn in our businesses.</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The securities we are offering may not develop an active public market, which could depress the resale price of the securities.</w:t>
      </w:r>
    </w:p>
    <w:p>
      <w:pPr>
        <w:spacing w:after="0" w:line="254" w:lineRule="exact"/>
        <w:rPr>
          <w:sz w:val="20"/>
          <w:szCs w:val="20"/>
          <w:color w:val="auto"/>
        </w:rPr>
      </w:pPr>
    </w:p>
    <w:p>
      <w:pPr>
        <w:jc w:val="both"/>
        <w:ind w:right="160" w:firstLine="318"/>
        <w:spacing w:after="0" w:line="273" w:lineRule="auto"/>
        <w:rPr>
          <w:sz w:val="20"/>
          <w:szCs w:val="20"/>
          <w:color w:val="auto"/>
        </w:rPr>
      </w:pPr>
      <w:r>
        <w:rPr>
          <w:rFonts w:ascii="Arial" w:cs="Arial" w:eastAsia="Arial" w:hAnsi="Arial"/>
          <w:sz w:val="17"/>
          <w:szCs w:val="17"/>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businesses may be affected by, among other things:</w:t>
      </w:r>
    </w:p>
    <w:p>
      <w:pPr>
        <w:spacing w:after="0" w:line="228" w:lineRule="exact"/>
        <w:rPr>
          <w:sz w:val="20"/>
          <w:szCs w:val="20"/>
          <w:color w:val="auto"/>
        </w:rPr>
      </w:pPr>
    </w:p>
    <w:p>
      <w:pPr>
        <w:ind w:left="820" w:hanging="470"/>
        <w:spacing w:after="0"/>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changes in laws and regulations;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changes in the competitive environment;</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changes in technology;</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industry consolidation and mergers;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franchise-related matters;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market conditions that may adversely affect the availability of debt and equity financing for working capital, capital expenditures or other purposes;</w:t>
      </w:r>
    </w:p>
    <w:p>
      <w:pPr>
        <w:spacing w:after="0" w:line="292" w:lineRule="exact"/>
        <w:rPr>
          <w:rFonts w:ascii="Arial" w:cs="Arial" w:eastAsia="Arial" w:hAnsi="Arial"/>
          <w:sz w:val="16"/>
          <w:szCs w:val="16"/>
          <w:color w:val="auto"/>
        </w:rPr>
      </w:pPr>
    </w:p>
    <w:p>
      <w:pPr>
        <w:ind w:left="820" w:hanging="470"/>
        <w:spacing w:after="0"/>
        <w:tabs>
          <w:tab w:leader="none" w:pos="8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demand for the programming content we distribute or the willingness of other video program distributors to carry our content; and</w:t>
      </w:r>
    </w:p>
    <w:p>
      <w:pPr>
        <w:spacing w:after="0" w:line="280" w:lineRule="exact"/>
        <w:rPr>
          <w:rFonts w:ascii="Arial" w:cs="Arial" w:eastAsia="Arial" w:hAnsi="Arial"/>
          <w:sz w:val="17"/>
          <w:szCs w:val="17"/>
          <w:color w:val="auto"/>
        </w:rPr>
      </w:pPr>
    </w:p>
    <w:p>
      <w:pPr>
        <w:ind w:left="640" w:hanging="317"/>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254" w:lineRule="exact"/>
        <w:rPr>
          <w:sz w:val="20"/>
          <w:szCs w:val="20"/>
          <w:color w:val="auto"/>
        </w:rPr>
      </w:pPr>
    </w:p>
    <w:p>
      <w:pPr>
        <w:ind w:right="180" w:firstLine="318"/>
        <w:spacing w:after="0" w:line="310" w:lineRule="auto"/>
        <w:rPr>
          <w:sz w:val="20"/>
          <w:szCs w:val="20"/>
          <w:color w:val="auto"/>
        </w:rPr>
      </w:pPr>
      <w:r>
        <w:rPr>
          <w:rFonts w:ascii="Arial" w:cs="Arial" w:eastAsia="Arial" w:hAnsi="Arial"/>
          <w:sz w:val="15"/>
          <w:szCs w:val="15"/>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USE OF PROCEEDS</w:t>
      </w:r>
    </w:p>
    <w:p>
      <w:pPr>
        <w:spacing w:after="0" w:line="260" w:lineRule="exact"/>
        <w:rPr>
          <w:sz w:val="20"/>
          <w:szCs w:val="20"/>
          <w:color w:val="auto"/>
        </w:rPr>
      </w:pPr>
    </w:p>
    <w:p>
      <w:pPr>
        <w:ind w:right="40" w:firstLine="318"/>
        <w:spacing w:after="0" w:line="273" w:lineRule="auto"/>
        <w:rPr>
          <w:sz w:val="20"/>
          <w:szCs w:val="20"/>
          <w:color w:val="auto"/>
        </w:rPr>
      </w:pPr>
      <w:r>
        <w:rPr>
          <w:rFonts w:ascii="Arial" w:cs="Arial" w:eastAsia="Arial" w:hAnsi="Arial"/>
          <w:sz w:val="17"/>
          <w:szCs w:val="17"/>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DIVIDEND POLICY</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intend to pay dividends on our common stock for the foreseeable future.</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RATIOS OF EARNINGS TO FIXED CHARGES</w:t>
      </w:r>
    </w:p>
    <w:p>
      <w:pPr>
        <w:spacing w:after="0" w:line="200" w:lineRule="exact"/>
        <w:rPr>
          <w:sz w:val="20"/>
          <w:szCs w:val="20"/>
          <w:color w:val="auto"/>
        </w:rPr>
      </w:pP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ind w:left="400"/>
              <w:spacing w:after="0"/>
              <w:rPr>
                <w:sz w:val="20"/>
                <w:szCs w:val="20"/>
                <w:color w:val="auto"/>
              </w:rPr>
            </w:pPr>
            <w:r>
              <w:rPr>
                <w:rFonts w:ascii="Arial" w:cs="Arial" w:eastAsia="Arial" w:hAnsi="Arial"/>
                <w:sz w:val="13"/>
                <w:szCs w:val="13"/>
                <w:b w:val="1"/>
                <w:bCs w:val="1"/>
                <w:color w:val="auto"/>
              </w:rPr>
              <w:t>For the Years Ended December 31,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4"/>
        </w:trPr>
        <w:tc>
          <w:tcPr>
            <w:tcW w:w="54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56"/>
        </w:trPr>
        <w:tc>
          <w:tcPr>
            <w:tcW w:w="5440" w:type="dxa"/>
            <w:vAlign w:val="bottom"/>
          </w:tcPr>
          <w:p>
            <w:pPr>
              <w:spacing w:after="0"/>
              <w:rPr>
                <w:sz w:val="22"/>
                <w:szCs w:val="22"/>
                <w:color w:val="auto"/>
              </w:rPr>
            </w:pPr>
          </w:p>
        </w:tc>
        <w:tc>
          <w:tcPr>
            <w:tcW w:w="740" w:type="dxa"/>
            <w:vAlign w:val="bottom"/>
          </w:tcPr>
          <w:p>
            <w:pPr>
              <w:jc w:val="right"/>
              <w:ind w:right="164"/>
              <w:spacing w:after="0"/>
              <w:rPr>
                <w:sz w:val="20"/>
                <w:szCs w:val="20"/>
                <w:color w:val="auto"/>
              </w:rPr>
            </w:pPr>
            <w:r>
              <w:rPr>
                <w:rFonts w:ascii="Arial" w:cs="Arial" w:eastAsia="Arial" w:hAnsi="Arial"/>
                <w:sz w:val="13"/>
                <w:szCs w:val="13"/>
                <w:b w:val="1"/>
                <w:bCs w:val="1"/>
                <w:color w:val="auto"/>
              </w:rPr>
              <w:t>2002</w:t>
            </w:r>
          </w:p>
        </w:tc>
        <w:tc>
          <w:tcPr>
            <w:tcW w:w="1020" w:type="dxa"/>
            <w:vAlign w:val="bottom"/>
            <w:gridSpan w:val="2"/>
          </w:tcPr>
          <w:p>
            <w:pPr>
              <w:jc w:val="right"/>
              <w:ind w:right="184"/>
              <w:spacing w:after="0"/>
              <w:rPr>
                <w:sz w:val="20"/>
                <w:szCs w:val="20"/>
                <w:color w:val="auto"/>
              </w:rPr>
            </w:pPr>
            <w:r>
              <w:rPr>
                <w:rFonts w:ascii="Arial" w:cs="Arial" w:eastAsia="Arial" w:hAnsi="Arial"/>
                <w:sz w:val="13"/>
                <w:szCs w:val="13"/>
                <w:b w:val="1"/>
                <w:bCs w:val="1"/>
                <w:color w:val="auto"/>
              </w:rPr>
              <w:t>2001</w:t>
            </w:r>
          </w:p>
        </w:tc>
        <w:tc>
          <w:tcPr>
            <w:tcW w:w="100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2000</w:t>
            </w:r>
          </w:p>
        </w:tc>
        <w:tc>
          <w:tcPr>
            <w:tcW w:w="104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1999</w:t>
            </w:r>
          </w:p>
        </w:tc>
        <w:tc>
          <w:tcPr>
            <w:tcW w:w="104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1998</w:t>
            </w:r>
          </w:p>
        </w:tc>
      </w:tr>
      <w:tr>
        <w:trPr>
          <w:trHeight w:val="94"/>
        </w:trPr>
        <w:tc>
          <w:tcPr>
            <w:tcW w:w="544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8"/>
        </w:trPr>
        <w:tc>
          <w:tcPr>
            <w:tcW w:w="5440" w:type="dxa"/>
            <w:vAlign w:val="bottom"/>
          </w:tcPr>
          <w:p>
            <w:pPr>
              <w:spacing w:after="0"/>
              <w:rPr>
                <w:sz w:val="20"/>
                <w:szCs w:val="20"/>
                <w:color w:val="auto"/>
              </w:rPr>
            </w:pPr>
            <w:r>
              <w:rPr>
                <w:rFonts w:ascii="Arial" w:cs="Arial" w:eastAsia="Arial" w:hAnsi="Arial"/>
                <w:sz w:val="17"/>
                <w:szCs w:val="17"/>
                <w:color w:val="auto"/>
              </w:rPr>
              <w:t>Comcast(a)</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1.20x</w:t>
            </w:r>
          </w:p>
        </w:tc>
        <w:tc>
          <w:tcPr>
            <w:tcW w:w="2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2.20x</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5.93x</w:t>
            </w:r>
          </w:p>
        </w:tc>
        <w:tc>
          <w:tcPr>
            <w:tcW w:w="2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3.30x</w:t>
            </w:r>
          </w:p>
        </w:tc>
        <w:tc>
          <w:tcPr>
            <w:tcW w:w="2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5.37x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22682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682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4"/>
        <w:spacing w:after="0" w:line="26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 minority interest, equity in net (income) losses of affiliates and fixed charges. Fixed charges consist of interest expense.</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RATIO OF EARNINGS TO COMBINED FIXED CHARGES</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AND PREFERRED DIVIDENDS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5"/>
          </w:tcPr>
          <w:p>
            <w:pPr>
              <w:ind w:left="420"/>
              <w:spacing w:after="0"/>
              <w:rPr>
                <w:sz w:val="20"/>
                <w:szCs w:val="20"/>
                <w:color w:val="auto"/>
              </w:rPr>
            </w:pPr>
            <w:r>
              <w:rPr>
                <w:rFonts w:ascii="Arial" w:cs="Arial" w:eastAsia="Arial" w:hAnsi="Arial"/>
                <w:sz w:val="13"/>
                <w:szCs w:val="13"/>
                <w:b w:val="1"/>
                <w:bCs w:val="1"/>
                <w:color w:val="auto"/>
              </w:rPr>
              <w:t>For the Years Ended December 31,</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4"/>
        </w:trPr>
        <w:tc>
          <w:tcPr>
            <w:tcW w:w="5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56"/>
        </w:trPr>
        <w:tc>
          <w:tcPr>
            <w:tcW w:w="5460" w:type="dxa"/>
            <w:vAlign w:val="bottom"/>
          </w:tcPr>
          <w:p>
            <w:pPr>
              <w:spacing w:after="0"/>
              <w:rPr>
                <w:sz w:val="22"/>
                <w:szCs w:val="22"/>
                <w:color w:val="auto"/>
              </w:rPr>
            </w:pPr>
          </w:p>
        </w:tc>
        <w:tc>
          <w:tcPr>
            <w:tcW w:w="740" w:type="dxa"/>
            <w:vAlign w:val="bottom"/>
          </w:tcPr>
          <w:p>
            <w:pPr>
              <w:jc w:val="right"/>
              <w:ind w:right="164"/>
              <w:spacing w:after="0"/>
              <w:rPr>
                <w:sz w:val="20"/>
                <w:szCs w:val="20"/>
                <w:color w:val="auto"/>
              </w:rPr>
            </w:pPr>
            <w:r>
              <w:rPr>
                <w:rFonts w:ascii="Arial" w:cs="Arial" w:eastAsia="Arial" w:hAnsi="Arial"/>
                <w:sz w:val="13"/>
                <w:szCs w:val="13"/>
                <w:b w:val="1"/>
                <w:bCs w:val="1"/>
                <w:color w:val="auto"/>
              </w:rPr>
              <w:t>2002</w:t>
            </w:r>
          </w:p>
        </w:tc>
        <w:tc>
          <w:tcPr>
            <w:tcW w:w="1000" w:type="dxa"/>
            <w:vAlign w:val="bottom"/>
            <w:gridSpan w:val="2"/>
          </w:tcPr>
          <w:p>
            <w:pPr>
              <w:jc w:val="right"/>
              <w:ind w:right="164"/>
              <w:spacing w:after="0"/>
              <w:rPr>
                <w:sz w:val="20"/>
                <w:szCs w:val="20"/>
                <w:color w:val="auto"/>
              </w:rPr>
            </w:pPr>
            <w:r>
              <w:rPr>
                <w:rFonts w:ascii="Arial" w:cs="Arial" w:eastAsia="Arial" w:hAnsi="Arial"/>
                <w:sz w:val="13"/>
                <w:szCs w:val="13"/>
                <w:b w:val="1"/>
                <w:bCs w:val="1"/>
                <w:color w:val="auto"/>
              </w:rPr>
              <w:t>2001</w:t>
            </w:r>
          </w:p>
        </w:tc>
        <w:tc>
          <w:tcPr>
            <w:tcW w:w="1000" w:type="dxa"/>
            <w:vAlign w:val="bottom"/>
            <w:gridSpan w:val="2"/>
          </w:tcPr>
          <w:p>
            <w:pPr>
              <w:jc w:val="right"/>
              <w:ind w:right="154"/>
              <w:spacing w:after="0"/>
              <w:rPr>
                <w:sz w:val="20"/>
                <w:szCs w:val="20"/>
                <w:color w:val="auto"/>
              </w:rPr>
            </w:pPr>
            <w:r>
              <w:rPr>
                <w:rFonts w:ascii="Arial" w:cs="Arial" w:eastAsia="Arial" w:hAnsi="Arial"/>
                <w:sz w:val="13"/>
                <w:szCs w:val="13"/>
                <w:b w:val="1"/>
                <w:bCs w:val="1"/>
                <w:color w:val="auto"/>
              </w:rPr>
              <w:t>2000</w:t>
            </w:r>
          </w:p>
        </w:tc>
        <w:tc>
          <w:tcPr>
            <w:tcW w:w="104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1999</w:t>
            </w:r>
          </w:p>
        </w:tc>
        <w:tc>
          <w:tcPr>
            <w:tcW w:w="104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1998</w:t>
            </w:r>
          </w:p>
        </w:tc>
      </w:tr>
      <w:tr>
        <w:trPr>
          <w:trHeight w:val="94"/>
        </w:trPr>
        <w:tc>
          <w:tcPr>
            <w:tcW w:w="5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8"/>
        </w:trPr>
        <w:tc>
          <w:tcPr>
            <w:tcW w:w="5460" w:type="dxa"/>
            <w:vAlign w:val="bottom"/>
          </w:tcPr>
          <w:p>
            <w:pPr>
              <w:spacing w:after="0"/>
              <w:rPr>
                <w:sz w:val="20"/>
                <w:szCs w:val="20"/>
                <w:color w:val="auto"/>
              </w:rPr>
            </w:pPr>
            <w:r>
              <w:rPr>
                <w:rFonts w:ascii="Arial" w:cs="Arial" w:eastAsia="Arial" w:hAnsi="Arial"/>
                <w:sz w:val="17"/>
                <w:szCs w:val="17"/>
                <w:color w:val="auto"/>
              </w:rPr>
              <w:t>Comcast(b)</w:t>
            </w: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1.20x</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1"/>
              </w:rPr>
              <w:t>2.20x</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6"/>
              </w:rPr>
              <w:t>5.77x</w:t>
            </w:r>
          </w:p>
        </w:tc>
        <w:tc>
          <w:tcPr>
            <w:tcW w:w="2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auto"/>
                <w:w w:val="91"/>
              </w:rPr>
              <w:t>3.20x</w:t>
            </w:r>
          </w:p>
        </w:tc>
        <w:tc>
          <w:tcPr>
            <w:tcW w:w="2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w w:val="91"/>
              </w:rPr>
              <w:t>5.12x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22682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6822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4"/>
        <w:spacing w:after="0" w:line="297"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purposes of calculating our ratios of earnings to combined fixed charges and preferred dividends, earnings consist of income (loss) from continuing operations before income taxes, cumulative effect of accounting change, minority interest, equity in net (income) losses of affiliate and combined fixed charges and preferred dividends. Combined fixed charges and preferred dividends consist of interest expense and preferred dividends.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PRO FORMA COMBINED CONDENSED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STATEMENT OF OPERATIONS OF COMCAST CORPORATION</w:t>
      </w:r>
    </w:p>
    <w:p>
      <w:pPr>
        <w:spacing w:after="0" w:line="260"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The following Unaudited Pro Forma Combined Condensed Statement of Operations of Comcast for the year ended December 31, 2002 gives effect to the Broadband acquisition. The pro forma financial statement accounts for the Broadband acquisition under the purchase method of accounting. The consideration to complete the Broadband acquisition was $50,780 million, consisting of $25,495 million of Comcast common stock and options, $24,860 million of assumed debt and $425 million of transaction costs directly related to the acquisition.</w:t>
      </w:r>
    </w:p>
    <w:p>
      <w:pPr>
        <w:spacing w:after="0" w:line="212" w:lineRule="exact"/>
        <w:rPr>
          <w:sz w:val="20"/>
          <w:szCs w:val="20"/>
          <w:color w:val="auto"/>
        </w:rPr>
      </w:pPr>
    </w:p>
    <w:p>
      <w:pPr>
        <w:ind w:right="40" w:firstLine="318"/>
        <w:spacing w:after="0" w:line="325" w:lineRule="auto"/>
        <w:rPr>
          <w:sz w:val="20"/>
          <w:szCs w:val="20"/>
          <w:color w:val="auto"/>
        </w:rPr>
      </w:pPr>
      <w:r>
        <w:rPr>
          <w:rFonts w:ascii="Arial" w:cs="Arial" w:eastAsia="Arial" w:hAnsi="Arial"/>
          <w:sz w:val="15"/>
          <w:szCs w:val="15"/>
          <w:color w:val="auto"/>
        </w:rPr>
        <w:t>The estimated fair value of certain assets and liabilities are based on preliminary valuations and are subject to adjustment as additional information is obtained. Our estimates have and will continue to change as final reports from valuation specialists are obtained and additional information becomes available regarding assets acquired and liabilities assumed. Changes in the amounts assigned to acquisition related assets and liabilities may affect the results of operations in future periods.</w:t>
      </w:r>
    </w:p>
    <w:p>
      <w:pPr>
        <w:spacing w:after="0" w:line="172" w:lineRule="exact"/>
        <w:rPr>
          <w:sz w:val="20"/>
          <w:szCs w:val="20"/>
          <w:color w:val="auto"/>
        </w:rPr>
      </w:pPr>
    </w:p>
    <w:p>
      <w:pPr>
        <w:jc w:val="both"/>
        <w:ind w:right="100" w:firstLine="318"/>
        <w:spacing w:after="0" w:line="290" w:lineRule="auto"/>
        <w:rPr>
          <w:sz w:val="20"/>
          <w:szCs w:val="20"/>
          <w:color w:val="auto"/>
        </w:rPr>
      </w:pPr>
      <w:r>
        <w:rPr>
          <w:rFonts w:ascii="Arial" w:cs="Arial" w:eastAsia="Arial" w:hAnsi="Arial"/>
          <w:sz w:val="16"/>
          <w:szCs w:val="16"/>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results that would have occurred if the Broadband acquisition had been in effect on the dates indicated or which may be obtained in the future.</w:t>
      </w:r>
    </w:p>
    <w:p>
      <w:pPr>
        <w:spacing w:after="0" w:line="195" w:lineRule="exact"/>
        <w:rPr>
          <w:sz w:val="20"/>
          <w:szCs w:val="20"/>
          <w:color w:val="auto"/>
        </w:rPr>
      </w:pPr>
    </w:p>
    <w:p>
      <w:pPr>
        <w:ind w:firstLine="318"/>
        <w:spacing w:after="0" w:line="356" w:lineRule="auto"/>
        <w:rPr>
          <w:sz w:val="20"/>
          <w:szCs w:val="20"/>
          <w:color w:val="auto"/>
        </w:rPr>
      </w:pPr>
      <w:r>
        <w:rPr>
          <w:rFonts w:ascii="Arial" w:cs="Arial" w:eastAsia="Arial" w:hAnsi="Arial"/>
          <w:sz w:val="15"/>
          <w:szCs w:val="15"/>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incorporated by reference in this prospectus.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COMCAST CORPORATION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COMBINED CONDENSED STATEMENT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2002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5"/>
          </w:tcPr>
          <w:p>
            <w:pPr>
              <w:ind w:left="480"/>
              <w:spacing w:after="0"/>
              <w:rPr>
                <w:sz w:val="20"/>
                <w:szCs w:val="20"/>
                <w:color w:val="auto"/>
              </w:rPr>
            </w:pPr>
            <w:r>
              <w:rPr>
                <w:rFonts w:ascii="Arial" w:cs="Arial" w:eastAsia="Arial" w:hAnsi="Arial"/>
                <w:sz w:val="13"/>
                <w:szCs w:val="13"/>
                <w:b w:val="1"/>
                <w:bCs w:val="1"/>
                <w:color w:val="auto"/>
              </w:rPr>
              <w:t>Historical</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ind w:left="40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20" w:type="dxa"/>
            <w:vAlign w:val="bottom"/>
            <w:gridSpan w:val="3"/>
          </w:tcPr>
          <w:p>
            <w:pPr>
              <w:ind w:left="340"/>
              <w:spacing w:after="0"/>
              <w:rPr>
                <w:sz w:val="20"/>
                <w:szCs w:val="20"/>
                <w:color w:val="auto"/>
              </w:rPr>
            </w:pPr>
            <w:r>
              <w:rPr>
                <w:rFonts w:ascii="Arial" w:cs="Arial" w:eastAsia="Arial" w:hAnsi="Arial"/>
                <w:sz w:val="13"/>
                <w:szCs w:val="13"/>
                <w:b w:val="1"/>
                <w:bCs w:val="1"/>
                <w:color w:val="auto"/>
              </w:rPr>
              <w:t>Comcast(a)</w:t>
            </w:r>
          </w:p>
        </w:tc>
        <w:tc>
          <w:tcPr>
            <w:tcW w:w="280" w:type="dxa"/>
            <w:vAlign w:val="bottom"/>
          </w:tcPr>
          <w:p>
            <w:pPr>
              <w:spacing w:after="0"/>
              <w:rPr>
                <w:sz w:val="14"/>
                <w:szCs w:val="14"/>
                <w:color w:val="auto"/>
              </w:rPr>
            </w:pPr>
          </w:p>
        </w:tc>
        <w:tc>
          <w:tcPr>
            <w:tcW w:w="152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Broadband(a)</w:t>
            </w:r>
          </w:p>
        </w:tc>
        <w:tc>
          <w:tcPr>
            <w:tcW w:w="260" w:type="dxa"/>
            <w:vAlign w:val="bottom"/>
          </w:tcPr>
          <w:p>
            <w:pPr>
              <w:spacing w:after="0"/>
              <w:rPr>
                <w:sz w:val="14"/>
                <w:szCs w:val="14"/>
                <w:color w:val="auto"/>
              </w:rPr>
            </w:pPr>
          </w:p>
        </w:tc>
        <w:tc>
          <w:tcPr>
            <w:tcW w:w="1700" w:type="dxa"/>
            <w:vAlign w:val="bottom"/>
            <w:gridSpan w:val="4"/>
          </w:tcPr>
          <w:p>
            <w:pPr>
              <w:jc w:val="right"/>
              <w:ind w:right="400"/>
              <w:spacing w:after="0"/>
              <w:rPr>
                <w:sz w:val="20"/>
                <w:szCs w:val="20"/>
                <w:color w:val="auto"/>
              </w:rPr>
            </w:pPr>
            <w:r>
              <w:rPr>
                <w:rFonts w:ascii="Arial" w:cs="Arial" w:eastAsia="Arial" w:hAnsi="Arial"/>
                <w:sz w:val="13"/>
                <w:szCs w:val="13"/>
                <w:b w:val="1"/>
                <w:bCs w:val="1"/>
                <w:color w:val="auto"/>
              </w:rPr>
              <w:t>Adjustments(b)</w:t>
            </w:r>
          </w:p>
        </w:tc>
        <w:tc>
          <w:tcPr>
            <w:tcW w:w="280" w:type="dxa"/>
            <w:vAlign w:val="bottom"/>
          </w:tcPr>
          <w:p>
            <w:pPr>
              <w:spacing w:after="0"/>
              <w:rPr>
                <w:sz w:val="14"/>
                <w:szCs w:val="14"/>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Comcast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gridSpan w:val="2"/>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80" w:type="dxa"/>
            <w:vAlign w:val="bottom"/>
            <w:gridSpan w:val="10"/>
          </w:tcPr>
          <w:p>
            <w:pPr>
              <w:jc w:val="right"/>
              <w:ind w:right="340"/>
              <w:spacing w:after="0"/>
              <w:rPr>
                <w:sz w:val="20"/>
                <w:szCs w:val="20"/>
                <w:color w:val="auto"/>
              </w:rPr>
            </w:pPr>
            <w:r>
              <w:rPr>
                <w:rFonts w:ascii="Arial" w:cs="Arial" w:eastAsia="Arial" w:hAnsi="Arial"/>
                <w:sz w:val="13"/>
                <w:szCs w:val="13"/>
                <w:b w:val="1"/>
                <w:bCs w:val="1"/>
                <w:color w:val="auto"/>
              </w:rPr>
              <w:t>(Amounts in millions, except per share amounts)</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Revenues</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Service revenues</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8,079</w:t>
            </w:r>
          </w:p>
        </w:tc>
        <w:tc>
          <w:tcPr>
            <w:tcW w:w="420" w:type="dxa"/>
            <w:vAlign w:val="bottom"/>
          </w:tcPr>
          <w:p>
            <w:pPr>
              <w:spacing w:after="0"/>
              <w:rPr>
                <w:sz w:val="18"/>
                <w:szCs w:val="18"/>
                <w:color w:val="auto"/>
              </w:rPr>
            </w:pPr>
          </w:p>
        </w:tc>
        <w:tc>
          <w:tcPr>
            <w:tcW w:w="840" w:type="dxa"/>
            <w:vAlign w:val="bottom"/>
            <w:gridSpan w:val="3"/>
          </w:tcPr>
          <w:p>
            <w:pPr>
              <w:ind w:left="740"/>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8,693</w:t>
            </w:r>
          </w:p>
        </w:tc>
        <w:tc>
          <w:tcPr>
            <w:tcW w:w="42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(41)</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16,731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Net sales from electronic retailing</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4,381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4,381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12,460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8,693</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(41)</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21,112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Costs and Expenses</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Operating (excluding depreciation)</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3,511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4,612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8,096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Cost of goods sold from electronic retailing (excluding</w:t>
            </w:r>
          </w:p>
        </w:tc>
        <w:tc>
          <w:tcPr>
            <w:tcW w:w="4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shd w:val="clear" w:color="auto" w:fill="EEEEEE"/>
          </w:tcPr>
          <w:p>
            <w:pPr>
              <w:ind w:left="380"/>
              <w:spacing w:after="0"/>
              <w:rPr>
                <w:sz w:val="20"/>
                <w:szCs w:val="20"/>
                <w:color w:val="auto"/>
              </w:rPr>
            </w:pPr>
            <w:r>
              <w:rPr>
                <w:rFonts w:ascii="Arial" w:cs="Arial" w:eastAsia="Arial" w:hAnsi="Arial"/>
                <w:sz w:val="17"/>
                <w:szCs w:val="17"/>
                <w:color w:val="auto"/>
              </w:rPr>
              <w:t>depreciation)</w:t>
            </w:r>
          </w:p>
        </w:tc>
        <w:tc>
          <w:tcPr>
            <w:tcW w:w="42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2,793</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2,793</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Selling, general and administrative</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2,465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2,411</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(10)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4,866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Depreciation</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1,775</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2,414</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560"/>
              <w:spacing w:after="0"/>
              <w:rPr>
                <w:sz w:val="20"/>
                <w:szCs w:val="20"/>
                <w:color w:val="auto"/>
              </w:rPr>
            </w:pPr>
            <w:r>
              <w:rPr>
                <w:rFonts w:ascii="Arial" w:cs="Arial" w:eastAsia="Arial" w:hAnsi="Arial"/>
                <w:sz w:val="17"/>
                <w:szCs w:val="17"/>
                <w:color w:val="auto"/>
              </w:rPr>
              <w:t>(814)</w:t>
            </w: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3,375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Amortization</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257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188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954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1,399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Goodwill and franchise impairment charges(c)</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6"/>
              </w:rPr>
              <w:t>16,525</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16,525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Asset impairment, restructuring and other charges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10,801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96"/>
              </w:rPr>
              <w:t>26,206</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103</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9"/>
              </w:rPr>
              <w:t>37,110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income (loss)</w:t>
            </w: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46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1,659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7"/>
                <w:szCs w:val="17"/>
                <w:color w:val="auto"/>
                <w:w w:val="88"/>
              </w:rPr>
              <w:t>(17,513)</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(144)</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(15,998)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Other income (expense)</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Interest expense</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(884)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7"/>
                <w:szCs w:val="17"/>
                <w:color w:val="auto"/>
              </w:rPr>
              <w:t>(1,306)</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rPr>
              <w:t>(5)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(2,195)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Investment expense</w:t>
            </w: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(605)</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(1,263)</w:t>
            </w: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rPr>
              <w:t>(1,868)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ind w:left="260"/>
              <w:spacing w:after="0"/>
              <w:rPr>
                <w:sz w:val="20"/>
                <w:szCs w:val="20"/>
                <w:color w:val="auto"/>
              </w:rPr>
            </w:pPr>
            <w:r>
              <w:rPr>
                <w:rFonts w:ascii="Arial" w:cs="Arial" w:eastAsia="Arial" w:hAnsi="Arial"/>
                <w:sz w:val="17"/>
                <w:szCs w:val="17"/>
                <w:color w:val="auto"/>
              </w:rPr>
              <w:t>Equity in net losses of affiliates</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(103)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w w:val="89"/>
              </w:rPr>
              <w:t>(1,005)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(1,108)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Other income</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439</w:t>
            </w: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w w:val="96"/>
              </w:rPr>
              <w:t>(1,589)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7"/>
                <w:szCs w:val="17"/>
                <w:color w:val="auto"/>
              </w:rPr>
              <w:t>(2,130)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7"/>
                <w:szCs w:val="17"/>
                <w:color w:val="auto"/>
                <w:w w:val="89"/>
              </w:rPr>
              <w:t>(1,010)</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(4,729)</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Income (loss) from continuing operations before income</w:t>
            </w:r>
          </w:p>
        </w:tc>
        <w:tc>
          <w:tcPr>
            <w:tcW w:w="4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rPr>
              <w:t>taxes, minority interest, extraordinary items and</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rPr>
              <w:t>cumulative effect of accounting change</w:t>
            </w:r>
          </w:p>
        </w:tc>
        <w:tc>
          <w:tcPr>
            <w:tcW w:w="42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70</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w w:val="88"/>
              </w:rPr>
              <w:t>(19,643)</w:t>
            </w:r>
          </w:p>
        </w:tc>
        <w:tc>
          <w:tcPr>
            <w:tcW w:w="2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560"/>
              <w:spacing w:after="0"/>
              <w:rPr>
                <w:sz w:val="20"/>
                <w:szCs w:val="20"/>
                <w:color w:val="auto"/>
              </w:rPr>
            </w:pPr>
            <w:r>
              <w:rPr>
                <w:rFonts w:ascii="Arial" w:cs="Arial" w:eastAsia="Arial" w:hAnsi="Arial"/>
                <w:sz w:val="17"/>
                <w:szCs w:val="17"/>
                <w:color w:val="auto"/>
                <w:w w:val="89"/>
              </w:rPr>
              <w:t>(1,154)</w:t>
            </w:r>
          </w:p>
        </w:tc>
        <w:tc>
          <w:tcPr>
            <w:tcW w:w="2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w w:val="91"/>
              </w:rPr>
              <w:t>(20,727)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7"/>
                <w:szCs w:val="17"/>
                <w:b w:val="1"/>
                <w:bCs w:val="1"/>
                <w:color w:val="auto"/>
              </w:rPr>
              <w:t>Income tax (expense) benefit</w:t>
            </w:r>
          </w:p>
        </w:tc>
        <w:tc>
          <w:tcPr>
            <w:tcW w:w="4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(134)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5,776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443</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6,085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9"/>
              </w:rPr>
              <w:t>Loss from continuing operations before minority interest,</w:t>
            </w:r>
          </w:p>
        </w:tc>
        <w:tc>
          <w:tcPr>
            <w:tcW w:w="4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w w:val="99"/>
              </w:rPr>
              <w:t>extraordinary items and cumulative effect of accounting</w:t>
            </w:r>
          </w:p>
        </w:tc>
        <w:tc>
          <w:tcPr>
            <w:tcW w:w="4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7"/>
                <w:szCs w:val="17"/>
                <w:b w:val="1"/>
                <w:bCs w:val="1"/>
                <w:color w:val="auto"/>
              </w:rPr>
              <w:t>change</w:t>
            </w:r>
          </w:p>
        </w:tc>
        <w:tc>
          <w:tcPr>
            <w:tcW w:w="4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(64)</w:t>
            </w: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96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w w:val="88"/>
              </w:rPr>
              <w:t>(13,867)</w:t>
            </w:r>
          </w:p>
        </w:tc>
        <w:tc>
          <w:tcPr>
            <w:tcW w:w="2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560"/>
              <w:spacing w:after="0"/>
              <w:rPr>
                <w:sz w:val="20"/>
                <w:szCs w:val="20"/>
                <w:color w:val="auto"/>
              </w:rPr>
            </w:pPr>
            <w:r>
              <w:rPr>
                <w:rFonts w:ascii="Arial" w:cs="Arial" w:eastAsia="Arial" w:hAnsi="Arial"/>
                <w:sz w:val="17"/>
                <w:szCs w:val="17"/>
                <w:color w:val="auto"/>
              </w:rPr>
              <w:t>(711)</w:t>
            </w:r>
          </w:p>
        </w:tc>
        <w:tc>
          <w:tcPr>
            <w:tcW w:w="2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w w:val="91"/>
              </w:rPr>
              <w:t>(14,642)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Net loss related to equity investments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7"/>
                <w:szCs w:val="17"/>
                <w:color w:val="auto"/>
              </w:rPr>
              <w:t>(619)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619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Minority interest expense</w:t>
            </w:r>
          </w:p>
        </w:tc>
        <w:tc>
          <w:tcPr>
            <w:tcW w:w="4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(212)</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ind w:right="380"/>
              <w:spacing w:after="0"/>
              <w:rPr>
                <w:sz w:val="20"/>
                <w:szCs w:val="20"/>
                <w:color w:val="auto"/>
              </w:rPr>
            </w:pPr>
            <w:r>
              <w:rPr>
                <w:rFonts w:ascii="Arial" w:cs="Arial" w:eastAsia="Arial" w:hAnsi="Arial"/>
                <w:sz w:val="17"/>
                <w:szCs w:val="17"/>
                <w:color w:val="auto"/>
              </w:rPr>
              <w:t>(256)</w:t>
            </w: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155</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rPr>
              <w:t>(313)</w:t>
            </w:r>
          </w:p>
        </w:tc>
        <w:tc>
          <w:tcPr>
            <w:tcW w:w="0" w:type="dxa"/>
            <w:vAlign w:val="bottom"/>
          </w:tcPr>
          <w:p>
            <w:pPr>
              <w:spacing w:after="0"/>
              <w:rPr>
                <w:sz w:val="1"/>
                <w:szCs w:val="1"/>
                <w:color w:val="auto"/>
              </w:rPr>
            </w:pPr>
          </w:p>
        </w:tc>
      </w:tr>
      <w:tr>
        <w:trPr>
          <w:trHeight w:val="106"/>
        </w:trPr>
        <w:tc>
          <w:tcPr>
            <w:tcW w:w="46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from continuing operations before extraordinary</w:t>
            </w: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6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Arial" w:cs="Arial" w:eastAsia="Arial" w:hAnsi="Arial"/>
                <w:sz w:val="17"/>
                <w:szCs w:val="17"/>
                <w:b w:val="1"/>
                <w:bCs w:val="1"/>
                <w:color w:val="auto"/>
              </w:rPr>
              <w:t>items and cumulative effect of accounting change</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(276)</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7"/>
                <w:szCs w:val="17"/>
                <w:color w:val="auto"/>
                <w:w w:val="88"/>
              </w:rPr>
              <w:t>(14,742)</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63</w:t>
            </w:r>
          </w:p>
        </w:tc>
        <w:tc>
          <w:tcPr>
            <w:tcW w:w="620" w:type="dxa"/>
            <w:vAlign w:val="bottom"/>
          </w:tcPr>
          <w:p>
            <w:pPr>
              <w:spacing w:after="0"/>
              <w:rPr>
                <w:sz w:val="19"/>
                <w:szCs w:val="19"/>
                <w:color w:val="auto"/>
              </w:rPr>
            </w:pP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(14,955)</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color w:val="auto"/>
              </w:rPr>
              <w:t>Loss per share from continuing operations — basic</w:t>
            </w:r>
          </w:p>
        </w:tc>
        <w:tc>
          <w:tcPr>
            <w:tcW w:w="420" w:type="dxa"/>
            <w:vAlign w:val="bottom"/>
            <w:shd w:val="clear" w:color="auto" w:fill="EEEEEE"/>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(0.25)</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gridSpan w:val="2"/>
            <w:shd w:val="clear" w:color="auto" w:fill="EEEEEE"/>
          </w:tcPr>
          <w:p>
            <w:pPr>
              <w:ind w:left="68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Loss per share from continuing operations — assuming</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dilution</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(0.25)</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shd w:val="clear" w:color="auto" w:fill="EEEEEE"/>
          </w:tcPr>
          <w:p>
            <w:pPr>
              <w:spacing w:after="0"/>
              <w:rPr>
                <w:sz w:val="20"/>
                <w:szCs w:val="20"/>
                <w:color w:val="auto"/>
              </w:rPr>
            </w:pPr>
            <w:r>
              <w:rPr>
                <w:rFonts w:ascii="Arial" w:cs="Arial" w:eastAsia="Arial" w:hAnsi="Arial"/>
                <w:sz w:val="17"/>
                <w:szCs w:val="17"/>
                <w:color w:val="auto"/>
              </w:rPr>
              <w:t>Weighted average number of common shares outstanding —</w:t>
            </w:r>
          </w:p>
        </w:tc>
        <w:tc>
          <w:tcPr>
            <w:tcW w:w="4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40" w:type="dxa"/>
            <w:vAlign w:val="bottom"/>
            <w:shd w:val="clear" w:color="auto" w:fill="EEEEEE"/>
          </w:tcPr>
          <w:p>
            <w:pPr>
              <w:ind w:left="120"/>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1,110</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8"/>
              </w:rPr>
              <w:t>1,189</w:t>
            </w:r>
          </w:p>
        </w:tc>
        <w:tc>
          <w:tcPr>
            <w:tcW w:w="6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2,299</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rPr>
                <w:sz w:val="20"/>
                <w:szCs w:val="20"/>
                <w:color w:val="auto"/>
              </w:rPr>
            </w:pPr>
            <w:r>
              <w:rPr>
                <w:rFonts w:ascii="Arial" w:cs="Arial" w:eastAsia="Arial" w:hAnsi="Arial"/>
                <w:sz w:val="17"/>
                <w:szCs w:val="17"/>
                <w:color w:val="auto"/>
              </w:rPr>
              <w:t>Weighted average number of common shares outstanding —</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7"/>
                <w:szCs w:val="17"/>
                <w:color w:val="auto"/>
              </w:rPr>
              <w:t>assuming dilution</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1,110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1,189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2,299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-1041400</wp:posOffset>
            </wp:positionV>
            <wp:extent cx="127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3227070</wp:posOffset>
            </wp:positionH>
            <wp:positionV relativeFrom="paragraph">
              <wp:posOffset>-1041400</wp:posOffset>
            </wp:positionV>
            <wp:extent cx="127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4655185</wp:posOffset>
            </wp:positionH>
            <wp:positionV relativeFrom="paragraph">
              <wp:posOffset>-1041400</wp:posOffset>
            </wp:positionV>
            <wp:extent cx="127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-1041400</wp:posOffset>
            </wp:positionV>
            <wp:extent cx="127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-1041400</wp:posOffset>
            </wp:positionV>
            <wp:extent cx="127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5503545</wp:posOffset>
            </wp:positionH>
            <wp:positionV relativeFrom="paragraph">
              <wp:posOffset>-1041400</wp:posOffset>
            </wp:positionV>
            <wp:extent cx="127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6998970</wp:posOffset>
            </wp:positionH>
            <wp:positionV relativeFrom="paragraph">
              <wp:posOffset>-1041400</wp:posOffset>
            </wp:positionV>
            <wp:extent cx="127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6663055</wp:posOffset>
            </wp:positionH>
            <wp:positionV relativeFrom="paragraph">
              <wp:posOffset>-1041400</wp:posOffset>
            </wp:positionV>
            <wp:extent cx="127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Pro Forma Combined Condensed Statement of Operations</w:t>
      </w:r>
    </w:p>
    <w:p>
      <w:pPr>
        <w:sectPr>
          <w:pgSz w:w="11900" w:h="16838" w:orient="portrait"/>
          <w:cols w:equalWidth="0" w:num="1">
            <w:col w:w="11420"/>
          </w:cols>
          <w:pgMar w:left="240" w:top="413" w:right="239" w:bottom="1440" w:gutter="0" w:footer="0" w:header="0"/>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COMCAST CORPORATION</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UNAUDITED PRO FORMA COMBINED CONDENSED</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STATEMENT OF OPERATIONS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per share data)</w:t>
      </w:r>
    </w:p>
    <w:p>
      <w:pPr>
        <w:spacing w:after="0" w:line="222" w:lineRule="exact"/>
        <w:rPr>
          <w:sz w:val="20"/>
          <w:szCs w:val="20"/>
          <w:color w:val="auto"/>
        </w:rPr>
      </w:pPr>
    </w:p>
    <w:p>
      <w:pPr>
        <w:ind w:left="460" w:right="60" w:hanging="454"/>
        <w:spacing w:after="0" w:line="26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Comcast results include the results of Broadband for the period from November 19, 2002 through December 31, 2002. Historical Broadband results represent Broadband’s results for the period from January 1, 2002 through November 18, 2002. Both the Comcast results and the Historical Broadband results exclude the cable systems serving approximately 317,000 subscribers that have been sold to Bresnan Broadband Holdings and treated as discontinued operations as of the acquisition date.</w:t>
      </w:r>
    </w:p>
    <w:p>
      <w:pPr>
        <w:spacing w:after="0" w:line="211" w:lineRule="exact"/>
        <w:rPr>
          <w:rFonts w:ascii="Arial" w:cs="Arial" w:eastAsia="Arial" w:hAnsi="Arial"/>
          <w:sz w:val="17"/>
          <w:szCs w:val="17"/>
          <w:color w:val="auto"/>
        </w:rPr>
      </w:pPr>
    </w:p>
    <w:p>
      <w:pPr>
        <w:ind w:left="460" w:right="60" w:hanging="454"/>
        <w:spacing w:after="0" w:line="26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Adjustments reflect the elimination of intercompany transactions between Comcast Holdings and Broadband, the change in depreciation and amortization expense as a result of recording the related balance sheet amounts at their fair value, the change in interest expense to reflect the effective interest rates for the new borrowings and the fair value of assumed debt, the reclassification of equity in net losses of affiliates to conform to our presentation, the related tax effects of the above adjustments, and the shares issued in the transaction.</w:t>
      </w:r>
    </w:p>
    <w:p>
      <w:pPr>
        <w:spacing w:after="0" w:line="211" w:lineRule="exact"/>
        <w:rPr>
          <w:rFonts w:ascii="Arial" w:cs="Arial" w:eastAsia="Arial" w:hAnsi="Arial"/>
          <w:sz w:val="17"/>
          <w:szCs w:val="17"/>
          <w:color w:val="auto"/>
        </w:rPr>
      </w:pPr>
    </w:p>
    <w:p>
      <w:pPr>
        <w:ind w:left="460" w:hanging="454"/>
        <w:spacing w:after="0" w:line="273"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Broadband historical amounts include a $16.5 billion charge incurred in second quarter of 2002 related to the impairment of franchise rights and goodwill. This charge was directly related to the transaction and was based upon the value of Comcast Holdings’ shares to be exchanged in the transaction as compared to the net book value of Broadband at the time of the impairment test.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SENIOR DEBT SECURITIES,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SUBORDINATED DEBT SECURITIES AND CABLE GUARANTEES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debt securities, consisting of notes, debentures or other evidences of indebtedness, may be issued from time to time in one or more series:</w:t>
      </w:r>
    </w:p>
    <w:p>
      <w:pPr>
        <w:spacing w:after="0" w:line="228" w:lineRule="exact"/>
        <w:rPr>
          <w:sz w:val="20"/>
          <w:szCs w:val="20"/>
          <w:color w:val="auto"/>
        </w:rPr>
      </w:pPr>
    </w:p>
    <w:p>
      <w:pPr>
        <w:ind w:left="820" w:right="320" w:hanging="470"/>
        <w:spacing w:after="0" w:line="286"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case of senior debt securities, under a senior indenture dated January 7, 2003, as amended, entered into among us, the cable guarantors and The Bank of New York, as trustee; and</w:t>
      </w:r>
    </w:p>
    <w:p>
      <w:pPr>
        <w:spacing w:after="0" w:line="195" w:lineRule="exact"/>
        <w:rPr>
          <w:rFonts w:ascii="Arial" w:cs="Arial" w:eastAsia="Arial" w:hAnsi="Arial"/>
          <w:sz w:val="17"/>
          <w:szCs w:val="17"/>
          <w:color w:val="auto"/>
        </w:rPr>
      </w:pPr>
    </w:p>
    <w:p>
      <w:pPr>
        <w:ind w:left="820" w:right="100" w:hanging="470"/>
        <w:spacing w:after="0" w:line="286" w:lineRule="auto"/>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the case of subordinated debt securities, under a subordinated indenture to be entered into among us, the cable guarantors and The Bank of New York, as trustee.</w:t>
      </w:r>
    </w:p>
    <w:p>
      <w:pPr>
        <w:spacing w:after="0" w:line="196"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The senior indenture, as amended, is included, and the subordinated indenture will be substantially in the form included, as exhibits to the registration statement of which this prospectus is a part.</w:t>
      </w:r>
    </w:p>
    <w:p>
      <w:pPr>
        <w:spacing w:after="0" w:line="19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 Contracts” and “Description of Units,” the terms “we,” “us” and “our” mean Comcast Corporation only, and not subsidiaries of Comcast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0" w:lineRule="exact"/>
        <w:rPr>
          <w:sz w:val="20"/>
          <w:szCs w:val="20"/>
          <w:color w:val="auto"/>
        </w:rPr>
      </w:pPr>
    </w:p>
    <w:p>
      <w:pPr>
        <w:ind w:firstLine="318"/>
        <w:spacing w:after="0" w:line="290"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195" w:lineRule="exact"/>
        <w:rPr>
          <w:sz w:val="20"/>
          <w:szCs w:val="20"/>
          <w:color w:val="auto"/>
        </w:rPr>
      </w:pPr>
    </w:p>
    <w:p>
      <w:pPr>
        <w:ind w:right="60" w:firstLine="318"/>
        <w:spacing w:after="0" w:line="283"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 should look in the applicable prospectus supplement for the following terms of the debt securities being offered:</w:t>
      </w:r>
    </w:p>
    <w:p>
      <w:pPr>
        <w:spacing w:after="0" w:line="228" w:lineRule="exact"/>
        <w:rPr>
          <w:sz w:val="20"/>
          <w:szCs w:val="20"/>
          <w:color w:val="auto"/>
        </w:rPr>
      </w:pPr>
    </w:p>
    <w:p>
      <w:pPr>
        <w:ind w:left="820" w:hanging="47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designation of the debt securities;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aggregate principal amount of the debt securities;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percentage of their principal amount (i.e. price) at which the debt securities will be issued;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or dates on which the debt securities will mature and the right, if any, to extend such date or dates;</w:t>
      </w:r>
    </w:p>
    <w:p>
      <w:pPr>
        <w:spacing w:after="0" w:line="280" w:lineRule="exact"/>
        <w:rPr>
          <w:rFonts w:ascii="Arial" w:cs="Arial" w:eastAsia="Arial" w:hAnsi="Arial"/>
          <w:sz w:val="17"/>
          <w:szCs w:val="17"/>
          <w:color w:val="auto"/>
        </w:rPr>
      </w:pPr>
    </w:p>
    <w:p>
      <w:pPr>
        <w:ind w:left="5620" w:right="1920" w:hanging="5270"/>
        <w:spacing w:after="0" w:line="578" w:lineRule="auto"/>
        <w:tabs>
          <w:tab w:leader="none" w:pos="80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20" w:hanging="470"/>
        <w:spacing w:after="0" w:line="356" w:lineRule="auto"/>
        <w:tabs>
          <w:tab w:leader="none" w:pos="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149" w:lineRule="exact"/>
        <w:rPr>
          <w:rFonts w:ascii="Arial" w:cs="Arial" w:eastAsia="Arial" w:hAnsi="Arial"/>
          <w:sz w:val="15"/>
          <w:szCs w:val="15"/>
          <w:color w:val="auto"/>
        </w:rPr>
      </w:pPr>
    </w:p>
    <w:p>
      <w:pPr>
        <w:ind w:left="820" w:hanging="470"/>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and the duration of that extension;</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provisions for a sinking fund purchase or other analogous fund, if any;</w:t>
      </w:r>
    </w:p>
    <w:p>
      <w:pPr>
        <w:spacing w:after="0" w:line="280" w:lineRule="exact"/>
        <w:rPr>
          <w:rFonts w:ascii="Arial" w:cs="Arial" w:eastAsia="Arial" w:hAnsi="Arial"/>
          <w:sz w:val="17"/>
          <w:szCs w:val="17"/>
          <w:color w:val="auto"/>
        </w:rPr>
      </w:pPr>
    </w:p>
    <w:p>
      <w:pPr>
        <w:ind w:left="820" w:right="80" w:hanging="470"/>
        <w:spacing w:after="0" w:line="286"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period or periods, if any, within which, the price or prices of which, and the terms and conditions upon which the debt securities may be redeemed, in whole or in part, at our option or at your option;</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form of the debt securities;</w:t>
      </w:r>
    </w:p>
    <w:p>
      <w:pPr>
        <w:spacing w:after="0" w:line="280" w:lineRule="exact"/>
        <w:rPr>
          <w:rFonts w:ascii="Arial" w:cs="Arial" w:eastAsia="Arial" w:hAnsi="Arial"/>
          <w:sz w:val="17"/>
          <w:szCs w:val="17"/>
          <w:color w:val="auto"/>
        </w:rPr>
      </w:pPr>
    </w:p>
    <w:p>
      <w:pPr>
        <w:ind w:left="820" w:right="200" w:hanging="470"/>
        <w:spacing w:after="0" w:line="286"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provisions for payment of additional amounts for taxes and any provision for redemption, if we must pay such additional amounts in respect of any debt security;</w:t>
      </w:r>
    </w:p>
    <w:p>
      <w:pPr>
        <w:spacing w:after="0" w:line="195" w:lineRule="exact"/>
        <w:rPr>
          <w:rFonts w:ascii="Arial" w:cs="Arial" w:eastAsia="Arial" w:hAnsi="Arial"/>
          <w:sz w:val="17"/>
          <w:szCs w:val="17"/>
          <w:color w:val="auto"/>
        </w:rPr>
      </w:pPr>
    </w:p>
    <w:p>
      <w:pPr>
        <w:ind w:left="820" w:right="500" w:hanging="470"/>
        <w:spacing w:after="0" w:line="286"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and conditions, if any, upon which we may have to repay the debt securities early at your option and the price or prices in the currency or currency unit in which the debt securities are payable;</w:t>
      </w:r>
    </w:p>
    <w:p>
      <w:pPr>
        <w:spacing w:after="0" w:line="195" w:lineRule="exact"/>
        <w:rPr>
          <w:rFonts w:ascii="Arial" w:cs="Arial" w:eastAsia="Arial" w:hAnsi="Arial"/>
          <w:sz w:val="17"/>
          <w:szCs w:val="17"/>
          <w:color w:val="auto"/>
        </w:rPr>
      </w:pPr>
    </w:p>
    <w:p>
      <w:pPr>
        <w:ind w:left="820" w:hanging="470"/>
        <w:spacing w:after="0" w:line="286"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currency, currencies or currency units for which you may purchase the debt securities and the currency, currencies or currency units in which principal and interest, if any, on the debt securities may be payable;</w:t>
      </w:r>
    </w:p>
    <w:p>
      <w:pPr>
        <w:spacing w:after="0" w:line="195" w:lineRule="exact"/>
        <w:rPr>
          <w:rFonts w:ascii="Arial" w:cs="Arial" w:eastAsia="Arial" w:hAnsi="Arial"/>
          <w:sz w:val="17"/>
          <w:szCs w:val="17"/>
          <w:color w:val="auto"/>
        </w:rPr>
      </w:pPr>
    </w:p>
    <w:p>
      <w:pPr>
        <w:ind w:left="820" w:right="20" w:hanging="470"/>
        <w:spacing w:after="0" w:line="286"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and conditions, if any, pursuant to which the debt securities may be converted or exchanged for the cash value of other securities issued by us or by a third party; and</w:t>
      </w:r>
    </w:p>
    <w:p>
      <w:pPr>
        <w:spacing w:after="0" w:line="195" w:lineRule="exact"/>
        <w:rPr>
          <w:rFonts w:ascii="Arial" w:cs="Arial" w:eastAsia="Arial" w:hAnsi="Arial"/>
          <w:sz w:val="17"/>
          <w:szCs w:val="17"/>
          <w:color w:val="auto"/>
        </w:rPr>
      </w:pPr>
    </w:p>
    <w:p>
      <w:pPr>
        <w:ind w:left="820" w:right="340" w:hanging="470"/>
        <w:spacing w:after="0" w:line="286" w:lineRule="auto"/>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96" w:lineRule="exact"/>
        <w:rPr>
          <w:sz w:val="20"/>
          <w:szCs w:val="20"/>
          <w:color w:val="auto"/>
        </w:rPr>
      </w:pPr>
    </w:p>
    <w:p>
      <w:pPr>
        <w:ind w:right="280" w:firstLine="318"/>
        <w:spacing w:after="0" w:line="273" w:lineRule="auto"/>
        <w:rPr>
          <w:sz w:val="20"/>
          <w:szCs w:val="20"/>
          <w:color w:val="auto"/>
        </w:rPr>
      </w:pPr>
      <w:r>
        <w:rPr>
          <w:rFonts w:ascii="Arial" w:cs="Arial" w:eastAsia="Arial" w:hAnsi="Arial"/>
          <w:sz w:val="17"/>
          <w:szCs w:val="17"/>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206"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212" w:lineRule="exact"/>
        <w:rPr>
          <w:sz w:val="20"/>
          <w:szCs w:val="20"/>
          <w:color w:val="auto"/>
        </w:rPr>
      </w:pPr>
    </w:p>
    <w:p>
      <w:pPr>
        <w:ind w:firstLine="318"/>
        <w:spacing w:after="0" w:line="306" w:lineRule="auto"/>
        <w:rPr>
          <w:sz w:val="20"/>
          <w:szCs w:val="20"/>
          <w:color w:val="auto"/>
        </w:rPr>
      </w:pPr>
      <w:r>
        <w:rPr>
          <w:rFonts w:ascii="Arial" w:cs="Arial" w:eastAsia="Arial" w:hAnsi="Arial"/>
          <w:sz w:val="15"/>
          <w:szCs w:val="15"/>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Terms of the Senior Debt Securities</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Cable Guarantees</w:t>
      </w:r>
    </w:p>
    <w:p>
      <w:pPr>
        <w:spacing w:after="0" w:line="254" w:lineRule="exact"/>
        <w:rPr>
          <w:sz w:val="20"/>
          <w:szCs w:val="20"/>
          <w:color w:val="auto"/>
        </w:rPr>
      </w:pPr>
    </w:p>
    <w:p>
      <w:pPr>
        <w:ind w:right="160" w:firstLine="318"/>
        <w:spacing w:after="0" w:line="356"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cable guarantees will not contain any restrictions on the ability of any cable guarantor to:</w:t>
      </w:r>
    </w:p>
    <w:p>
      <w:pPr>
        <w:spacing w:after="0" w:line="228" w:lineRule="exact"/>
        <w:rPr>
          <w:sz w:val="20"/>
          <w:szCs w:val="20"/>
          <w:color w:val="auto"/>
        </w:rPr>
      </w:pPr>
    </w:p>
    <w:p>
      <w:pPr>
        <w:ind w:left="820" w:right="60" w:hanging="470"/>
        <w:spacing w:after="0" w:line="286"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 dividends or distributions on, or redeem, purchase, acquire, or make a liquidation payment with respect to, any of that cable guarantor’s capital stock or</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Certain Covenants</w:t>
      </w:r>
    </w:p>
    <w:p>
      <w:pPr>
        <w:spacing w:after="0" w:line="254"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206" w:lineRule="exact"/>
        <w:rPr>
          <w:sz w:val="20"/>
          <w:szCs w:val="20"/>
          <w:color w:val="auto"/>
        </w:rPr>
      </w:pPr>
    </w:p>
    <w:p>
      <w:pPr>
        <w:ind w:right="80" w:firstLine="318"/>
        <w:spacing w:after="0" w:line="273" w:lineRule="auto"/>
        <w:rPr>
          <w:sz w:val="20"/>
          <w:szCs w:val="20"/>
          <w:color w:val="auto"/>
        </w:rPr>
      </w:pPr>
      <w:r>
        <w:rPr>
          <w:rFonts w:ascii="Arial" w:cs="Arial" w:eastAsia="Arial" w:hAnsi="Arial"/>
          <w:sz w:val="17"/>
          <w:szCs w:val="17"/>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06" w:lineRule="exact"/>
        <w:rPr>
          <w:sz w:val="20"/>
          <w:szCs w:val="20"/>
          <w:color w:val="auto"/>
        </w:rPr>
      </w:pPr>
    </w:p>
    <w:p>
      <w:pPr>
        <w:ind w:right="80" w:firstLine="318"/>
        <w:spacing w:after="0" w:line="268" w:lineRule="auto"/>
        <w:rPr>
          <w:sz w:val="20"/>
          <w:szCs w:val="20"/>
          <w:color w:val="auto"/>
        </w:rPr>
      </w:pPr>
      <w:r>
        <w:rPr>
          <w:rFonts w:ascii="Arial" w:cs="Arial" w:eastAsia="Arial" w:hAnsi="Arial"/>
          <w:sz w:val="17"/>
          <w:szCs w:val="17"/>
          <w:i w:val="1"/>
          <w:iCs w:val="1"/>
          <w:color w:val="auto"/>
        </w:rPr>
        <w:t xml:space="preserve">Limitation on Liens Securing Indebtedness. </w:t>
      </w:r>
      <w:r>
        <w:rPr>
          <w:rFonts w:ascii="Arial" w:cs="Arial" w:eastAsia="Arial" w:hAnsi="Arial"/>
          <w:sz w:val="17"/>
          <w:szCs w:val="17"/>
          <w:color w:val="auto"/>
        </w:rPr>
        <w:t>Neither we nor any cable guarantor shall create, incur or assume any Lien (other than any Permitted Lien) on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212" w:lineRule="exact"/>
        <w:rPr>
          <w:sz w:val="20"/>
          <w:szCs w:val="20"/>
          <w:color w:val="auto"/>
        </w:rPr>
      </w:pPr>
    </w:p>
    <w:p>
      <w:pPr>
        <w:ind w:right="140" w:firstLine="318"/>
        <w:spacing w:after="0" w:line="286" w:lineRule="auto"/>
        <w:rPr>
          <w:sz w:val="20"/>
          <w:szCs w:val="20"/>
          <w:color w:val="auto"/>
        </w:rPr>
      </w:pPr>
      <w:r>
        <w:rPr>
          <w:rFonts w:ascii="Arial" w:cs="Arial" w:eastAsia="Arial" w:hAnsi="Arial"/>
          <w:sz w:val="17"/>
          <w:szCs w:val="17"/>
          <w:i w:val="1"/>
          <w:iCs w:val="1"/>
          <w:color w:val="auto"/>
        </w:rPr>
        <w:t xml:space="preserve">Limitation on Sale and Leaseback Transactions. </w:t>
      </w:r>
      <w:r>
        <w:rPr>
          <w:rFonts w:ascii="Arial" w:cs="Arial" w:eastAsia="Arial" w:hAnsi="Arial"/>
          <w:sz w:val="17"/>
          <w:szCs w:val="17"/>
          <w:color w:val="auto"/>
        </w:rPr>
        <w:t>Neither we nor any cable guarantor shall enter into any Sale and Leaseback Transaction involving any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assets, including the Capital Stock of such person’s wholly-owned subsidiaries.</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restriction in the foregoing paragraph shall not apply to any Sale and Leaseback Transaction if:</w:t>
      </w:r>
    </w:p>
    <w:p>
      <w:pPr>
        <w:spacing w:after="0" w:line="228" w:lineRule="exact"/>
        <w:rPr>
          <w:sz w:val="20"/>
          <w:szCs w:val="20"/>
          <w:color w:val="auto"/>
        </w:rPr>
      </w:pPr>
    </w:p>
    <w:p>
      <w:pPr>
        <w:ind w:left="820" w:hanging="47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lease is for a period not in excess of three years, including renewal of rights;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lease secures or relates to industrial revenue or similar financing;</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transaction is solely between us and a cable guarantor or between or among cable guarantors; or</w:t>
      </w:r>
    </w:p>
    <w:p>
      <w:pPr>
        <w:spacing w:after="0" w:line="280" w:lineRule="exact"/>
        <w:rPr>
          <w:rFonts w:ascii="Arial" w:cs="Arial" w:eastAsia="Arial" w:hAnsi="Arial"/>
          <w:sz w:val="17"/>
          <w:szCs w:val="17"/>
          <w:color w:val="auto"/>
        </w:rPr>
      </w:pPr>
    </w:p>
    <w:p>
      <w:pPr>
        <w:ind w:left="820" w:right="260" w:hanging="470"/>
        <w:spacing w:after="0" w:line="273" w:lineRule="auto"/>
        <w:tabs>
          <w:tab w:leader="none" w:pos="8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180" w:lineRule="exact"/>
        <w:rPr>
          <w:sz w:val="20"/>
          <w:szCs w:val="20"/>
          <w:color w:val="auto"/>
        </w:rPr>
      </w:pPr>
    </w:p>
    <w:p>
      <w:pPr>
        <w:ind w:left="1040" w:right="260" w:hanging="452"/>
        <w:spacing w:after="0" w:line="235" w:lineRule="auto"/>
        <w:tabs>
          <w:tab w:leader="none" w:pos="104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retirement (or open market purchase) of senior debt securities, our other long-term Indebtedness ranking on a parity with or senior to the senior debt securities or long-term Indebtedness of a cable guarantor; or</w:t>
      </w:r>
    </w:p>
    <w:p>
      <w:pPr>
        <w:spacing w:after="0" w:line="233" w:lineRule="exact"/>
        <w:rPr>
          <w:rFonts w:ascii="Arial" w:cs="Arial" w:eastAsia="Arial" w:hAnsi="Arial"/>
          <w:sz w:val="21"/>
          <w:szCs w:val="21"/>
          <w:color w:val="auto"/>
        </w:rPr>
      </w:pPr>
    </w:p>
    <w:p>
      <w:pPr>
        <w:ind w:left="1040" w:right="60" w:hanging="452"/>
        <w:spacing w:after="0" w:line="235" w:lineRule="auto"/>
        <w:tabs>
          <w:tab w:leader="none" w:pos="104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right="320" w:firstLine="318"/>
        <w:spacing w:after="0" w:line="286" w:lineRule="auto"/>
        <w:rPr>
          <w:sz w:val="20"/>
          <w:szCs w:val="20"/>
          <w:color w:val="auto"/>
        </w:rPr>
      </w:pPr>
      <w:r>
        <w:rPr>
          <w:rFonts w:ascii="Arial" w:cs="Arial" w:eastAsia="Arial" w:hAnsi="Arial"/>
          <w:sz w:val="17"/>
          <w:szCs w:val="17"/>
          <w:color w:val="auto"/>
        </w:rPr>
        <w:t>This provision and the provision described under “—Limitation on Liens Securing Indebtedness” do not apply to any of our subsidiaries other than the cable guarantors.</w:t>
      </w:r>
    </w:p>
    <w:p>
      <w:pPr>
        <w:spacing w:after="0" w:line="190" w:lineRule="exact"/>
        <w:rPr>
          <w:sz w:val="20"/>
          <w:szCs w:val="20"/>
          <w:color w:val="auto"/>
        </w:rPr>
      </w:pPr>
    </w:p>
    <w:p>
      <w:pPr>
        <w:ind w:right="100" w:firstLine="318"/>
        <w:spacing w:after="0" w:line="276" w:lineRule="auto"/>
        <w:rPr>
          <w:sz w:val="20"/>
          <w:szCs w:val="20"/>
          <w:color w:val="auto"/>
        </w:rPr>
      </w:pPr>
      <w:r>
        <w:rPr>
          <w:rFonts w:ascii="Arial" w:cs="Arial" w:eastAsia="Arial" w:hAnsi="Arial"/>
          <w:sz w:val="17"/>
          <w:szCs w:val="17"/>
          <w:b w:val="1"/>
          <w:bCs w:val="1"/>
          <w:color w:val="auto"/>
        </w:rPr>
        <w:t xml:space="preserve">“Capitalized Lease” </w:t>
      </w:r>
      <w:r>
        <w:rPr>
          <w:rFonts w:ascii="Arial" w:cs="Arial" w:eastAsia="Arial" w:hAnsi="Arial"/>
          <w:sz w:val="17"/>
          <w:szCs w:val="17"/>
          <w:color w:val="auto"/>
        </w:rPr>
        <w:t>means, as applied to any person, any lease of any property (whether real, personal, or mixed) of which the discounted present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rental obligations of such person as lessee, in conformity with GAAP, is required to be capitalized on the balance sheet of such person; and “Capitalized Lease Obligation” is defined to mean the rental obligations, as aforesaid, under such lease.</w:t>
      </w:r>
    </w:p>
    <w:p>
      <w:pPr>
        <w:spacing w:after="0" w:line="199" w:lineRule="exact"/>
        <w:rPr>
          <w:sz w:val="20"/>
          <w:szCs w:val="20"/>
          <w:color w:val="auto"/>
        </w:rPr>
      </w:pPr>
    </w:p>
    <w:p>
      <w:pPr>
        <w:ind w:right="160" w:firstLine="318"/>
        <w:spacing w:after="0" w:line="276"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means, with respect to any person, any and all shares, interests, participations, or other equivalents (however designated, whether voting or</w:t>
      </w:r>
      <w:r>
        <w:rPr>
          <w:rFonts w:ascii="Arial" w:cs="Arial" w:eastAsia="Arial" w:hAnsi="Arial"/>
          <w:sz w:val="17"/>
          <w:szCs w:val="17"/>
          <w:b w:val="1"/>
          <w:bCs w:val="1"/>
          <w:color w:val="auto"/>
        </w:rPr>
        <w:t xml:space="preserve"> </w:t>
      </w:r>
      <w:r>
        <w:rPr>
          <w:rFonts w:ascii="Arial" w:cs="Arial" w:eastAsia="Arial" w:hAnsi="Arial"/>
          <w:sz w:val="17"/>
          <w:szCs w:val="17"/>
          <w:color w:val="auto"/>
        </w:rPr>
        <w:t>non-voting) of such person’s capital stock or other ownership interests, whether now outstanding or issued after the date of hereof, including, without limitation, all common stock and preferred stock.</w:t>
      </w:r>
    </w:p>
    <w:p>
      <w:pPr>
        <w:spacing w:after="0" w:line="199" w:lineRule="exact"/>
        <w:rPr>
          <w:sz w:val="20"/>
          <w:szCs w:val="20"/>
          <w:color w:val="auto"/>
        </w:rPr>
      </w:pPr>
    </w:p>
    <w:p>
      <w:pPr>
        <w:ind w:right="40" w:firstLine="318"/>
        <w:spacing w:after="0" w:line="293" w:lineRule="auto"/>
        <w:rPr>
          <w:sz w:val="20"/>
          <w:szCs w:val="20"/>
          <w:color w:val="auto"/>
        </w:rPr>
      </w:pPr>
      <w:r>
        <w:rPr>
          <w:rFonts w:ascii="Arial" w:cs="Arial" w:eastAsia="Arial" w:hAnsi="Arial"/>
          <w:sz w:val="17"/>
          <w:szCs w:val="17"/>
          <w:b w:val="1"/>
          <w:bCs w:val="1"/>
          <w:color w:val="auto"/>
        </w:rPr>
        <w:t xml:space="preserve">“Currency Agreement” </w:t>
      </w:r>
      <w:r>
        <w:rPr>
          <w:rFonts w:ascii="Arial" w:cs="Arial" w:eastAsia="Arial" w:hAnsi="Arial"/>
          <w:sz w:val="17"/>
          <w:szCs w:val="17"/>
          <w:color w:val="auto"/>
        </w:rPr>
        <w:t>means any foreign exchange contract, currency swap agreement, or other similar agreement or arrangement designed to protect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the fluctuation in currency values.</w:t>
      </w:r>
    </w:p>
    <w:p>
      <w:pPr>
        <w:spacing w:after="0" w:line="184" w:lineRule="exact"/>
        <w:rPr>
          <w:sz w:val="20"/>
          <w:szCs w:val="20"/>
          <w:color w:val="auto"/>
        </w:rPr>
      </w:pPr>
    </w:p>
    <w:p>
      <w:pPr>
        <w:ind w:firstLine="318"/>
        <w:spacing w:after="0" w:line="318" w:lineRule="auto"/>
        <w:rPr>
          <w:sz w:val="20"/>
          <w:szCs w:val="20"/>
          <w:color w:val="auto"/>
        </w:rPr>
      </w:pPr>
      <w:r>
        <w:rPr>
          <w:rFonts w:ascii="Arial" w:cs="Arial" w:eastAsia="Arial" w:hAnsi="Arial"/>
          <w:sz w:val="15"/>
          <w:szCs w:val="15"/>
          <w:b w:val="1"/>
          <w:bCs w:val="1"/>
          <w:color w:val="auto"/>
        </w:rPr>
        <w:t xml:space="preserve">“GAAP” </w:t>
      </w:r>
      <w:r>
        <w:rPr>
          <w:rFonts w:ascii="Arial" w:cs="Arial" w:eastAsia="Arial" w:hAnsi="Arial"/>
          <w:sz w:val="15"/>
          <w:szCs w:val="15"/>
          <w:color w:val="auto"/>
        </w:rPr>
        <w:t>means generally accepted accounting principles in the United States of America as in effect as of the date of determination, including,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71" w:lineRule="exact"/>
        <w:rPr>
          <w:sz w:val="20"/>
          <w:szCs w:val="20"/>
          <w:color w:val="auto"/>
        </w:rPr>
      </w:pPr>
    </w:p>
    <w:p>
      <w:pPr>
        <w:ind w:right="80" w:firstLine="318"/>
        <w:spacing w:after="0" w:line="293" w:lineRule="auto"/>
        <w:rPr>
          <w:sz w:val="20"/>
          <w:szCs w:val="20"/>
          <w:color w:val="auto"/>
        </w:rPr>
      </w:pPr>
      <w:r>
        <w:rPr>
          <w:rFonts w:ascii="Arial" w:cs="Arial" w:eastAsia="Arial" w:hAnsi="Arial"/>
          <w:sz w:val="17"/>
          <w:szCs w:val="17"/>
          <w:b w:val="1"/>
          <w:bCs w:val="1"/>
          <w:color w:val="auto"/>
        </w:rPr>
        <w:t xml:space="preserve">“Guarantee” </w:t>
      </w:r>
      <w:r>
        <w:rPr>
          <w:rFonts w:ascii="Arial" w:cs="Arial" w:eastAsia="Arial" w:hAnsi="Arial"/>
          <w:sz w:val="17"/>
          <w:szCs w:val="17"/>
          <w:color w:val="auto"/>
        </w:rPr>
        <w:t>means any obligation, contingent or otherwise, of any person directly or indirectly guaranteeing any Indebtedness or other obligation of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person and, without limiting the generality of the foregoing, any obligation, direct or indirect, contingent or otherwise, of such person:</w:t>
      </w:r>
    </w:p>
    <w:p>
      <w:pPr>
        <w:spacing w:after="0" w:line="164" w:lineRule="exact"/>
        <w:rPr>
          <w:sz w:val="20"/>
          <w:szCs w:val="20"/>
          <w:color w:val="auto"/>
        </w:rPr>
      </w:pPr>
    </w:p>
    <w:p>
      <w:pPr>
        <w:ind w:left="820" w:right="440" w:hanging="470"/>
        <w:spacing w:after="0" w:line="273"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06" w:lineRule="exact"/>
        <w:rPr>
          <w:rFonts w:ascii="Arial" w:cs="Arial" w:eastAsia="Arial" w:hAnsi="Arial"/>
          <w:sz w:val="17"/>
          <w:szCs w:val="17"/>
          <w:color w:val="auto"/>
        </w:rPr>
      </w:pPr>
    </w:p>
    <w:p>
      <w:pPr>
        <w:ind w:left="820" w:right="220" w:hanging="470"/>
        <w:spacing w:after="0" w:line="286" w:lineRule="auto"/>
        <w:tabs>
          <w:tab w:leader="none" w:pos="8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entered into for purposes of assuring in any other manner the obligee of such Indebtedness or other obligation of the payment thereof or to protect such obligee against loss in respect thereof (in whole or in part);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provided that the term “Guarantee” shall not include endorsements for collection or deposit in the ordinary course of business.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“Guarantee” used as a verb has a corresponding meaning.</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“Indebtedness” </w:t>
      </w:r>
      <w:r>
        <w:rPr>
          <w:rFonts w:ascii="Arial" w:cs="Arial" w:eastAsia="Arial" w:hAnsi="Arial"/>
          <w:sz w:val="17"/>
          <w:szCs w:val="17"/>
          <w:color w:val="auto"/>
        </w:rPr>
        <w:t>means, with respect to any person at any date of determination (without duplication):</w:t>
      </w:r>
    </w:p>
    <w:p>
      <w:pPr>
        <w:spacing w:after="0" w:line="234" w:lineRule="exact"/>
        <w:rPr>
          <w:sz w:val="20"/>
          <w:szCs w:val="20"/>
          <w:color w:val="auto"/>
        </w:rPr>
      </w:pPr>
    </w:p>
    <w:p>
      <w:pPr>
        <w:ind w:left="820" w:hanging="470"/>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indebtedness of such person for borrowed money;</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notes, or other similar instruments;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292" w:lineRule="exact"/>
        <w:rPr>
          <w:rFonts w:ascii="Arial" w:cs="Arial" w:eastAsia="Arial" w:hAnsi="Arial"/>
          <w:sz w:val="16"/>
          <w:szCs w:val="16"/>
          <w:color w:val="auto"/>
        </w:rPr>
      </w:pPr>
    </w:p>
    <w:p>
      <w:pPr>
        <w:ind w:left="820" w:right="400" w:hanging="470"/>
        <w:spacing w:after="0" w:line="286"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obligations of such person to pay the deferred and unpaid purchase price of property or services (but excluding trade accounts payable or accrued liabilities arising in the ordinary course of business);</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obligations of such person as lessee under Capitalized Leases;</w:t>
      </w:r>
    </w:p>
    <w:p>
      <w:pPr>
        <w:spacing w:after="0" w:line="280" w:lineRule="exact"/>
        <w:rPr>
          <w:rFonts w:ascii="Arial" w:cs="Arial" w:eastAsia="Arial" w:hAnsi="Arial"/>
          <w:sz w:val="17"/>
          <w:szCs w:val="17"/>
          <w:color w:val="auto"/>
        </w:rPr>
      </w:pPr>
    </w:p>
    <w:p>
      <w:pPr>
        <w:ind w:left="820" w:right="200" w:hanging="470"/>
        <w:spacing w:after="0" w:line="286" w:lineRule="auto"/>
        <w:tabs>
          <w:tab w:leader="none" w:pos="8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Indebtedness of other persons secured by a Lien on any asset of such person, whether or not such Indebtedness is assumed by such person; provided that the amount of such Indebtedness shall be the lesser of:</w:t>
      </w:r>
    </w:p>
    <w:p>
      <w:pPr>
        <w:spacing w:after="0" w:line="169" w:lineRule="exact"/>
        <w:rPr>
          <w:sz w:val="20"/>
          <w:szCs w:val="20"/>
          <w:color w:val="auto"/>
        </w:rPr>
      </w:pPr>
    </w:p>
    <w:p>
      <w:pPr>
        <w:jc w:val="right"/>
        <w:ind w:left="5620" w:right="5620" w:hanging="5032"/>
        <w:spacing w:after="0" w:line="640" w:lineRule="auto"/>
        <w:tabs>
          <w:tab w:leader="none" w:pos="1030" w:val="left"/>
        </w:tabs>
        <w:numPr>
          <w:ilvl w:val="0"/>
          <w:numId w:val="27"/>
        </w:numPr>
        <w:rPr>
          <w:rFonts w:ascii="Arial" w:cs="Arial" w:eastAsia="Arial" w:hAnsi="Arial"/>
          <w:sz w:val="18"/>
          <w:szCs w:val="18"/>
          <w:color w:val="auto"/>
        </w:rPr>
      </w:pPr>
      <w:r>
        <w:rPr>
          <w:rFonts w:ascii="Arial" w:cs="Arial" w:eastAsia="Arial" w:hAnsi="Arial"/>
          <w:sz w:val="15"/>
          <w:szCs w:val="15"/>
          <w:color w:val="auto"/>
        </w:rPr>
        <w:t>the fair market value of such asset at such date of determination;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ind w:left="1040" w:hanging="452"/>
        <w:spacing w:after="0"/>
        <w:tabs>
          <w:tab w:leader="none" w:pos="1040" w:val="left"/>
        </w:tabs>
        <w:numPr>
          <w:ilvl w:val="1"/>
          <w:numId w:val="28"/>
        </w:numPr>
        <w:rPr>
          <w:rFonts w:ascii="Arial" w:cs="Arial" w:eastAsia="Arial" w:hAnsi="Arial"/>
          <w:sz w:val="21"/>
          <w:szCs w:val="21"/>
          <w:color w:val="auto"/>
        </w:rPr>
      </w:pPr>
      <w:r>
        <w:rPr>
          <w:rFonts w:ascii="Arial" w:cs="Arial" w:eastAsia="Arial" w:hAnsi="Arial"/>
          <w:sz w:val="17"/>
          <w:szCs w:val="17"/>
          <w:color w:val="auto"/>
        </w:rPr>
        <w:t>the amount of such Indebtedness;</w:t>
      </w:r>
    </w:p>
    <w:p>
      <w:pPr>
        <w:spacing w:after="0" w:line="232" w:lineRule="exact"/>
        <w:rPr>
          <w:rFonts w:ascii="Arial" w:cs="Arial" w:eastAsia="Arial" w:hAnsi="Arial"/>
          <w:sz w:val="21"/>
          <w:szCs w:val="21"/>
          <w:color w:val="auto"/>
        </w:rPr>
      </w:pPr>
    </w:p>
    <w:p>
      <w:pPr>
        <w:ind w:left="820" w:hanging="470"/>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 Indebtedness of other persons Guaranteed by such person to the extent such Indebtedness is Guaranteed by such person;</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the extent not otherwise included in this definition, obligations under Currency Agreements and Interest Rate Agreements.</w:t>
      </w:r>
    </w:p>
    <w:p>
      <w:pPr>
        <w:spacing w:after="0" w:line="281"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69" w:lineRule="exact"/>
        <w:rPr>
          <w:sz w:val="20"/>
          <w:szCs w:val="20"/>
          <w:color w:val="auto"/>
        </w:rPr>
      </w:pPr>
    </w:p>
    <w:p>
      <w:pPr>
        <w:ind w:left="820" w:right="700" w:hanging="470"/>
        <w:spacing w:after="0" w:line="356" w:lineRule="auto"/>
        <w:tabs>
          <w:tab w:leader="none" w:pos="8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49" w:lineRule="exact"/>
        <w:rPr>
          <w:rFonts w:ascii="Arial" w:cs="Arial" w:eastAsia="Arial" w:hAnsi="Arial"/>
          <w:sz w:val="15"/>
          <w:szCs w:val="15"/>
          <w:color w:val="auto"/>
        </w:rPr>
      </w:pPr>
    </w:p>
    <w:p>
      <w:pPr>
        <w:ind w:left="820" w:hanging="470"/>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that Indebtedness shall not include any liability for federal, state, local, or other taxes.</w:t>
      </w:r>
    </w:p>
    <w:p>
      <w:pPr>
        <w:spacing w:after="0" w:line="275" w:lineRule="exact"/>
        <w:rPr>
          <w:sz w:val="20"/>
          <w:szCs w:val="20"/>
          <w:color w:val="auto"/>
        </w:rPr>
      </w:pPr>
    </w:p>
    <w:p>
      <w:pPr>
        <w:ind w:firstLine="318"/>
        <w:spacing w:after="0" w:line="286"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 arrangements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93" w:lineRule="exact"/>
        <w:rPr>
          <w:sz w:val="20"/>
          <w:szCs w:val="20"/>
          <w:color w:val="auto"/>
        </w:rPr>
      </w:pPr>
    </w:p>
    <w:p>
      <w:pPr>
        <w:ind w:right="60" w:firstLine="318"/>
        <w:spacing w:after="0" w:line="271" w:lineRule="auto"/>
        <w:rPr>
          <w:sz w:val="20"/>
          <w:szCs w:val="20"/>
          <w:color w:val="auto"/>
        </w:rPr>
      </w:pPr>
      <w:r>
        <w:rPr>
          <w:rFonts w:ascii="Arial" w:cs="Arial" w:eastAsia="Arial" w:hAnsi="Arial"/>
          <w:sz w:val="17"/>
          <w:szCs w:val="17"/>
          <w:b w:val="1"/>
          <w:bCs w:val="1"/>
          <w:color w:val="auto"/>
        </w:rPr>
        <w:t xml:space="preserve">“Lien” </w:t>
      </w:r>
      <w:r>
        <w:rPr>
          <w:rFonts w:ascii="Arial" w:cs="Arial" w:eastAsia="Arial" w:hAnsi="Arial"/>
          <w:sz w:val="17"/>
          <w:szCs w:val="17"/>
          <w:color w:val="auto"/>
        </w:rPr>
        <w:t>means, with respect to any asset, any mortgage, lien, pledge, charge, security interest or encumbrance of any kind, or any other type of preferential</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“Permitted Liens” </w:t>
      </w:r>
      <w:r>
        <w:rPr>
          <w:rFonts w:ascii="Arial" w:cs="Arial" w:eastAsia="Arial" w:hAnsi="Arial"/>
          <w:sz w:val="17"/>
          <w:szCs w:val="17"/>
          <w:color w:val="auto"/>
        </w:rPr>
        <w:t>means:</w:t>
      </w:r>
    </w:p>
    <w:p>
      <w:pPr>
        <w:spacing w:after="0" w:line="234" w:lineRule="exact"/>
        <w:rPr>
          <w:sz w:val="20"/>
          <w:szCs w:val="20"/>
          <w:color w:val="auto"/>
        </w:rPr>
      </w:pPr>
    </w:p>
    <w:p>
      <w:pPr>
        <w:ind w:left="820" w:hanging="470"/>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Lien on any asset incurred prior to the date of the senior indenture;</w:t>
      </w:r>
    </w:p>
    <w:p>
      <w:pPr>
        <w:spacing w:after="0" w:line="280" w:lineRule="exact"/>
        <w:rPr>
          <w:rFonts w:ascii="Arial" w:cs="Arial" w:eastAsia="Arial" w:hAnsi="Arial"/>
          <w:sz w:val="17"/>
          <w:szCs w:val="17"/>
          <w:color w:val="auto"/>
        </w:rPr>
      </w:pPr>
    </w:p>
    <w:p>
      <w:pPr>
        <w:ind w:left="820" w:right="60" w:hanging="470"/>
        <w:spacing w:after="0" w:line="315" w:lineRule="auto"/>
        <w:tabs>
          <w:tab w:leader="none" w:pos="8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179" w:lineRule="exact"/>
        <w:rPr>
          <w:rFonts w:ascii="Arial" w:cs="Arial" w:eastAsia="Arial" w:hAnsi="Arial"/>
          <w:sz w:val="15"/>
          <w:szCs w:val="15"/>
          <w:color w:val="auto"/>
        </w:rPr>
      </w:pPr>
    </w:p>
    <w:p>
      <w:pPr>
        <w:ind w:left="820" w:hanging="470"/>
        <w:spacing w:after="0"/>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Lien on any assets in favor of us or any cable guarantor;</w:t>
      </w:r>
    </w:p>
    <w:p>
      <w:pPr>
        <w:spacing w:after="0" w:line="280" w:lineRule="exact"/>
        <w:rPr>
          <w:rFonts w:ascii="Arial" w:cs="Arial" w:eastAsia="Arial" w:hAnsi="Arial"/>
          <w:sz w:val="17"/>
          <w:szCs w:val="17"/>
          <w:color w:val="auto"/>
        </w:rPr>
      </w:pPr>
    </w:p>
    <w:p>
      <w:pPr>
        <w:ind w:left="820" w:right="300" w:hanging="470"/>
        <w:spacing w:after="0" w:line="286"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Lien on assets incurred in connection with the issuance of tax-exempt governmental obligations (including, without limitation, industrial revenue bonds and similar financing);</w:t>
      </w:r>
    </w:p>
    <w:p>
      <w:pPr>
        <w:spacing w:after="0" w:line="195" w:lineRule="exact"/>
        <w:rPr>
          <w:rFonts w:ascii="Arial" w:cs="Arial" w:eastAsia="Arial" w:hAnsi="Arial"/>
          <w:sz w:val="17"/>
          <w:szCs w:val="17"/>
          <w:color w:val="auto"/>
        </w:rPr>
      </w:pPr>
    </w:p>
    <w:p>
      <w:pPr>
        <w:ind w:left="820" w:hanging="470"/>
        <w:spacing w:after="0" w:line="286"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195" w:lineRule="exact"/>
        <w:rPr>
          <w:rFonts w:ascii="Arial" w:cs="Arial" w:eastAsia="Arial" w:hAnsi="Arial"/>
          <w:sz w:val="17"/>
          <w:szCs w:val="17"/>
          <w:color w:val="auto"/>
        </w:rPr>
      </w:pPr>
    </w:p>
    <w:p>
      <w:pPr>
        <w:ind w:left="820" w:hanging="470"/>
        <w:spacing w:after="0" w:line="273"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5" w:lineRule="exact"/>
        <w:rPr>
          <w:sz w:val="20"/>
          <w:szCs w:val="20"/>
          <w:color w:val="auto"/>
        </w:rPr>
      </w:pPr>
    </w:p>
    <w:p>
      <w:pPr>
        <w:ind w:right="80" w:firstLine="318"/>
        <w:spacing w:after="0" w:line="271" w:lineRule="auto"/>
        <w:rPr>
          <w:sz w:val="20"/>
          <w:szCs w:val="20"/>
          <w:color w:val="auto"/>
        </w:rPr>
      </w:pPr>
      <w:r>
        <w:rPr>
          <w:rFonts w:ascii="Arial" w:cs="Arial" w:eastAsia="Arial" w:hAnsi="Arial"/>
          <w:sz w:val="17"/>
          <w:szCs w:val="17"/>
          <w:b w:val="1"/>
          <w:bCs w:val="1"/>
          <w:color w:val="auto"/>
        </w:rPr>
        <w:t xml:space="preserve">“Sale and Leaseback Transaction” </w:t>
      </w:r>
      <w:r>
        <w:rPr>
          <w:rFonts w:ascii="Arial" w:cs="Arial" w:eastAsia="Arial" w:hAnsi="Arial"/>
          <w:sz w:val="17"/>
          <w:szCs w:val="17"/>
          <w:color w:val="auto"/>
        </w:rPr>
        <w:t>means any direct or indirect arrangement with any person or to which any such person is a party, providing for the leasing</w:t>
      </w:r>
      <w:r>
        <w:rPr>
          <w:rFonts w:ascii="Arial" w:cs="Arial" w:eastAsia="Arial" w:hAnsi="Arial"/>
          <w:sz w:val="17"/>
          <w:szCs w:val="17"/>
          <w:b w:val="1"/>
          <w:bCs w:val="1"/>
          <w:color w:val="auto"/>
        </w:rPr>
        <w:t xml:space="preserve"> </w:t>
      </w:r>
      <w:r>
        <w:rPr>
          <w:rFonts w:ascii="Arial" w:cs="Arial" w:eastAsia="Arial" w:hAnsi="Arial"/>
          <w:sz w:val="17"/>
          <w:szCs w:val="17"/>
          <w:color w:val="auto"/>
        </w:rPr>
        <w:t>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208"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i w:val="1"/>
          <w:iCs w:val="1"/>
          <w:color w:val="auto"/>
        </w:rPr>
        <w:t xml:space="preserve">Financial Information. </w:t>
      </w:r>
      <w:r>
        <w:rPr>
          <w:rFonts w:ascii="Arial" w:cs="Arial" w:eastAsia="Arial" w:hAnsi="Arial"/>
          <w:sz w:val="17"/>
          <w:szCs w:val="17"/>
          <w:color w:val="auto"/>
        </w:rPr>
        <w:t>We will file, whether or not required to do so under applicable law, with the trustee, within 15 days after being required to file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212" w:lineRule="exact"/>
        <w:rPr>
          <w:sz w:val="20"/>
          <w:szCs w:val="20"/>
          <w:color w:val="auto"/>
        </w:rPr>
      </w:pPr>
    </w:p>
    <w:p>
      <w:pPr>
        <w:ind w:right="60" w:firstLine="318"/>
        <w:spacing w:after="0" w:line="286"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senior indenture restricts our ability to consolidate with, merge with or into, or sell, convey, transfer, lease,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174" w:lineRule="exact"/>
        <w:rPr>
          <w:sz w:val="20"/>
          <w:szCs w:val="20"/>
          <w:color w:val="auto"/>
        </w:rPr>
      </w:pPr>
    </w:p>
    <w:p>
      <w:pPr>
        <w:ind w:left="820" w:hanging="470"/>
        <w:spacing w:after="0" w:line="26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211" w:lineRule="exact"/>
        <w:rPr>
          <w:rFonts w:ascii="Arial" w:cs="Arial" w:eastAsia="Arial" w:hAnsi="Arial"/>
          <w:sz w:val="17"/>
          <w:szCs w:val="17"/>
          <w:color w:val="auto"/>
        </w:rPr>
      </w:pPr>
    </w:p>
    <w:p>
      <w:pPr>
        <w:ind w:left="820" w:hanging="470"/>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and</w:t>
      </w:r>
    </w:p>
    <w:p>
      <w:pPr>
        <w:spacing w:after="0" w:line="280" w:lineRule="exact"/>
        <w:rPr>
          <w:rFonts w:ascii="Arial" w:cs="Arial" w:eastAsia="Arial" w:hAnsi="Arial"/>
          <w:sz w:val="17"/>
          <w:szCs w:val="17"/>
          <w:color w:val="auto"/>
        </w:rPr>
      </w:pPr>
    </w:p>
    <w:p>
      <w:pPr>
        <w:ind w:left="820" w:right="420" w:hanging="470"/>
        <w:spacing w:after="0" w:line="273"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8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limitations will not apply if, in the good faith determination of our board of directors set forth in a board resolution,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purpose of such transaction is to change the state of incorporation of such party; and provided further that any such transaction shall not have as one of its purposes the evasion of the foregoing limitations.</w:t>
      </w:r>
    </w:p>
    <w:p>
      <w:pPr>
        <w:spacing w:after="0" w:line="206" w:lineRule="exact"/>
        <w:rPr>
          <w:sz w:val="20"/>
          <w:szCs w:val="20"/>
          <w:color w:val="auto"/>
        </w:rPr>
      </w:pPr>
    </w:p>
    <w:p>
      <w:pPr>
        <w:ind w:right="360" w:firstLine="318"/>
        <w:spacing w:after="0" w:line="286" w:lineRule="auto"/>
        <w:rPr>
          <w:sz w:val="20"/>
          <w:szCs w:val="20"/>
          <w:color w:val="auto"/>
        </w:rPr>
      </w:pPr>
      <w:r>
        <w:rPr>
          <w:rFonts w:ascii="Arial" w:cs="Arial" w:eastAsia="Arial" w:hAnsi="Arial"/>
          <w:sz w:val="17"/>
          <w:szCs w:val="17"/>
          <w:color w:val="auto"/>
        </w:rPr>
        <w:t>Upon any express assumption of our obligations as described above, we will be released and discharged from all obligations and covenants under the senior indenture and all the senior debt securities.</w:t>
      </w:r>
    </w:p>
    <w:p>
      <w:pPr>
        <w:spacing w:after="0" w:line="196" w:lineRule="exact"/>
        <w:rPr>
          <w:sz w:val="20"/>
          <w:szCs w:val="20"/>
          <w:color w:val="auto"/>
        </w:rPr>
      </w:pPr>
    </w:p>
    <w:p>
      <w:pPr>
        <w:jc w:val="both"/>
        <w:ind w:right="220" w:firstLine="318"/>
        <w:spacing w:after="0" w:line="297"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200" w:lineRule="exact"/>
        <w:rPr>
          <w:sz w:val="20"/>
          <w:szCs w:val="20"/>
          <w:color w:val="auto"/>
        </w:rPr>
      </w:pPr>
    </w:p>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254" w:lineRule="exact"/>
        <w:rPr>
          <w:sz w:val="20"/>
          <w:szCs w:val="20"/>
          <w:color w:val="auto"/>
        </w:rPr>
      </w:pPr>
    </w:p>
    <w:p>
      <w:pPr>
        <w:ind w:right="260" w:firstLine="318"/>
        <w:spacing w:after="0" w:line="286" w:lineRule="auto"/>
        <w:rPr>
          <w:sz w:val="20"/>
          <w:szCs w:val="20"/>
          <w:color w:val="auto"/>
        </w:rPr>
      </w:pPr>
      <w:r>
        <w:rPr>
          <w:rFonts w:ascii="Arial" w:cs="Arial" w:eastAsia="Arial" w:hAnsi="Arial"/>
          <w:sz w:val="17"/>
          <w:szCs w:val="17"/>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 event of default for a series of senior debt securities is defined under the senior indenture as being:</w:t>
      </w:r>
    </w:p>
    <w:p>
      <w:pPr>
        <w:spacing w:after="0" w:line="254" w:lineRule="exact"/>
        <w:rPr>
          <w:sz w:val="20"/>
          <w:szCs w:val="20"/>
          <w:color w:val="auto"/>
        </w:rPr>
      </w:pPr>
    </w:p>
    <w:p>
      <w:pPr>
        <w:ind w:firstLine="323"/>
        <w:spacing w:after="0" w:line="286" w:lineRule="auto"/>
        <w:tabs>
          <w:tab w:leader="none" w:pos="5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default by any Obligor in the payment of principal or premium on the senior debt securities of such series when the same becomes due and payable whether at maturity, upon acceleration, redemption or otherwise;</w:t>
      </w:r>
    </w:p>
    <w:p>
      <w:pPr>
        <w:spacing w:after="0" w:line="195" w:lineRule="exact"/>
        <w:rPr>
          <w:rFonts w:ascii="Arial" w:cs="Arial" w:eastAsia="Arial" w:hAnsi="Arial"/>
          <w:sz w:val="17"/>
          <w:szCs w:val="17"/>
          <w:color w:val="auto"/>
        </w:rPr>
      </w:pPr>
    </w:p>
    <w:p>
      <w:pPr>
        <w:ind w:right="540" w:firstLine="323"/>
        <w:spacing w:after="0" w:line="286" w:lineRule="auto"/>
        <w:tabs>
          <w:tab w:leader="none" w:pos="5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default by any Obligor in the payment of interest on the senior debt securities of such series when the same becomes due and payable, if that default continues for a period of 30 days;</w:t>
      </w:r>
    </w:p>
    <w:p>
      <w:pPr>
        <w:spacing w:after="0" w:line="195" w:lineRule="exact"/>
        <w:rPr>
          <w:rFonts w:ascii="Arial" w:cs="Arial" w:eastAsia="Arial" w:hAnsi="Arial"/>
          <w:sz w:val="17"/>
          <w:szCs w:val="17"/>
          <w:color w:val="auto"/>
        </w:rPr>
      </w:pPr>
    </w:p>
    <w:p>
      <w:pPr>
        <w:ind w:firstLine="323"/>
        <w:spacing w:after="0" w:line="297" w:lineRule="auto"/>
        <w:tabs>
          <w:tab w:leader="none" w:pos="561"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90" w:lineRule="exact"/>
        <w:rPr>
          <w:rFonts w:ascii="Arial" w:cs="Arial" w:eastAsia="Arial" w:hAnsi="Arial"/>
          <w:sz w:val="16"/>
          <w:szCs w:val="16"/>
          <w:color w:val="auto"/>
        </w:rPr>
      </w:pPr>
    </w:p>
    <w:p>
      <w:pPr>
        <w:ind w:left="560" w:hanging="23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cable guarantee is not (or is claimed by any cable guarantor not to be) in full force and effect;</w:t>
      </w:r>
    </w:p>
    <w:p>
      <w:pPr>
        <w:spacing w:after="0" w:line="254" w:lineRule="exact"/>
        <w:rPr>
          <w:rFonts w:ascii="Arial" w:cs="Arial" w:eastAsia="Arial" w:hAnsi="Arial"/>
          <w:sz w:val="17"/>
          <w:szCs w:val="17"/>
          <w:color w:val="auto"/>
        </w:rPr>
      </w:pPr>
    </w:p>
    <w:p>
      <w:pPr>
        <w:ind w:left="560" w:hanging="237"/>
        <w:spacing w:after="0"/>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court having jurisdiction enters a decree or order for:</w:t>
      </w:r>
    </w:p>
    <w:p>
      <w:pPr>
        <w:spacing w:after="0" w:line="227" w:lineRule="exact"/>
        <w:rPr>
          <w:rFonts w:ascii="Arial" w:cs="Arial" w:eastAsia="Arial" w:hAnsi="Arial"/>
          <w:sz w:val="17"/>
          <w:szCs w:val="17"/>
          <w:color w:val="auto"/>
        </w:rPr>
      </w:pPr>
    </w:p>
    <w:p>
      <w:pPr>
        <w:ind w:left="1160" w:hanging="466"/>
        <w:spacing w:after="0"/>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292" w:lineRule="exact"/>
        <w:rPr>
          <w:rFonts w:ascii="Arial" w:cs="Arial" w:eastAsia="Arial" w:hAnsi="Arial"/>
          <w:sz w:val="16"/>
          <w:szCs w:val="16"/>
          <w:color w:val="auto"/>
        </w:rPr>
      </w:pPr>
    </w:p>
    <w:p>
      <w:pPr>
        <w:ind w:left="1160" w:right="420" w:hanging="466"/>
        <w:spacing w:after="0" w:line="286" w:lineRule="auto"/>
        <w:tabs>
          <w:tab w:leader="none" w:pos="11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appointment of a receiver, liquidator, assignee, custodian, trustee, sequestrator or similar official of any Obligor for any substantial part of such party’s property and assets; or</w:t>
      </w:r>
    </w:p>
    <w:p>
      <w:pPr>
        <w:spacing w:after="0" w:line="195" w:lineRule="exact"/>
        <w:rPr>
          <w:rFonts w:ascii="Arial" w:cs="Arial" w:eastAsia="Arial" w:hAnsi="Arial"/>
          <w:sz w:val="17"/>
          <w:szCs w:val="17"/>
          <w:color w:val="auto"/>
        </w:rPr>
      </w:pPr>
    </w:p>
    <w:p>
      <w:pPr>
        <w:ind w:left="1160" w:hanging="466"/>
        <w:spacing w:after="0"/>
        <w:tabs>
          <w:tab w:leader="none" w:pos="116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winding up or liquidation of any Obligor’s affairs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and such decree or order shall remain unstayed and in effect for a period of 180 consecutive days; or</w:t>
      </w:r>
    </w:p>
    <w:p>
      <w:pPr>
        <w:spacing w:after="0" w:line="254" w:lineRule="exact"/>
        <w:rPr>
          <w:sz w:val="20"/>
          <w:szCs w:val="20"/>
          <w:color w:val="auto"/>
        </w:rPr>
      </w:pPr>
    </w:p>
    <w:p>
      <w:pPr>
        <w:ind w:left="560" w:hanging="237"/>
        <w:spacing w:after="0"/>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Obligor:</w:t>
      </w:r>
    </w:p>
    <w:p>
      <w:pPr>
        <w:spacing w:after="0" w:line="227" w:lineRule="exact"/>
        <w:rPr>
          <w:rFonts w:ascii="Arial" w:cs="Arial" w:eastAsia="Arial" w:hAnsi="Arial"/>
          <w:sz w:val="17"/>
          <w:szCs w:val="17"/>
          <w:color w:val="auto"/>
        </w:rPr>
      </w:pPr>
    </w:p>
    <w:p>
      <w:pPr>
        <w:ind w:left="1160" w:right="160" w:hanging="466"/>
        <w:spacing w:after="0" w:line="286" w:lineRule="auto"/>
        <w:tabs>
          <w:tab w:leader="none" w:pos="11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 or consent to the entry of an order for relief in an involuntary case under any such law;</w:t>
      </w:r>
    </w:p>
    <w:p>
      <w:pPr>
        <w:spacing w:after="0" w:line="195" w:lineRule="exact"/>
        <w:rPr>
          <w:rFonts w:ascii="Arial" w:cs="Arial" w:eastAsia="Arial" w:hAnsi="Arial"/>
          <w:sz w:val="17"/>
          <w:szCs w:val="17"/>
          <w:color w:val="auto"/>
        </w:rPr>
      </w:pPr>
    </w:p>
    <w:p>
      <w:pPr>
        <w:ind w:left="1160" w:right="340" w:hanging="466"/>
        <w:spacing w:after="0" w:line="286" w:lineRule="auto"/>
        <w:tabs>
          <w:tab w:leader="none" w:pos="11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consents to the appointment of or taking possession by a receiver, liquidator, assignee, custodian, trustee, sequestrator, or similar official of such party or for any substantial part of such party’s property; or</w:t>
      </w:r>
    </w:p>
    <w:p>
      <w:pPr>
        <w:spacing w:after="0" w:line="195" w:lineRule="exact"/>
        <w:rPr>
          <w:rFonts w:ascii="Arial" w:cs="Arial" w:eastAsia="Arial" w:hAnsi="Arial"/>
          <w:sz w:val="17"/>
          <w:szCs w:val="17"/>
          <w:color w:val="auto"/>
        </w:rPr>
      </w:pPr>
    </w:p>
    <w:p>
      <w:pPr>
        <w:ind w:left="1160" w:hanging="466"/>
        <w:spacing w:after="0"/>
        <w:tabs>
          <w:tab w:leader="none" w:pos="11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effects any general assignment for the benefit of creditors.</w:t>
      </w:r>
    </w:p>
    <w:p>
      <w:pPr>
        <w:spacing w:after="0" w:line="2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default under any Obligor’s other indebtedness is not a default under the senior indenture.</w:t>
      </w:r>
    </w:p>
    <w:p>
      <w:pPr>
        <w:spacing w:after="0" w:line="254" w:lineRule="exact"/>
        <w:rPr>
          <w:sz w:val="20"/>
          <w:szCs w:val="20"/>
          <w:color w:val="auto"/>
        </w:rPr>
      </w:pPr>
    </w:p>
    <w:p>
      <w:pPr>
        <w:ind w:right="60" w:firstLine="318"/>
        <w:spacing w:after="0" w:line="263"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215" w:lineRule="exact"/>
        <w:rPr>
          <w:sz w:val="20"/>
          <w:szCs w:val="20"/>
          <w:color w:val="auto"/>
        </w:rPr>
      </w:pPr>
    </w:p>
    <w:p>
      <w:pPr>
        <w:ind w:right="260" w:firstLine="318"/>
        <w:spacing w:after="0" w:line="356" w:lineRule="auto"/>
        <w:rPr>
          <w:sz w:val="20"/>
          <w:szCs w:val="20"/>
          <w:color w:val="auto"/>
        </w:rPr>
      </w:pPr>
      <w:r>
        <w:rPr>
          <w:rFonts w:ascii="Arial" w:cs="Arial" w:eastAsia="Arial" w:hAnsi="Arial"/>
          <w:sz w:val="15"/>
          <w:szCs w:val="15"/>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213" w:lineRule="exact"/>
        <w:rPr>
          <w:sz w:val="20"/>
          <w:szCs w:val="20"/>
          <w:color w:val="auto"/>
        </w:rPr>
      </w:pPr>
    </w:p>
    <w:p>
      <w:pPr>
        <w:ind w:right="100" w:firstLine="318"/>
        <w:spacing w:after="0" w:line="284"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175" w:lineRule="exact"/>
        <w:rPr>
          <w:sz w:val="20"/>
          <w:szCs w:val="20"/>
          <w:color w:val="auto"/>
        </w:rPr>
      </w:pPr>
    </w:p>
    <w:p>
      <w:pPr>
        <w:ind w:left="820" w:hanging="470"/>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holder gives the trustee written notice of a continuing event of default;</w:t>
      </w:r>
    </w:p>
    <w:p>
      <w:pPr>
        <w:spacing w:after="0" w:line="280" w:lineRule="exact"/>
        <w:rPr>
          <w:rFonts w:ascii="Arial" w:cs="Arial" w:eastAsia="Arial" w:hAnsi="Arial"/>
          <w:sz w:val="17"/>
          <w:szCs w:val="17"/>
          <w:color w:val="auto"/>
        </w:rPr>
      </w:pPr>
    </w:p>
    <w:p>
      <w:pPr>
        <w:ind w:left="820" w:right="500" w:hanging="470"/>
        <w:spacing w:after="0" w:line="286"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such series of senior debt securities make a written request to the trustee to pursue the remedy in respect of such event of default;</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requesting holder or holders offer the trustee indemnity satisfactory to the trustee against any costs, liability, or expense;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280" w:lineRule="exact"/>
        <w:rPr>
          <w:rFonts w:ascii="Arial" w:cs="Arial" w:eastAsia="Arial" w:hAnsi="Arial"/>
          <w:sz w:val="17"/>
          <w:szCs w:val="17"/>
          <w:color w:val="auto"/>
        </w:rPr>
      </w:pPr>
    </w:p>
    <w:p>
      <w:pPr>
        <w:ind w:left="820" w:right="520" w:hanging="470"/>
        <w:spacing w:after="0" w:line="286"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during such 60-day period, the holders of a majority in aggregate principal amount of such series of senior debt securities do not give the trustee a direction that is inconsistent with the request.</w:t>
      </w:r>
    </w:p>
    <w:p>
      <w:pPr>
        <w:spacing w:after="0" w:line="196"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206"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Discharge and Defeasance</w:t>
      </w:r>
    </w:p>
    <w:p>
      <w:pPr>
        <w:spacing w:after="0" w:line="254" w:lineRule="exact"/>
        <w:rPr>
          <w:sz w:val="20"/>
          <w:szCs w:val="20"/>
          <w:color w:val="auto"/>
        </w:rPr>
      </w:pPr>
    </w:p>
    <w:p>
      <w:pPr>
        <w:ind w:right="380" w:firstLine="318"/>
        <w:spacing w:after="0" w:line="286" w:lineRule="auto"/>
        <w:rPr>
          <w:sz w:val="20"/>
          <w:szCs w:val="20"/>
          <w:color w:val="auto"/>
        </w:rPr>
      </w:pPr>
      <w:r>
        <w:rPr>
          <w:rFonts w:ascii="Arial" w:cs="Arial" w:eastAsia="Arial" w:hAnsi="Arial"/>
          <w:sz w:val="17"/>
          <w:szCs w:val="17"/>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169" w:lineRule="exact"/>
        <w:rPr>
          <w:sz w:val="20"/>
          <w:szCs w:val="20"/>
          <w:color w:val="auto"/>
        </w:rPr>
      </w:pPr>
    </w:p>
    <w:p>
      <w:pPr>
        <w:ind w:left="820" w:right="420" w:hanging="470"/>
        <w:spacing w:after="0" w:line="286"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160" w:hanging="470"/>
        <w:spacing w:after="0" w:line="286" w:lineRule="auto"/>
        <w:tabs>
          <w:tab w:leader="none" w:pos="8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169" w:lineRule="exact"/>
        <w:rPr>
          <w:sz w:val="20"/>
          <w:szCs w:val="20"/>
          <w:color w:val="auto"/>
        </w:rPr>
      </w:pPr>
    </w:p>
    <w:p>
      <w:pPr>
        <w:ind w:left="1040" w:right="20" w:hanging="452"/>
        <w:spacing w:after="0" w:line="253" w:lineRule="auto"/>
        <w:tabs>
          <w:tab w:leader="none" w:pos="1040" w:val="left"/>
        </w:tabs>
        <w:numPr>
          <w:ilvl w:val="0"/>
          <w:numId w:val="37"/>
        </w:numPr>
        <w:rPr>
          <w:rFonts w:ascii="Arial" w:cs="Arial" w:eastAsia="Arial" w:hAnsi="Arial"/>
          <w:sz w:val="21"/>
          <w:szCs w:val="21"/>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223" w:lineRule="exact"/>
        <w:rPr>
          <w:rFonts w:ascii="Arial" w:cs="Arial" w:eastAsia="Arial" w:hAnsi="Arial"/>
          <w:sz w:val="21"/>
          <w:szCs w:val="21"/>
          <w:color w:val="auto"/>
        </w:rPr>
      </w:pPr>
    </w:p>
    <w:p>
      <w:pPr>
        <w:ind w:left="1040" w:right="160" w:hanging="452"/>
        <w:spacing w:after="0" w:line="244" w:lineRule="auto"/>
        <w:tabs>
          <w:tab w:leader="none" w:pos="1040" w:val="left"/>
        </w:tabs>
        <w:numPr>
          <w:ilvl w:val="0"/>
          <w:numId w:val="37"/>
        </w:numPr>
        <w:rPr>
          <w:rFonts w:ascii="Arial" w:cs="Arial" w:eastAsia="Arial" w:hAnsi="Arial"/>
          <w:sz w:val="21"/>
          <w:szCs w:val="21"/>
          <w:color w:val="auto"/>
        </w:rPr>
      </w:pPr>
      <w:r>
        <w:rPr>
          <w:rFonts w:ascii="Arial" w:cs="Arial" w:eastAsia="Arial" w:hAnsi="Arial"/>
          <w:sz w:val="17"/>
          <w:szCs w:val="17"/>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230"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senior indenture also provides that, except as otherwise provided in this paragraph, we:</w:t>
      </w:r>
    </w:p>
    <w:p>
      <w:pPr>
        <w:spacing w:after="0" w:line="228" w:lineRule="exact"/>
        <w:rPr>
          <w:sz w:val="20"/>
          <w:szCs w:val="20"/>
          <w:color w:val="auto"/>
        </w:rPr>
      </w:pPr>
    </w:p>
    <w:p>
      <w:pPr>
        <w:ind w:left="820" w:right="180" w:hanging="470"/>
        <w:spacing w:after="0" w:line="319" w:lineRule="auto"/>
        <w:tabs>
          <w:tab w:leader="none" w:pos="8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72" w:lineRule="exact"/>
        <w:rPr>
          <w:rFonts w:ascii="Arial" w:cs="Arial" w:eastAsia="Arial" w:hAnsi="Arial"/>
          <w:sz w:val="16"/>
          <w:szCs w:val="16"/>
          <w:color w:val="auto"/>
        </w:rPr>
      </w:pPr>
    </w:p>
    <w:p>
      <w:pPr>
        <w:ind w:left="820" w:right="100" w:hanging="470"/>
        <w:spacing w:after="0" w:line="273" w:lineRule="auto"/>
        <w:tabs>
          <w:tab w:leader="none" w:pos="8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provided that the following conditions shall have been satisfied:</w:t>
      </w:r>
    </w:p>
    <w:p>
      <w:pPr>
        <w:spacing w:after="0" w:line="228" w:lineRule="exact"/>
        <w:rPr>
          <w:sz w:val="20"/>
          <w:szCs w:val="20"/>
          <w:color w:val="auto"/>
        </w:rPr>
      </w:pPr>
    </w:p>
    <w:p>
      <w:pPr>
        <w:ind w:left="820" w:right="240" w:hanging="470"/>
        <w:spacing w:after="0" w:line="306" w:lineRule="auto"/>
        <w:tabs>
          <w:tab w:leader="none" w:pos="8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500" w:hanging="470"/>
        <w:spacing w:after="0" w:line="286" w:lineRule="auto"/>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no default or event of default with respect to the senior debt securities of such series shall have occurred and be continuing on the date of such deposit;</w:t>
      </w:r>
    </w:p>
    <w:p>
      <w:pPr>
        <w:spacing w:after="0" w:line="303" w:lineRule="exact"/>
        <w:rPr>
          <w:rFonts w:ascii="Arial" w:cs="Arial" w:eastAsia="Arial" w:hAnsi="Arial"/>
          <w:sz w:val="15"/>
          <w:szCs w:val="15"/>
          <w:color w:val="auto"/>
        </w:rPr>
      </w:pPr>
    </w:p>
    <w:p>
      <w:pPr>
        <w:ind w:left="820" w:hanging="470"/>
        <w:spacing w:after="0"/>
        <w:tabs>
          <w:tab w:leader="none" w:pos="8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shall have delivered to the trustee:</w:t>
      </w:r>
    </w:p>
    <w:p>
      <w:pPr>
        <w:spacing w:after="0" w:line="254" w:lineRule="exact"/>
        <w:rPr>
          <w:sz w:val="20"/>
          <w:szCs w:val="20"/>
          <w:color w:val="auto"/>
        </w:rPr>
      </w:pPr>
    </w:p>
    <w:p>
      <w:pPr>
        <w:ind w:left="1040" w:right="40" w:hanging="452"/>
        <w:spacing w:after="0" w:line="251" w:lineRule="auto"/>
        <w:tabs>
          <w:tab w:leader="none" w:pos="1040" w:val="left"/>
        </w:tabs>
        <w:numPr>
          <w:ilvl w:val="1"/>
          <w:numId w:val="41"/>
        </w:numPr>
        <w:rPr>
          <w:rFonts w:ascii="Arial" w:cs="Arial" w:eastAsia="Arial" w:hAnsi="Arial"/>
          <w:sz w:val="21"/>
          <w:szCs w:val="21"/>
          <w:color w:val="auto"/>
        </w:rPr>
      </w:pPr>
      <w:r>
        <w:rPr>
          <w:rFonts w:ascii="Arial" w:cs="Arial" w:eastAsia="Arial" w:hAnsi="Arial"/>
          <w:sz w:val="17"/>
          <w:szCs w:val="17"/>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226" w:lineRule="exact"/>
        <w:rPr>
          <w:rFonts w:ascii="Arial" w:cs="Arial" w:eastAsia="Arial" w:hAnsi="Arial"/>
          <w:sz w:val="21"/>
          <w:szCs w:val="21"/>
          <w:color w:val="auto"/>
        </w:rPr>
      </w:pPr>
    </w:p>
    <w:p>
      <w:pPr>
        <w:ind w:left="1040" w:hanging="452"/>
        <w:spacing w:after="0" w:line="235" w:lineRule="auto"/>
        <w:tabs>
          <w:tab w:leader="none" w:pos="1040" w:val="left"/>
        </w:tabs>
        <w:numPr>
          <w:ilvl w:val="1"/>
          <w:numId w:val="41"/>
        </w:numPr>
        <w:rPr>
          <w:rFonts w:ascii="Arial" w:cs="Arial" w:eastAsia="Arial" w:hAnsi="Arial"/>
          <w:sz w:val="21"/>
          <w:szCs w:val="21"/>
          <w:color w:val="auto"/>
        </w:rPr>
      </w:pPr>
      <w:r>
        <w:rPr>
          <w:rFonts w:ascii="Arial" w:cs="Arial" w:eastAsia="Arial" w:hAnsi="Arial"/>
          <w:sz w:val="17"/>
          <w:szCs w:val="17"/>
          <w:color w:val="auto"/>
        </w:rPr>
        <w:t>an opinion of counsel that the holders of the senior debt securities of such series have a valid security interest in the trust funds subject to no prior liens under the Uniform Commercial Code; and</w:t>
      </w:r>
    </w:p>
    <w:p>
      <w:pPr>
        <w:spacing w:after="0" w:line="207" w:lineRule="exact"/>
        <w:rPr>
          <w:rFonts w:ascii="Arial" w:cs="Arial" w:eastAsia="Arial" w:hAnsi="Arial"/>
          <w:sz w:val="21"/>
          <w:szCs w:val="21"/>
          <w:color w:val="auto"/>
        </w:rPr>
      </w:pPr>
    </w:p>
    <w:p>
      <w:pPr>
        <w:ind w:left="820" w:right="320" w:hanging="470"/>
        <w:spacing w:after="0" w:line="319"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72" w:lineRule="exact"/>
        <w:rPr>
          <w:sz w:val="20"/>
          <w:szCs w:val="20"/>
          <w:color w:val="auto"/>
        </w:rPr>
      </w:pPr>
    </w:p>
    <w:p>
      <w:pPr>
        <w:ind w:right="260" w:firstLine="318"/>
        <w:spacing w:after="0" w:line="264"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Modification and Waiver</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and the trustee may amend or supplement the senior indenture or the senior debt securities without notice to or the consent of any holder:</w:t>
      </w:r>
    </w:p>
    <w:p>
      <w:pPr>
        <w:spacing w:after="0" w:line="228" w:lineRule="exact"/>
        <w:rPr>
          <w:sz w:val="20"/>
          <w:szCs w:val="20"/>
          <w:color w:val="auto"/>
        </w:rPr>
      </w:pPr>
    </w:p>
    <w:p>
      <w:pPr>
        <w:ind w:left="820" w:right="440" w:hanging="470"/>
        <w:spacing w:after="0" w:line="286" w:lineRule="auto"/>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senior indenture; provided that such amendments or supplements shall not adversely affect the interests of the holders in any material respect;</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comply with the provisions described under “— Certain Covenants — Consolidation, Merger and Sale of Assets;”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comply with any requirements of the SEC in connection with the qualification of the senior indenture under the Trust Indenture Act;</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evidence and provide for the acceptance of appointment hereunder by a successor trustee;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establish the form or forms or terms of the senior debt securities as permitted by the senior indenture;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provide for uncertificated notes and to make all appropriate changes for such purpose;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make any change that does not adversely affect the rights of any holder;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340" w:hanging="470"/>
        <w:spacing w:after="0" w:line="319" w:lineRule="auto"/>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72" w:lineRule="exact"/>
        <w:rPr>
          <w:rFonts w:ascii="Arial" w:cs="Arial" w:eastAsia="Arial" w:hAnsi="Arial"/>
          <w:sz w:val="16"/>
          <w:szCs w:val="16"/>
          <w:color w:val="auto"/>
        </w:rPr>
      </w:pPr>
    </w:p>
    <w:p>
      <w:pPr>
        <w:ind w:left="820" w:hanging="470"/>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make any change so long as no senior debt securities are outstanding.</w:t>
      </w:r>
    </w:p>
    <w:p>
      <w:pPr>
        <w:spacing w:after="0" w:line="281"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187" w:lineRule="exact"/>
        <w:rPr>
          <w:sz w:val="20"/>
          <w:szCs w:val="20"/>
          <w:color w:val="auto"/>
        </w:rPr>
      </w:pPr>
    </w:p>
    <w:p>
      <w:pPr>
        <w:ind w:left="820" w:hanging="470"/>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the stated maturity of the principal of, or any installment of interest on, the senior debt securities of the affected series;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reduces the principal amount of, or premium, if any, or interest on, the senior debt securities of the affected series;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the place or currency of payment of principal of, or premium, if any, or interest on, the senior debt securities of the affected series;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the provisions for calculating the optional redemption price, including the definitions relating thereto;</w:t>
      </w:r>
    </w:p>
    <w:p>
      <w:pPr>
        <w:spacing w:after="0" w:line="280" w:lineRule="exact"/>
        <w:rPr>
          <w:rFonts w:ascii="Arial" w:cs="Arial" w:eastAsia="Arial" w:hAnsi="Arial"/>
          <w:sz w:val="17"/>
          <w:szCs w:val="17"/>
          <w:color w:val="auto"/>
        </w:rPr>
      </w:pPr>
    </w:p>
    <w:p>
      <w:pPr>
        <w:ind w:left="820" w:right="440" w:hanging="470"/>
        <w:spacing w:after="0" w:line="286"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195" w:lineRule="exact"/>
        <w:rPr>
          <w:rFonts w:ascii="Arial" w:cs="Arial" w:eastAsia="Arial" w:hAnsi="Arial"/>
          <w:sz w:val="17"/>
          <w:szCs w:val="17"/>
          <w:color w:val="auto"/>
        </w:rPr>
      </w:pPr>
    </w:p>
    <w:p>
      <w:pPr>
        <w:ind w:left="820" w:right="300" w:hanging="470"/>
        <w:spacing w:after="0" w:line="286"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waives a default in the payment of principal of, premium, if any, or interest on the senior debt securities; or</w:t>
      </w:r>
    </w:p>
    <w:p>
      <w:pPr>
        <w:spacing w:after="0" w:line="280" w:lineRule="exact"/>
        <w:rPr>
          <w:rFonts w:ascii="Arial" w:cs="Arial" w:eastAsia="Arial" w:hAnsi="Arial"/>
          <w:sz w:val="17"/>
          <w:szCs w:val="17"/>
          <w:color w:val="auto"/>
        </w:rPr>
      </w:pPr>
    </w:p>
    <w:p>
      <w:pPr>
        <w:ind w:left="820" w:hanging="470"/>
        <w:spacing w:after="0" w:line="286"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196" w:lineRule="exact"/>
        <w:rPr>
          <w:sz w:val="20"/>
          <w:szCs w:val="20"/>
          <w:color w:val="auto"/>
        </w:rPr>
      </w:pPr>
    </w:p>
    <w:p>
      <w:pPr>
        <w:ind w:right="160" w:firstLine="318"/>
        <w:spacing w:after="0" w:line="266" w:lineRule="auto"/>
        <w:rPr>
          <w:sz w:val="20"/>
          <w:szCs w:val="20"/>
          <w:color w:val="auto"/>
        </w:rPr>
      </w:pPr>
      <w:r>
        <w:rPr>
          <w:rFonts w:ascii="Arial" w:cs="Arial" w:eastAsia="Arial" w:hAnsi="Arial"/>
          <w:sz w:val="17"/>
          <w:szCs w:val="17"/>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No Personal Liability of Incorporators, Stockholders, Officers, Directors, or Employees</w:t>
      </w:r>
    </w:p>
    <w:p>
      <w:pPr>
        <w:spacing w:after="0" w:line="254"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Concerning the Trustee</w:t>
      </w:r>
    </w:p>
    <w:p>
      <w:pPr>
        <w:spacing w:after="0" w:line="254" w:lineRule="exact"/>
        <w:rPr>
          <w:sz w:val="20"/>
          <w:szCs w:val="20"/>
          <w:color w:val="auto"/>
        </w:rPr>
      </w:pPr>
    </w:p>
    <w:p>
      <w:pPr>
        <w:ind w:right="140" w:firstLine="318"/>
        <w:spacing w:after="0" w:line="268" w:lineRule="auto"/>
        <w:rPr>
          <w:sz w:val="20"/>
          <w:szCs w:val="20"/>
          <w:color w:val="auto"/>
        </w:rPr>
      </w:pPr>
      <w:r>
        <w:rPr>
          <w:rFonts w:ascii="Arial" w:cs="Arial" w:eastAsia="Arial" w:hAnsi="Arial"/>
          <w:sz w:val="17"/>
          <w:szCs w:val="17"/>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Governing Law</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senior indenture and the debt securities will be governed by, and construed in accordance with, the internal laws of the State of New York.</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The Trustees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may have normal banking relationships with the trustee under the senior indenture in the ordinary course of business.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Terms of the Subordinated Debt Securities</w:t>
      </w:r>
    </w:p>
    <w:p>
      <w:pPr>
        <w:spacing w:after="0" w:line="260" w:lineRule="exact"/>
        <w:rPr>
          <w:sz w:val="20"/>
          <w:szCs w:val="20"/>
          <w:color w:val="auto"/>
        </w:rPr>
      </w:pPr>
    </w:p>
    <w:p>
      <w:pPr>
        <w:ind w:right="140" w:firstLine="318"/>
        <w:spacing w:after="0" w:line="273" w:lineRule="auto"/>
        <w:rPr>
          <w:sz w:val="20"/>
          <w:szCs w:val="20"/>
          <w:color w:val="auto"/>
        </w:rPr>
      </w:pPr>
      <w:r>
        <w:rPr>
          <w:rFonts w:ascii="Arial" w:cs="Arial" w:eastAsia="Arial" w:hAnsi="Arial"/>
          <w:sz w:val="17"/>
          <w:szCs w:val="17"/>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Subordination</w:t>
      </w:r>
    </w:p>
    <w:p>
      <w:pPr>
        <w:spacing w:after="0" w:line="254" w:lineRule="exact"/>
        <w:rPr>
          <w:sz w:val="20"/>
          <w:szCs w:val="20"/>
          <w:color w:val="auto"/>
        </w:rPr>
      </w:pPr>
    </w:p>
    <w:p>
      <w:pPr>
        <w:ind w:right="40" w:firstLine="318"/>
        <w:spacing w:after="0" w:line="304" w:lineRule="auto"/>
        <w:rPr>
          <w:sz w:val="20"/>
          <w:szCs w:val="20"/>
          <w:color w:val="auto"/>
        </w:rPr>
      </w:pPr>
      <w:r>
        <w:rPr>
          <w:rFonts w:ascii="Arial" w:cs="Arial" w:eastAsia="Arial" w:hAnsi="Arial"/>
          <w:sz w:val="15"/>
          <w:szCs w:val="15"/>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subordination provisions also apply in the same way to each cable guarantor with respect to the Senior Indebtedness of such cable guarantor.</w:t>
      </w:r>
    </w:p>
    <w:p>
      <w:pPr>
        <w:spacing w:after="0" w:line="254"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169" w:lineRule="exact"/>
        <w:rPr>
          <w:sz w:val="20"/>
          <w:szCs w:val="20"/>
          <w:color w:val="auto"/>
        </w:rPr>
      </w:pPr>
    </w:p>
    <w:p>
      <w:pPr>
        <w:ind w:left="820" w:hanging="470"/>
        <w:spacing w:after="0" w:line="273" w:lineRule="auto"/>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206" w:lineRule="exact"/>
        <w:rPr>
          <w:rFonts w:ascii="Arial" w:cs="Arial" w:eastAsia="Arial" w:hAnsi="Arial"/>
          <w:sz w:val="17"/>
          <w:szCs w:val="17"/>
          <w:color w:val="auto"/>
        </w:rPr>
      </w:pPr>
    </w:p>
    <w:p>
      <w:pPr>
        <w:ind w:left="820" w:hanging="470"/>
        <w:spacing w:after="0"/>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of the indebtedness of that person evidenced by notes, debentures, bonds or other securities sold by that person for money;</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all of the lease obligations which are capitalized on the books of that person in accordance with generally accepted accounting principles;</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60" w:hanging="470"/>
        <w:spacing w:after="0" w:line="273"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206" w:lineRule="exact"/>
        <w:rPr>
          <w:rFonts w:ascii="Arial" w:cs="Arial" w:eastAsia="Arial" w:hAnsi="Arial"/>
          <w:sz w:val="17"/>
          <w:szCs w:val="17"/>
          <w:color w:val="auto"/>
        </w:rPr>
      </w:pPr>
    </w:p>
    <w:p>
      <w:pPr>
        <w:ind w:left="820" w:right="680" w:hanging="470"/>
        <w:spacing w:after="0" w:line="286" w:lineRule="auto"/>
        <w:tabs>
          <w:tab w:leader="none" w:pos="8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6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unless</w:t>
      </w:r>
      <w:r>
        <w:rPr>
          <w:rFonts w:ascii="Arial" w:cs="Arial" w:eastAsia="Arial" w:hAnsi="Arial"/>
          <w:sz w:val="17"/>
          <w:szCs w:val="17"/>
          <w:color w:val="auto"/>
        </w:rPr>
        <w:t>, in the case of any particular indebtedness, lease, renewal, extension or refunding, the instrument or lease creating or evidencing it or the assumption or</w:t>
      </w:r>
      <w:r>
        <w:rPr>
          <w:rFonts w:ascii="Arial" w:cs="Arial" w:eastAsia="Arial" w:hAnsi="Arial"/>
          <w:sz w:val="17"/>
          <w:szCs w:val="17"/>
          <w:i w:val="1"/>
          <w:iCs w:val="1"/>
          <w:color w:val="auto"/>
        </w:rPr>
        <w:t xml:space="preserve"> </w:t>
      </w:r>
      <w:r>
        <w:rPr>
          <w:rFonts w:ascii="Arial" w:cs="Arial" w:eastAsia="Arial" w:hAnsi="Arial"/>
          <w:sz w:val="17"/>
          <w:szCs w:val="17"/>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Debt Securities</w:t>
      </w:r>
    </w:p>
    <w:p>
      <w:pPr>
        <w:spacing w:after="0" w:line="260"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212" w:lineRule="exact"/>
        <w:rPr>
          <w:sz w:val="20"/>
          <w:szCs w:val="20"/>
          <w:color w:val="auto"/>
        </w:rPr>
      </w:pPr>
    </w:p>
    <w:p>
      <w:pPr>
        <w:ind w:right="420" w:firstLine="318"/>
        <w:spacing w:after="0" w:line="286" w:lineRule="auto"/>
        <w:rPr>
          <w:sz w:val="20"/>
          <w:szCs w:val="20"/>
          <w:color w:val="auto"/>
        </w:rPr>
      </w:pPr>
      <w:r>
        <w:rPr>
          <w:rFonts w:ascii="Arial" w:cs="Arial" w:eastAsia="Arial" w:hAnsi="Arial"/>
          <w:sz w:val="17"/>
          <w:szCs w:val="17"/>
          <w:color w:val="auto"/>
        </w:rPr>
        <w:t>Unless otherwise indicated in the prospectus supplement, the following provisions will apply to debt securities being offered that may be exchanged for or converted into capital stock:</w:t>
      </w:r>
    </w:p>
    <w:p>
      <w:pPr>
        <w:spacing w:after="0" w:line="196" w:lineRule="exact"/>
        <w:rPr>
          <w:sz w:val="20"/>
          <w:szCs w:val="20"/>
          <w:color w:val="auto"/>
        </w:rPr>
      </w:pPr>
    </w:p>
    <w:p>
      <w:pPr>
        <w:jc w:val="both"/>
        <w:ind w:right="260" w:firstLine="318"/>
        <w:spacing w:after="0" w:line="268" w:lineRule="auto"/>
        <w:rPr>
          <w:sz w:val="20"/>
          <w:szCs w:val="20"/>
          <w:color w:val="auto"/>
        </w:rPr>
      </w:pPr>
      <w:r>
        <w:rPr>
          <w:rFonts w:ascii="Arial" w:cs="Arial" w:eastAsia="Arial" w:hAnsi="Arial"/>
          <w:sz w:val="17"/>
          <w:szCs w:val="17"/>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212" w:lineRule="exact"/>
        <w:rPr>
          <w:sz w:val="20"/>
          <w:szCs w:val="20"/>
          <w:color w:val="auto"/>
        </w:rPr>
      </w:pPr>
    </w:p>
    <w:p>
      <w:pPr>
        <w:ind w:right="100" w:firstLine="318"/>
        <w:spacing w:after="0" w:line="268" w:lineRule="auto"/>
        <w:rPr>
          <w:sz w:val="20"/>
          <w:szCs w:val="20"/>
          <w:color w:val="auto"/>
        </w:rPr>
      </w:pPr>
      <w:r>
        <w:rPr>
          <w:rFonts w:ascii="Arial" w:cs="Arial" w:eastAsia="Arial" w:hAnsi="Arial"/>
          <w:sz w:val="17"/>
          <w:szCs w:val="17"/>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212"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Unless the terms of the specific debt securities being offered provide otherwise, in certain events, the conversion rate will be subject to adjustment as set forth in the indentures. Such events include:</w:t>
      </w:r>
    </w:p>
    <w:p>
      <w:pPr>
        <w:spacing w:after="0" w:line="169" w:lineRule="exact"/>
        <w:rPr>
          <w:sz w:val="20"/>
          <w:szCs w:val="20"/>
          <w:color w:val="auto"/>
        </w:rPr>
      </w:pPr>
    </w:p>
    <w:p>
      <w:pPr>
        <w:ind w:left="820" w:right="400" w:hanging="470"/>
        <w:spacing w:after="0" w:line="286"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issuance of shares of any class of capital stock of ours as a dividend on the class of capital stock into which the debt securities of such series are convertible;</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subdivisions, combinations and reclassifications of the class of capital stock into which debt securities of such series are convertible;</w:t>
      </w:r>
    </w:p>
    <w:p>
      <w:pPr>
        <w:spacing w:after="0" w:line="280" w:lineRule="exact"/>
        <w:rPr>
          <w:rFonts w:ascii="Arial" w:cs="Arial" w:eastAsia="Arial" w:hAnsi="Arial"/>
          <w:sz w:val="17"/>
          <w:szCs w:val="17"/>
          <w:color w:val="auto"/>
        </w:rPr>
      </w:pPr>
    </w:p>
    <w:p>
      <w:pPr>
        <w:ind w:left="820" w:right="240" w:hanging="470"/>
        <w:spacing w:after="0" w:line="273" w:lineRule="auto"/>
        <w:tabs>
          <w:tab w:leader="none" w:pos="8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100" w:hanging="470"/>
        <w:spacing w:after="0" w:line="286" w:lineRule="auto"/>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distributions of cash in excess of certain threshold amounts.</w:t>
      </w:r>
    </w:p>
    <w:p>
      <w:pPr>
        <w:spacing w:after="0" w:line="281"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96" w:lineRule="exact"/>
        <w:rPr>
          <w:sz w:val="20"/>
          <w:szCs w:val="20"/>
          <w:color w:val="auto"/>
        </w:rPr>
      </w:pPr>
    </w:p>
    <w:p>
      <w:pPr>
        <w:ind w:right="200" w:firstLine="318"/>
        <w:spacing w:after="0" w:line="315" w:lineRule="auto"/>
        <w:rPr>
          <w:sz w:val="20"/>
          <w:szCs w:val="20"/>
          <w:color w:val="auto"/>
        </w:rPr>
      </w:pPr>
      <w:r>
        <w:rPr>
          <w:rFonts w:ascii="Arial" w:cs="Arial" w:eastAsia="Arial" w:hAnsi="Arial"/>
          <w:sz w:val="15"/>
          <w:szCs w:val="15"/>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WARRANTS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0" w:lineRule="exact"/>
        <w:rPr>
          <w:sz w:val="20"/>
          <w:szCs w:val="20"/>
          <w:color w:val="auto"/>
        </w:rPr>
      </w:pPr>
    </w:p>
    <w:p>
      <w:pPr>
        <w:ind w:right="40" w:firstLine="318"/>
        <w:spacing w:after="0" w:line="286" w:lineRule="auto"/>
        <w:rPr>
          <w:sz w:val="20"/>
          <w:szCs w:val="20"/>
          <w:color w:val="auto"/>
        </w:rPr>
      </w:pPr>
      <w:r>
        <w:rPr>
          <w:rFonts w:ascii="Arial" w:cs="Arial" w:eastAsia="Arial" w:hAnsi="Arial"/>
          <w:sz w:val="16"/>
          <w:szCs w:val="16"/>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228" w:lineRule="exact"/>
        <w:rPr>
          <w:sz w:val="20"/>
          <w:szCs w:val="20"/>
          <w:color w:val="auto"/>
        </w:rPr>
      </w:pPr>
    </w:p>
    <w:p>
      <w:pPr>
        <w:ind w:left="820" w:hanging="47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title of such warrants;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aggregate number of such warrants;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price or prices at which such warrants will be issued;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currency or currencies, including composite currencies, in which the price of such warrants may be payable;</w:t>
      </w:r>
    </w:p>
    <w:p>
      <w:pPr>
        <w:spacing w:after="0" w:line="280" w:lineRule="exact"/>
        <w:rPr>
          <w:rFonts w:ascii="Arial" w:cs="Arial" w:eastAsia="Arial" w:hAnsi="Arial"/>
          <w:sz w:val="17"/>
          <w:szCs w:val="17"/>
          <w:color w:val="auto"/>
        </w:rPr>
      </w:pPr>
    </w:p>
    <w:p>
      <w:pPr>
        <w:ind w:left="820" w:right="520" w:hanging="470"/>
        <w:spacing w:after="0" w:line="356" w:lineRule="auto"/>
        <w:tabs>
          <w:tab w:leader="none" w:pos="8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49" w:lineRule="exact"/>
        <w:rPr>
          <w:rFonts w:ascii="Arial" w:cs="Arial" w:eastAsia="Arial" w:hAnsi="Arial"/>
          <w:sz w:val="15"/>
          <w:szCs w:val="15"/>
          <w:color w:val="auto"/>
        </w:rPr>
      </w:pPr>
    </w:p>
    <w:p>
      <w:pPr>
        <w:ind w:left="820" w:hanging="470"/>
        <w:spacing w:after="0" w:line="286"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price at which and the currency or currencies, including composite currencies, in which the securities purchasable upon exercise of such warrants may be purchased;</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date on which the right to exercise such warrants shall commence and the date on which such right shall expire;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applicable, the minimum or maximum amount of such warrants which may be exercised at any one time;</w:t>
      </w:r>
    </w:p>
    <w:p>
      <w:pPr>
        <w:spacing w:after="0" w:line="280" w:lineRule="exact"/>
        <w:rPr>
          <w:rFonts w:ascii="Arial" w:cs="Arial" w:eastAsia="Arial" w:hAnsi="Arial"/>
          <w:sz w:val="17"/>
          <w:szCs w:val="17"/>
          <w:color w:val="auto"/>
        </w:rPr>
      </w:pPr>
    </w:p>
    <w:p>
      <w:pPr>
        <w:ind w:left="820" w:right="400" w:hanging="470"/>
        <w:spacing w:after="0" w:line="286"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applicable, the designation and terms of the securities with which such warrants are issued and the number of such warrants issued with each such security;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hanging="470"/>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applicable, the date on and after which such warrants and the related securities will be separately transferable;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information with respect to book-entry procedures, if any;</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applicable, a discussion of certain United States Federal income tax considerations;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applicable, the identity of any of our cable subsidiaries guaranteeing our obligations with respect to such warrants; and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48" w:lineRule="exact"/>
        <w:rPr>
          <w:rFonts w:ascii="Arial" w:cs="Arial" w:eastAsia="Arial" w:hAnsi="Arial"/>
          <w:sz w:val="17"/>
          <w:szCs w:val="17"/>
          <w:color w:val="auto"/>
        </w:rPr>
      </w:pPr>
    </w:p>
    <w:p>
      <w:pPr>
        <w:ind w:left="3920"/>
        <w:spacing w:after="0"/>
        <w:rPr>
          <w:rFonts w:ascii="Arial" w:cs="Arial" w:eastAsia="Arial" w:hAnsi="Arial"/>
          <w:sz w:val="17"/>
          <w:szCs w:val="17"/>
          <w:color w:val="auto"/>
        </w:rPr>
      </w:pPr>
      <w:r>
        <w:rPr>
          <w:rFonts w:ascii="Arial" w:cs="Arial" w:eastAsia="Arial" w:hAnsi="Arial"/>
          <w:sz w:val="17"/>
          <w:szCs w:val="17"/>
          <w:b w:val="1"/>
          <w:bCs w:val="1"/>
          <w:color w:val="auto"/>
        </w:rPr>
        <w:t>DESCRIPTION OF PURCHASE CONTRACTS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may issue purchase contracts for the purchase or sale of:</w:t>
      </w:r>
    </w:p>
    <w:p>
      <w:pPr>
        <w:spacing w:after="0" w:line="228" w:lineRule="exact"/>
        <w:rPr>
          <w:sz w:val="20"/>
          <w:szCs w:val="20"/>
          <w:color w:val="auto"/>
        </w:rPr>
      </w:pPr>
    </w:p>
    <w:p>
      <w:pPr>
        <w:ind w:left="820" w:right="640" w:hanging="470"/>
        <w:spacing w:after="0" w:line="286" w:lineRule="auto"/>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currencies or composite currencies; or</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commodities.</w:t>
      </w:r>
    </w:p>
    <w:p>
      <w:pPr>
        <w:spacing w:after="0" w:line="281"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202" w:lineRule="exact"/>
        <w:rPr>
          <w:sz w:val="20"/>
          <w:szCs w:val="20"/>
          <w:color w:val="auto"/>
        </w:rPr>
      </w:pPr>
    </w:p>
    <w:p>
      <w:pPr>
        <w:ind w:right="280" w:firstLine="318"/>
        <w:spacing w:after="0" w:line="273" w:lineRule="auto"/>
        <w:rPr>
          <w:sz w:val="20"/>
          <w:szCs w:val="20"/>
          <w:color w:val="auto"/>
        </w:rPr>
      </w:pPr>
      <w:r>
        <w:rPr>
          <w:rFonts w:ascii="Arial" w:cs="Arial" w:eastAsia="Arial" w:hAnsi="Arial"/>
          <w:sz w:val="17"/>
          <w:szCs w:val="17"/>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DESCRIPTION OF UNITS</w:t>
      </w:r>
    </w:p>
    <w:p>
      <w:pPr>
        <w:spacing w:after="0" w:line="260" w:lineRule="exact"/>
        <w:rPr>
          <w:sz w:val="20"/>
          <w:szCs w:val="20"/>
          <w:color w:val="auto"/>
        </w:rPr>
      </w:pPr>
    </w:p>
    <w:p>
      <w:pPr>
        <w:ind w:right="180" w:firstLine="318"/>
        <w:spacing w:after="0" w:line="319" w:lineRule="auto"/>
        <w:rPr>
          <w:sz w:val="20"/>
          <w:szCs w:val="20"/>
          <w:color w:val="auto"/>
        </w:rPr>
      </w:pPr>
      <w:r>
        <w:rPr>
          <w:rFonts w:ascii="Arial" w:cs="Arial" w:eastAsia="Arial" w:hAnsi="Arial"/>
          <w:sz w:val="16"/>
          <w:szCs w:val="16"/>
          <w:color w:val="auto"/>
        </w:rPr>
        <w:t>As specified in the applicable prospectus supplement, units will consist of one or more purchase contracts, warrants, debt securities, preferred stock, Class A Common Stock or Class A Special Common Stock or any combination thereof. Reference is made to the applicable prospectus supplement for:</w:t>
      </w:r>
    </w:p>
    <w:p>
      <w:pPr>
        <w:spacing w:after="0" w:line="146" w:lineRule="exact"/>
        <w:rPr>
          <w:sz w:val="20"/>
          <w:szCs w:val="20"/>
          <w:color w:val="auto"/>
        </w:rPr>
      </w:pPr>
    </w:p>
    <w:p>
      <w:pPr>
        <w:ind w:left="820" w:right="240" w:hanging="470"/>
        <w:spacing w:after="0" w:line="273" w:lineRule="auto"/>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206" w:lineRule="exact"/>
        <w:rPr>
          <w:rFonts w:ascii="Arial" w:cs="Arial" w:eastAsia="Arial" w:hAnsi="Arial"/>
          <w:sz w:val="17"/>
          <w:szCs w:val="17"/>
          <w:color w:val="auto"/>
        </w:rPr>
      </w:pPr>
    </w:p>
    <w:p>
      <w:pPr>
        <w:ind w:left="820" w:hanging="470"/>
        <w:spacing w:after="0"/>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description of the terms of any unit agreement governing the units;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applicable, a description of any guarantee by any of our subsidiaries of our obligations under the units; and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description of the provisions for the payment, settlement, transfer or exchange of the units.</w:t>
      </w: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GLOBAL SECURITIES</w:t>
      </w:r>
    </w:p>
    <w:p>
      <w:pPr>
        <w:spacing w:after="0" w:line="260" w:lineRule="exact"/>
        <w:rPr>
          <w:sz w:val="20"/>
          <w:szCs w:val="20"/>
          <w:color w:val="auto"/>
        </w:rPr>
      </w:pPr>
    </w:p>
    <w:p>
      <w:pPr>
        <w:ind w:right="220" w:firstLine="318"/>
        <w:spacing w:after="0" w:line="283"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201" w:lineRule="exact"/>
        <w:rPr>
          <w:sz w:val="20"/>
          <w:szCs w:val="20"/>
          <w:color w:val="auto"/>
        </w:rPr>
      </w:pPr>
    </w:p>
    <w:p>
      <w:pPr>
        <w:ind w:right="220" w:firstLine="318"/>
        <w:spacing w:after="0" w:line="319"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72" w:lineRule="exact"/>
        <w:rPr>
          <w:sz w:val="20"/>
          <w:szCs w:val="20"/>
          <w:color w:val="auto"/>
        </w:rPr>
      </w:pPr>
    </w:p>
    <w:p>
      <w:pPr>
        <w:ind w:firstLine="318"/>
        <w:spacing w:after="0" w:line="282" w:lineRule="auto"/>
        <w:rPr>
          <w:sz w:val="20"/>
          <w:szCs w:val="20"/>
          <w:color w:val="auto"/>
        </w:rPr>
      </w:pPr>
      <w:r>
        <w:rPr>
          <w:rFonts w:ascii="Arial" w:cs="Arial" w:eastAsia="Arial" w:hAnsi="Arial"/>
          <w:sz w:val="16"/>
          <w:szCs w:val="16"/>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202" w:lineRule="exact"/>
        <w:rPr>
          <w:sz w:val="20"/>
          <w:szCs w:val="20"/>
          <w:color w:val="auto"/>
        </w:rPr>
      </w:pPr>
    </w:p>
    <w:p>
      <w:pPr>
        <w:ind w:right="20" w:firstLine="318"/>
        <w:spacing w:after="0" w:line="280"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02" w:lineRule="exact"/>
        <w:rPr>
          <w:sz w:val="20"/>
          <w:szCs w:val="20"/>
          <w:color w:val="auto"/>
        </w:rPr>
      </w:pPr>
    </w:p>
    <w:p>
      <w:pPr>
        <w:ind w:right="200" w:firstLine="318"/>
        <w:spacing w:after="0" w:line="268"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96" w:lineRule="exact"/>
        <w:rPr>
          <w:sz w:val="20"/>
          <w:szCs w:val="20"/>
          <w:color w:val="auto"/>
        </w:rPr>
      </w:pPr>
    </w:p>
    <w:p>
      <w:pPr>
        <w:ind w:firstLine="318"/>
        <w:spacing w:after="0" w:line="310" w:lineRule="auto"/>
        <w:rPr>
          <w:sz w:val="20"/>
          <w:szCs w:val="20"/>
          <w:color w:val="auto"/>
        </w:rPr>
      </w:pPr>
      <w:r>
        <w:rPr>
          <w:rFonts w:ascii="Arial" w:cs="Arial" w:eastAsia="Arial" w:hAnsi="Arial"/>
          <w:sz w:val="15"/>
          <w:szCs w:val="15"/>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82" w:lineRule="exact"/>
        <w:rPr>
          <w:sz w:val="20"/>
          <w:szCs w:val="20"/>
          <w:color w:val="auto"/>
        </w:rPr>
      </w:pPr>
    </w:p>
    <w:p>
      <w:pPr>
        <w:ind w:right="80" w:firstLine="318"/>
        <w:spacing w:after="0" w:line="304" w:lineRule="auto"/>
        <w:rPr>
          <w:sz w:val="20"/>
          <w:szCs w:val="20"/>
          <w:color w:val="auto"/>
        </w:rPr>
      </w:pPr>
      <w:r>
        <w:rPr>
          <w:rFonts w:ascii="Arial" w:cs="Arial" w:eastAsia="Arial" w:hAnsi="Arial"/>
          <w:sz w:val="15"/>
          <w:szCs w:val="15"/>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PREFERRED STOCK</w:t>
      </w:r>
    </w:p>
    <w:p>
      <w:pPr>
        <w:spacing w:after="0" w:line="260" w:lineRule="exact"/>
        <w:rPr>
          <w:sz w:val="20"/>
          <w:szCs w:val="20"/>
          <w:color w:val="auto"/>
        </w:rPr>
      </w:pPr>
    </w:p>
    <w:p>
      <w:pPr>
        <w:jc w:val="both"/>
        <w:ind w:right="60" w:firstLine="318"/>
        <w:spacing w:after="0" w:line="290" w:lineRule="auto"/>
        <w:rPr>
          <w:sz w:val="20"/>
          <w:szCs w:val="20"/>
          <w:color w:val="auto"/>
        </w:rPr>
      </w:pPr>
      <w:r>
        <w:rPr>
          <w:rFonts w:ascii="Arial" w:cs="Arial" w:eastAsia="Arial" w:hAnsi="Arial"/>
          <w:sz w:val="16"/>
          <w:szCs w:val="16"/>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95" w:lineRule="exact"/>
        <w:rPr>
          <w:sz w:val="20"/>
          <w:szCs w:val="20"/>
          <w:color w:val="auto"/>
        </w:rPr>
      </w:pPr>
    </w:p>
    <w:p>
      <w:pPr>
        <w:ind w:right="220" w:firstLine="318"/>
        <w:spacing w:after="0" w:line="286" w:lineRule="auto"/>
        <w:rPr>
          <w:sz w:val="20"/>
          <w:szCs w:val="20"/>
          <w:color w:val="auto"/>
        </w:rPr>
      </w:pPr>
      <w:r>
        <w:rPr>
          <w:rFonts w:ascii="Arial" w:cs="Arial" w:eastAsia="Arial" w:hAnsi="Arial"/>
          <w:sz w:val="17"/>
          <w:szCs w:val="17"/>
          <w:color w:val="auto"/>
        </w:rPr>
        <w:t>The applicable prospectus supplement will describe the following terms to the extent that they may apply to an issuance of preferred stock in respect of which this prospectus is being delivered:</w:t>
      </w:r>
    </w:p>
    <w:p>
      <w:pPr>
        <w:spacing w:after="0" w:line="169" w:lineRule="exact"/>
        <w:rPr>
          <w:sz w:val="20"/>
          <w:szCs w:val="20"/>
          <w:color w:val="auto"/>
        </w:rPr>
      </w:pPr>
    </w:p>
    <w:p>
      <w:pPr>
        <w:ind w:left="820" w:hanging="470"/>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specific designation, number of shares, seniority and purchase price;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liquidation preference per share;</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date of maturity;</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redemption, repayment or sinking fund provisions;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dividend rate or rates and the dates on which any such dividends will be payable (or the method by which such rates or dates will be determined);</w:t>
      </w:r>
    </w:p>
    <w:p>
      <w:pPr>
        <w:spacing w:after="0" w:line="292" w:lineRule="exact"/>
        <w:rPr>
          <w:rFonts w:ascii="Arial" w:cs="Arial" w:eastAsia="Arial" w:hAnsi="Arial"/>
          <w:sz w:val="16"/>
          <w:szCs w:val="16"/>
          <w:color w:val="auto"/>
        </w:rPr>
      </w:pPr>
    </w:p>
    <w:p>
      <w:pPr>
        <w:ind w:left="820" w:hanging="470"/>
        <w:spacing w:after="0"/>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voting rights;</w:t>
      </w:r>
    </w:p>
    <w:p>
      <w:pPr>
        <w:spacing w:after="0" w:line="280" w:lineRule="exact"/>
        <w:rPr>
          <w:rFonts w:ascii="Arial" w:cs="Arial" w:eastAsia="Arial" w:hAnsi="Arial"/>
          <w:sz w:val="17"/>
          <w:szCs w:val="17"/>
          <w:color w:val="auto"/>
        </w:rPr>
      </w:pPr>
    </w:p>
    <w:p>
      <w:pPr>
        <w:ind w:left="820" w:right="340" w:hanging="470"/>
        <w:spacing w:after="0" w:line="286" w:lineRule="auto"/>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or currencies including composite currencies in which such preferred stock is denominated and/or in which payments will or may be payable;</w:t>
      </w:r>
    </w:p>
    <w:p>
      <w:pPr>
        <w:spacing w:after="0" w:line="195" w:lineRule="exact"/>
        <w:rPr>
          <w:rFonts w:ascii="Arial" w:cs="Arial" w:eastAsia="Arial" w:hAnsi="Arial"/>
          <w:sz w:val="17"/>
          <w:szCs w:val="17"/>
          <w:color w:val="auto"/>
        </w:rPr>
      </w:pPr>
    </w:p>
    <w:p>
      <w:pPr>
        <w:ind w:left="820" w:right="300" w:hanging="470"/>
        <w:spacing w:after="0" w:line="286" w:lineRule="auto"/>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method by which amounts in respect of such preferred stock may be calculated and any commodities, currencies or indices, or value, rate or price, relevant to such calculation;</w:t>
      </w:r>
    </w:p>
    <w:p>
      <w:pPr>
        <w:spacing w:after="0" w:line="195" w:lineRule="exact"/>
        <w:rPr>
          <w:rFonts w:ascii="Arial" w:cs="Arial" w:eastAsia="Arial" w:hAnsi="Arial"/>
          <w:sz w:val="17"/>
          <w:szCs w:val="17"/>
          <w:color w:val="auto"/>
        </w:rPr>
      </w:pPr>
    </w:p>
    <w:p>
      <w:pPr>
        <w:ind w:left="820" w:right="920" w:hanging="470"/>
        <w:spacing w:after="0" w:line="286" w:lineRule="auto"/>
        <w:tabs>
          <w:tab w:leader="none" w:pos="8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whether the preferred stock is convertible or exchangeable and, if so, the securities or rights into which such preferred stock is convertible or exchangeable, and the terms and conditions upon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60"/>
        <w:spacing w:after="0" w:line="286" w:lineRule="auto"/>
        <w:rPr>
          <w:sz w:val="20"/>
          <w:szCs w:val="20"/>
          <w:color w:val="auto"/>
        </w:rPr>
      </w:pPr>
      <w:r>
        <w:rPr>
          <w:rFonts w:ascii="Arial" w:cs="Arial" w:eastAsia="Arial" w:hAnsi="Arial"/>
          <w:sz w:val="17"/>
          <w:szCs w:val="17"/>
          <w:color w:val="auto"/>
        </w:rPr>
        <w:t>which such conversions or exchanges will be effected including the initial conversion or exchange prices or rates, the conversion or exchange period and any other related provisions;</w:t>
      </w:r>
    </w:p>
    <w:p>
      <w:pPr>
        <w:spacing w:after="0" w:line="196" w:lineRule="exact"/>
        <w:rPr>
          <w:sz w:val="20"/>
          <w:szCs w:val="20"/>
          <w:color w:val="auto"/>
        </w:rPr>
      </w:pPr>
    </w:p>
    <w:p>
      <w:pPr>
        <w:ind w:left="820" w:hanging="470"/>
        <w:spacing w:after="0"/>
        <w:tabs>
          <w:tab w:leader="none" w:pos="8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place or places where dividends and other payments on the preferred stock will be payable; and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additional voting, dividend, liquidation, redemption and other rights, preferences, privileges, limitations and restrictions.</w:t>
      </w:r>
    </w:p>
    <w:p>
      <w:pPr>
        <w:spacing w:after="0" w:line="281" w:lineRule="exact"/>
        <w:rPr>
          <w:sz w:val="20"/>
          <w:szCs w:val="20"/>
          <w:color w:val="auto"/>
        </w:rPr>
      </w:pPr>
    </w:p>
    <w:p>
      <w:pPr>
        <w:ind w:right="220" w:firstLine="318"/>
        <w:spacing w:after="0" w:line="273" w:lineRule="auto"/>
        <w:rPr>
          <w:sz w:val="20"/>
          <w:szCs w:val="20"/>
          <w:color w:val="auto"/>
        </w:rPr>
      </w:pPr>
      <w:r>
        <w:rPr>
          <w:rFonts w:ascii="Arial" w:cs="Arial" w:eastAsia="Arial" w:hAnsi="Arial"/>
          <w:sz w:val="17"/>
          <w:szCs w:val="17"/>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shares of preferred stock offered hereby, or issuable upon conversion, exchange or exercise of securities, will, when issued, be fully paid and non-assessable.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have been advised that the preferred stock will be exempt from existing Pennsylvania personal property tax.</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DESCRIPTION OF DEPOSITARY SHARES</w:t>
      </w:r>
    </w:p>
    <w:p>
      <w:pPr>
        <w:spacing w:after="0" w:line="260" w:lineRule="exact"/>
        <w:rPr>
          <w:sz w:val="20"/>
          <w:szCs w:val="20"/>
          <w:color w:val="auto"/>
        </w:rPr>
      </w:pPr>
    </w:p>
    <w:p>
      <w:pPr>
        <w:ind w:right="120" w:firstLine="318"/>
        <w:spacing w:after="0" w:line="273" w:lineRule="auto"/>
        <w:rPr>
          <w:sz w:val="20"/>
          <w:szCs w:val="20"/>
          <w:color w:val="auto"/>
        </w:rPr>
      </w:pPr>
      <w:r>
        <w:rPr>
          <w:rFonts w:ascii="Arial" w:cs="Arial" w:eastAsia="Arial" w:hAnsi="Arial"/>
          <w:sz w:val="17"/>
          <w:szCs w:val="17"/>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0" w:lineRule="exact"/>
        <w:rPr>
          <w:sz w:val="20"/>
          <w:szCs w:val="20"/>
          <w:color w:val="auto"/>
        </w:rPr>
      </w:pPr>
    </w:p>
    <w:p>
      <w:pPr>
        <w:ind w:firstLine="318"/>
        <w:spacing w:after="0" w:line="310" w:lineRule="auto"/>
        <w:rPr>
          <w:sz w:val="20"/>
          <w:szCs w:val="20"/>
          <w:color w:val="auto"/>
        </w:rPr>
      </w:pPr>
      <w:r>
        <w:rPr>
          <w:rFonts w:ascii="Arial" w:cs="Arial" w:eastAsia="Arial" w:hAnsi="Arial"/>
          <w:sz w:val="15"/>
          <w:szCs w:val="15"/>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182"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196" w:lineRule="exact"/>
        <w:rPr>
          <w:sz w:val="20"/>
          <w:szCs w:val="20"/>
          <w:color w:val="auto"/>
        </w:rPr>
      </w:pPr>
    </w:p>
    <w:p>
      <w:pPr>
        <w:ind w:right="400" w:firstLine="318"/>
        <w:spacing w:after="0" w:line="286" w:lineRule="auto"/>
        <w:rPr>
          <w:sz w:val="20"/>
          <w:szCs w:val="20"/>
          <w:color w:val="auto"/>
        </w:rPr>
      </w:pPr>
      <w:r>
        <w:rPr>
          <w:rFonts w:ascii="Arial" w:cs="Arial" w:eastAsia="Arial" w:hAnsi="Arial"/>
          <w:sz w:val="17"/>
          <w:szCs w:val="17"/>
          <w:color w:val="auto"/>
        </w:rPr>
        <w:t>Unless otherwise specified in the prospectus supplement, a holder of depositary shares is not entitled to receive the shares of preferred stock underlying the depositary shares.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and Other Distributions</w:t>
      </w:r>
    </w:p>
    <w:p>
      <w:pPr>
        <w:spacing w:after="0" w:line="260" w:lineRule="exact"/>
        <w:rPr>
          <w:sz w:val="20"/>
          <w:szCs w:val="20"/>
          <w:color w:val="auto"/>
        </w:rPr>
      </w:pPr>
    </w:p>
    <w:p>
      <w:pPr>
        <w:ind w:right="200" w:firstLine="318"/>
        <w:spacing w:after="0" w:line="319" w:lineRule="auto"/>
        <w:rPr>
          <w:sz w:val="20"/>
          <w:szCs w:val="20"/>
          <w:color w:val="auto"/>
        </w:rPr>
      </w:pPr>
      <w:r>
        <w:rPr>
          <w:rFonts w:ascii="Arial" w:cs="Arial" w:eastAsia="Arial" w:hAnsi="Arial"/>
          <w:sz w:val="16"/>
          <w:szCs w:val="16"/>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72" w:lineRule="exact"/>
        <w:rPr>
          <w:sz w:val="20"/>
          <w:szCs w:val="20"/>
          <w:color w:val="auto"/>
        </w:rPr>
      </w:pPr>
    </w:p>
    <w:p>
      <w:pPr>
        <w:ind w:right="60" w:firstLine="318"/>
        <w:spacing w:after="0" w:line="268"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 agreement also contains provisions relating to the manner in which any subscription or similar rights offered by us to holders of preferred stock shall be made available to holders of depositary shares.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and Exchange</w:t>
      </w:r>
    </w:p>
    <w:p>
      <w:pPr>
        <w:spacing w:after="0" w:line="260" w:lineRule="exact"/>
        <w:rPr>
          <w:sz w:val="20"/>
          <w:szCs w:val="20"/>
          <w:color w:val="auto"/>
        </w:rPr>
      </w:pPr>
    </w:p>
    <w:p>
      <w:pPr>
        <w:ind w:right="80" w:firstLine="318"/>
        <w:spacing w:after="0" w:line="356" w:lineRule="auto"/>
        <w:rPr>
          <w:sz w:val="20"/>
          <w:szCs w:val="20"/>
          <w:color w:val="auto"/>
        </w:rPr>
      </w:pPr>
      <w:r>
        <w:rPr>
          <w:rFonts w:ascii="Arial" w:cs="Arial" w:eastAsia="Arial" w:hAnsi="Arial"/>
          <w:sz w:val="15"/>
          <w:szCs w:val="15"/>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of Depositary Shares</w:t>
      </w:r>
    </w:p>
    <w:p>
      <w:pPr>
        <w:spacing w:after="0" w:line="260"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213" w:lineRule="exact"/>
        <w:rPr>
          <w:sz w:val="20"/>
          <w:szCs w:val="20"/>
          <w:color w:val="auto"/>
        </w:rPr>
      </w:pPr>
    </w:p>
    <w:p>
      <w:pPr>
        <w:ind w:right="20" w:firstLine="318"/>
        <w:spacing w:after="0" w:line="297" w:lineRule="auto"/>
        <w:rPr>
          <w:sz w:val="20"/>
          <w:szCs w:val="20"/>
          <w:color w:val="auto"/>
        </w:rPr>
      </w:pPr>
      <w:r>
        <w:rPr>
          <w:rFonts w:ascii="Arial" w:cs="Arial" w:eastAsia="Arial" w:hAnsi="Arial"/>
          <w:sz w:val="16"/>
          <w:szCs w:val="16"/>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260" w:lineRule="exact"/>
        <w:rPr>
          <w:sz w:val="20"/>
          <w:szCs w:val="20"/>
          <w:color w:val="auto"/>
        </w:rPr>
      </w:pPr>
    </w:p>
    <w:p>
      <w:pPr>
        <w:ind w:right="40" w:firstLine="318"/>
        <w:spacing w:after="0" w:line="284" w:lineRule="auto"/>
        <w:rPr>
          <w:sz w:val="20"/>
          <w:szCs w:val="20"/>
          <w:color w:val="auto"/>
        </w:rPr>
      </w:pPr>
      <w:r>
        <w:rPr>
          <w:rFonts w:ascii="Arial" w:cs="Arial" w:eastAsia="Arial" w:hAnsi="Arial"/>
          <w:sz w:val="16"/>
          <w:szCs w:val="16"/>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 of the Deposit Agreement</w:t>
      </w:r>
    </w:p>
    <w:p>
      <w:pPr>
        <w:spacing w:after="0" w:line="260" w:lineRule="exact"/>
        <w:rPr>
          <w:sz w:val="20"/>
          <w:szCs w:val="20"/>
          <w:color w:val="auto"/>
        </w:rPr>
      </w:pPr>
    </w:p>
    <w:p>
      <w:pPr>
        <w:jc w:val="both"/>
        <w:ind w:right="20" w:firstLine="318"/>
        <w:spacing w:after="0" w:line="297"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Charges of Depositary</w:t>
      </w:r>
    </w:p>
    <w:p>
      <w:pPr>
        <w:spacing w:after="0" w:line="260"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Miscellaneous</w:t>
      </w:r>
    </w:p>
    <w:p>
      <w:pPr>
        <w:spacing w:after="0" w:line="260" w:lineRule="exact"/>
        <w:rPr>
          <w:sz w:val="20"/>
          <w:szCs w:val="20"/>
          <w:color w:val="auto"/>
        </w:rPr>
      </w:pPr>
    </w:p>
    <w:p>
      <w:pPr>
        <w:ind w:right="100" w:firstLine="318"/>
        <w:spacing w:after="0" w:line="286" w:lineRule="auto"/>
        <w:rPr>
          <w:sz w:val="20"/>
          <w:szCs w:val="20"/>
          <w:color w:val="auto"/>
        </w:rPr>
      </w:pPr>
      <w:r>
        <w:rPr>
          <w:rFonts w:ascii="Arial" w:cs="Arial" w:eastAsia="Arial" w:hAnsi="Arial"/>
          <w:sz w:val="17"/>
          <w:szCs w:val="17"/>
          <w:color w:val="auto"/>
        </w:rPr>
        <w:t>We, or at our option, the depositary, will forward to the holders of depositary shares all reports and communications from us which we are required to furnish to the holders of preferred stock.</w:t>
      </w:r>
    </w:p>
    <w:p>
      <w:pPr>
        <w:spacing w:after="0" w:line="196" w:lineRule="exact"/>
        <w:rPr>
          <w:sz w:val="20"/>
          <w:szCs w:val="20"/>
          <w:color w:val="auto"/>
        </w:rPr>
      </w:pPr>
    </w:p>
    <w:p>
      <w:pPr>
        <w:ind w:right="80" w:firstLine="318"/>
        <w:spacing w:after="0" w:line="310" w:lineRule="auto"/>
        <w:rPr>
          <w:sz w:val="20"/>
          <w:szCs w:val="20"/>
          <w:color w:val="auto"/>
        </w:rPr>
      </w:pPr>
      <w:r>
        <w:rPr>
          <w:rFonts w:ascii="Arial" w:cs="Arial" w:eastAsia="Arial" w:hAnsi="Arial"/>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Resignation and Removal of Depositary; Termination of the Deposit Agreement</w:t>
      </w:r>
    </w:p>
    <w:p>
      <w:pPr>
        <w:spacing w:after="0" w:line="260" w:lineRule="exact"/>
        <w:rPr>
          <w:sz w:val="20"/>
          <w:szCs w:val="20"/>
          <w:color w:val="auto"/>
        </w:rPr>
      </w:pPr>
    </w:p>
    <w:p>
      <w:pPr>
        <w:ind w:right="140" w:firstLine="318"/>
        <w:spacing w:after="0" w:line="297" w:lineRule="auto"/>
        <w:rPr>
          <w:sz w:val="20"/>
          <w:szCs w:val="20"/>
          <w:color w:val="auto"/>
        </w:rPr>
      </w:pPr>
      <w:r>
        <w:rPr>
          <w:rFonts w:ascii="Arial" w:cs="Arial" w:eastAsia="Arial" w:hAnsi="Arial"/>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w:t>
      </w:r>
    </w:p>
    <w:p>
      <w:pPr>
        <w:ind w:right="60"/>
        <w:spacing w:after="0" w:line="283" w:lineRule="auto"/>
        <w:rPr>
          <w:sz w:val="20"/>
          <w:szCs w:val="20"/>
          <w:color w:val="auto"/>
        </w:rPr>
      </w:pPr>
      <w:r>
        <w:rPr>
          <w:rFonts w:ascii="Arial" w:cs="Arial" w:eastAsia="Arial" w:hAnsi="Arial"/>
          <w:sz w:val="16"/>
          <w:szCs w:val="16"/>
          <w:color w:val="auto"/>
        </w:rPr>
        <w:t>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COMMON STOCK</w:t>
      </w:r>
    </w:p>
    <w:p>
      <w:pPr>
        <w:spacing w:after="0" w:line="260" w:lineRule="exact"/>
        <w:rPr>
          <w:sz w:val="20"/>
          <w:szCs w:val="20"/>
          <w:color w:val="auto"/>
        </w:rPr>
      </w:pPr>
    </w:p>
    <w:p>
      <w:pPr>
        <w:ind w:right="100" w:firstLine="318"/>
        <w:spacing w:after="0" w:line="286" w:lineRule="auto"/>
        <w:rPr>
          <w:sz w:val="20"/>
          <w:szCs w:val="20"/>
          <w:color w:val="auto"/>
        </w:rPr>
      </w:pPr>
      <w:r>
        <w:rPr>
          <w:rFonts w:ascii="Arial" w:cs="Arial" w:eastAsia="Arial" w:hAnsi="Arial"/>
          <w:sz w:val="17"/>
          <w:szCs w:val="17"/>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96" w:lineRule="exact"/>
        <w:rPr>
          <w:sz w:val="20"/>
          <w:szCs w:val="20"/>
          <w:color w:val="auto"/>
        </w:rPr>
      </w:pPr>
    </w:p>
    <w:p>
      <w:pPr>
        <w:ind w:right="260" w:firstLine="318"/>
        <w:spacing w:after="0" w:line="315" w:lineRule="auto"/>
        <w:rPr>
          <w:sz w:val="20"/>
          <w:szCs w:val="20"/>
          <w:color w:val="auto"/>
        </w:rPr>
      </w:pPr>
      <w:r>
        <w:rPr>
          <w:rFonts w:ascii="Arial" w:cs="Arial" w:eastAsia="Arial" w:hAnsi="Arial"/>
          <w:sz w:val="15"/>
          <w:szCs w:val="15"/>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31, 2002 there were outstanding 1.355 billion shares of Class A Common Stock, 883.3 million shares of Class A Special Common Stock and 9.4 million shares of Class B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60" w:lineRule="exact"/>
        <w:rPr>
          <w:sz w:val="20"/>
          <w:szCs w:val="20"/>
          <w:color w:val="auto"/>
        </w:rPr>
      </w:pPr>
    </w:p>
    <w:p>
      <w:pPr>
        <w:ind w:right="20" w:firstLine="318"/>
        <w:spacing w:after="0" w:line="325" w:lineRule="auto"/>
        <w:rPr>
          <w:sz w:val="20"/>
          <w:szCs w:val="20"/>
          <w:color w:val="auto"/>
        </w:rPr>
      </w:pPr>
      <w:r>
        <w:rPr>
          <w:rFonts w:ascii="Arial" w:cs="Arial" w:eastAsia="Arial" w:hAnsi="Arial"/>
          <w:sz w:val="15"/>
          <w:szCs w:val="15"/>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172" w:lineRule="exact"/>
        <w:rPr>
          <w:sz w:val="20"/>
          <w:szCs w:val="20"/>
          <w:color w:val="auto"/>
        </w:rPr>
      </w:pPr>
    </w:p>
    <w:p>
      <w:pPr>
        <w:ind w:firstLine="318"/>
        <w:spacing w:after="0" w:line="273" w:lineRule="auto"/>
        <w:rPr>
          <w:sz w:val="20"/>
          <w:szCs w:val="20"/>
          <w:color w:val="auto"/>
        </w:rPr>
      </w:pPr>
      <w:r>
        <w:rPr>
          <w:rFonts w:ascii="Arial" w:cs="Arial" w:eastAsia="Arial" w:hAnsi="Arial"/>
          <w:sz w:val="17"/>
          <w:szCs w:val="17"/>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319" w:lineRule="auto"/>
        <w:rPr>
          <w:sz w:val="20"/>
          <w:szCs w:val="20"/>
          <w:color w:val="auto"/>
        </w:rPr>
      </w:pPr>
      <w:r>
        <w:rPr>
          <w:rFonts w:ascii="Arial" w:cs="Arial" w:eastAsia="Arial" w:hAnsi="Arial"/>
          <w:sz w:val="16"/>
          <w:szCs w:val="16"/>
          <w:color w:val="auto"/>
        </w:rPr>
        <w:t>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intend to pay dividends on our common stock for the foreseeable future.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60" w:lineRule="exact"/>
        <w:rPr>
          <w:sz w:val="20"/>
          <w:szCs w:val="20"/>
          <w:color w:val="auto"/>
        </w:rPr>
      </w:pPr>
    </w:p>
    <w:p>
      <w:pPr>
        <w:ind w:right="220" w:firstLine="318"/>
        <w:spacing w:after="0" w:line="356" w:lineRule="auto"/>
        <w:rPr>
          <w:sz w:val="20"/>
          <w:szCs w:val="20"/>
          <w:color w:val="auto"/>
        </w:rPr>
      </w:pPr>
      <w:r>
        <w:rPr>
          <w:rFonts w:ascii="Arial" w:cs="Arial" w:eastAsia="Arial" w:hAnsi="Arial"/>
          <w:sz w:val="15"/>
          <w:szCs w:val="15"/>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50" w:lineRule="exact"/>
        <w:rPr>
          <w:sz w:val="20"/>
          <w:szCs w:val="20"/>
          <w:color w:val="auto"/>
        </w:rPr>
      </w:pPr>
    </w:p>
    <w:p>
      <w:pPr>
        <w:ind w:right="400" w:firstLine="318"/>
        <w:spacing w:after="0" w:line="286" w:lineRule="auto"/>
        <w:rPr>
          <w:sz w:val="20"/>
          <w:szCs w:val="20"/>
          <w:color w:val="auto"/>
        </w:rPr>
      </w:pPr>
      <w:r>
        <w:rPr>
          <w:rFonts w:ascii="Arial" w:cs="Arial" w:eastAsia="Arial" w:hAnsi="Arial"/>
          <w:sz w:val="17"/>
          <w:szCs w:val="17"/>
          <w:color w:val="auto"/>
        </w:rPr>
        <w:t>On all matters submitted for a vote of holders of all classes of our voting stock, holders of our Class A Common Stock in the aggregate hold 66 2/3% of the aggregate voting power of our capital stock as of completion of the Broadband acquisition.</w:t>
      </w:r>
    </w:p>
    <w:p>
      <w:pPr>
        <w:spacing w:after="0" w:line="196" w:lineRule="exact"/>
        <w:rPr>
          <w:sz w:val="20"/>
          <w:szCs w:val="20"/>
          <w:color w:val="auto"/>
        </w:rPr>
      </w:pPr>
    </w:p>
    <w:p>
      <w:pPr>
        <w:ind w:firstLine="318"/>
        <w:spacing w:after="0" w:line="280" w:lineRule="auto"/>
        <w:rPr>
          <w:sz w:val="20"/>
          <w:szCs w:val="20"/>
          <w:color w:val="auto"/>
        </w:rPr>
      </w:pPr>
      <w:r>
        <w:rPr>
          <w:rFonts w:ascii="Arial" w:cs="Arial" w:eastAsia="Arial" w:hAnsi="Arial"/>
          <w:sz w:val="16"/>
          <w:szCs w:val="16"/>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 (2) 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 subject to reduction as described below.</w:t>
      </w:r>
    </w:p>
    <w:p>
      <w:pPr>
        <w:spacing w:after="0" w:line="208" w:lineRule="exact"/>
        <w:rPr>
          <w:sz w:val="20"/>
          <w:szCs w:val="20"/>
          <w:color w:val="auto"/>
        </w:rPr>
      </w:pPr>
    </w:p>
    <w:p>
      <w:pPr>
        <w:ind w:firstLine="318"/>
        <w:spacing w:after="0" w:line="283" w:lineRule="auto"/>
        <w:rPr>
          <w:sz w:val="20"/>
          <w:szCs w:val="20"/>
          <w:color w:val="auto"/>
        </w:rPr>
      </w:pPr>
      <w:r>
        <w:rPr>
          <w:rFonts w:ascii="Arial" w:cs="Arial" w:eastAsia="Arial" w:hAnsi="Arial"/>
          <w:sz w:val="16"/>
          <w:szCs w:val="16"/>
          <w:color w:val="auto"/>
        </w:rPr>
        <w:t>If the number of shares of our Class A Common Stock or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201" w:lineRule="exact"/>
        <w:rPr>
          <w:sz w:val="20"/>
          <w:szCs w:val="20"/>
          <w:color w:val="auto"/>
        </w:rPr>
      </w:pPr>
    </w:p>
    <w:p>
      <w:pPr>
        <w:ind w:right="20" w:firstLine="318"/>
        <w:spacing w:after="0" w:line="268" w:lineRule="auto"/>
        <w:rPr>
          <w:sz w:val="20"/>
          <w:szCs w:val="20"/>
          <w:color w:val="auto"/>
        </w:rPr>
      </w:pPr>
      <w:r>
        <w:rPr>
          <w:rFonts w:ascii="Arial" w:cs="Arial" w:eastAsia="Arial" w:hAnsi="Arial"/>
          <w:sz w:val="17"/>
          <w:szCs w:val="17"/>
          <w:color w:val="auto"/>
        </w:rPr>
        <w:t>Subject to the next sentence,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share of our Class B Common Stock has 15 votes.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Approval Rights</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Except as required by law, holders of Class A Special Common Stock and Class A Common Stock have no specific approval rights over any corporate actions.</w:t>
      </w:r>
    </w:p>
    <w:p>
      <w:pPr>
        <w:spacing w:after="0" w:line="277" w:lineRule="exact"/>
        <w:rPr>
          <w:sz w:val="20"/>
          <w:szCs w:val="20"/>
          <w:color w:val="auto"/>
        </w:rPr>
      </w:pPr>
    </w:p>
    <w:p>
      <w:pPr>
        <w:ind w:right="80" w:firstLine="318"/>
        <w:spacing w:after="0" w:line="282" w:lineRule="auto"/>
        <w:rPr>
          <w:sz w:val="20"/>
          <w:szCs w:val="20"/>
          <w:color w:val="auto"/>
        </w:rPr>
      </w:pPr>
      <w:r>
        <w:rPr>
          <w:rFonts w:ascii="Arial" w:cs="Arial" w:eastAsia="Arial" w:hAnsi="Arial"/>
          <w:sz w:val="16"/>
          <w:szCs w:val="16"/>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Shareholder</w:t>
      </w:r>
    </w:p>
    <w:p>
      <w:pPr>
        <w:spacing w:after="0" w:line="260" w:lineRule="exact"/>
        <w:rPr>
          <w:sz w:val="20"/>
          <w:szCs w:val="20"/>
          <w:color w:val="auto"/>
        </w:rPr>
      </w:pPr>
    </w:p>
    <w:p>
      <w:pPr>
        <w:ind w:right="100" w:firstLine="318"/>
        <w:spacing w:after="0" w:line="284" w:lineRule="auto"/>
        <w:rPr>
          <w:sz w:val="20"/>
          <w:szCs w:val="20"/>
          <w:color w:val="auto"/>
        </w:rPr>
      </w:pPr>
      <w:r>
        <w:rPr>
          <w:rFonts w:ascii="Arial" w:cs="Arial" w:eastAsia="Arial" w:hAnsi="Arial"/>
          <w:sz w:val="16"/>
          <w:szCs w:val="16"/>
          <w:color w:val="auto"/>
        </w:rPr>
        <w:t>Brian L. Roberts, our President and CEO,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31,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of Class B Common Stock</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Class B Common Stock is convertible share for share into either the Class A Common Stock or the Class A Special Common Stock.</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Preference on Liquidation</w:t>
      </w:r>
    </w:p>
    <w:p>
      <w:pPr>
        <w:spacing w:after="0" w:line="260" w:lineRule="exact"/>
        <w:rPr>
          <w:sz w:val="20"/>
          <w:szCs w:val="20"/>
          <w:color w:val="auto"/>
        </w:rPr>
      </w:pPr>
    </w:p>
    <w:p>
      <w:pPr>
        <w:ind w:right="20" w:firstLine="318"/>
        <w:spacing w:after="0" w:line="273" w:lineRule="auto"/>
        <w:rPr>
          <w:sz w:val="20"/>
          <w:szCs w:val="20"/>
          <w:color w:val="auto"/>
        </w:rPr>
      </w:pPr>
      <w:r>
        <w:rPr>
          <w:rFonts w:ascii="Arial" w:cs="Arial" w:eastAsia="Arial" w:hAnsi="Arial"/>
          <w:sz w:val="17"/>
          <w:szCs w:val="17"/>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Mergers, Consolidations, Etc.</w:t>
      </w:r>
    </w:p>
    <w:p>
      <w:pPr>
        <w:spacing w:after="0" w:line="260" w:lineRule="exact"/>
        <w:rPr>
          <w:sz w:val="20"/>
          <w:szCs w:val="20"/>
          <w:color w:val="auto"/>
        </w:rPr>
      </w:pPr>
    </w:p>
    <w:p>
      <w:pPr>
        <w:ind w:firstLine="318"/>
        <w:spacing w:after="0" w:line="266" w:lineRule="auto"/>
        <w:rPr>
          <w:sz w:val="20"/>
          <w:szCs w:val="20"/>
          <w:color w:val="auto"/>
        </w:rPr>
      </w:pPr>
      <w:r>
        <w:rPr>
          <w:rFonts w:ascii="Arial" w:cs="Arial" w:eastAsia="Arial" w:hAnsi="Arial"/>
          <w:sz w:val="17"/>
          <w:szCs w:val="17"/>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Miscellaneous</w:t>
      </w:r>
    </w:p>
    <w:p>
      <w:pPr>
        <w:spacing w:after="0" w:line="260" w:lineRule="exact"/>
        <w:rPr>
          <w:sz w:val="20"/>
          <w:szCs w:val="20"/>
          <w:color w:val="auto"/>
        </w:rPr>
      </w:pPr>
    </w:p>
    <w:p>
      <w:pPr>
        <w:ind w:right="80" w:firstLine="318"/>
        <w:spacing w:after="0" w:line="286" w:lineRule="auto"/>
        <w:rPr>
          <w:sz w:val="20"/>
          <w:szCs w:val="20"/>
          <w:color w:val="auto"/>
        </w:rPr>
      </w:pPr>
      <w:r>
        <w:rPr>
          <w:rFonts w:ascii="Arial" w:cs="Arial" w:eastAsia="Arial" w:hAnsi="Arial"/>
          <w:sz w:val="17"/>
          <w:szCs w:val="17"/>
          <w:color w:val="auto"/>
        </w:rPr>
        <w:t>The holders of Class A Common Stock, Class A Special Common Stock and Class B Common Stock do not have any preemptive rights. All shares of Class A Common Stock, Class A Special Common Stock</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413" w:right="3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90" w:lineRule="exact"/>
        <w:rPr>
          <w:sz w:val="20"/>
          <w:szCs w:val="20"/>
          <w:color w:val="auto"/>
        </w:rPr>
      </w:pPr>
    </w:p>
    <w:p>
      <w:pPr>
        <w:ind w:right="440" w:firstLine="318"/>
        <w:spacing w:after="0" w:line="286" w:lineRule="auto"/>
        <w:rPr>
          <w:sz w:val="20"/>
          <w:szCs w:val="20"/>
          <w:color w:val="auto"/>
        </w:rPr>
      </w:pPr>
      <w:r>
        <w:rPr>
          <w:rFonts w:ascii="Arial" w:cs="Arial" w:eastAsia="Arial" w:hAnsi="Arial"/>
          <w:sz w:val="17"/>
          <w:szCs w:val="17"/>
          <w:color w:val="auto"/>
        </w:rPr>
        <w:t>The transfer agent and registrar for our Class A Special Common Stock and Class A Common Stock is Equiserve, 525 Washington Blvd., Jersey City, New Jersey 07310. Their telephone number is (888) 883-8903.</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SHAREHOLDER RIGHTS PLAN</w:t>
      </w:r>
    </w:p>
    <w:p>
      <w:pPr>
        <w:spacing w:after="0" w:line="260" w:lineRule="exact"/>
        <w:rPr>
          <w:sz w:val="20"/>
          <w:szCs w:val="20"/>
          <w:color w:val="auto"/>
        </w:rPr>
      </w:pPr>
    </w:p>
    <w:p>
      <w:pPr>
        <w:ind w:right="60" w:firstLine="318"/>
        <w:spacing w:after="0" w:line="273" w:lineRule="auto"/>
        <w:rPr>
          <w:sz w:val="20"/>
          <w:szCs w:val="20"/>
          <w:color w:val="auto"/>
        </w:rPr>
      </w:pPr>
      <w:r>
        <w:rPr>
          <w:rFonts w:ascii="Arial" w:cs="Arial" w:eastAsia="Arial" w:hAnsi="Arial"/>
          <w:sz w:val="17"/>
          <w:szCs w:val="17"/>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206"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b w:val="1"/>
          <w:bCs w:val="1"/>
          <w:i w:val="1"/>
          <w:iCs w:val="1"/>
          <w:color w:val="auto"/>
        </w:rPr>
        <w:t xml:space="preserve">The Rights. </w:t>
      </w:r>
      <w:r>
        <w:rPr>
          <w:rFonts w:ascii="Arial" w:cs="Arial" w:eastAsia="Arial" w:hAnsi="Arial"/>
          <w:sz w:val="17"/>
          <w:szCs w:val="17"/>
          <w:color w:val="auto"/>
        </w:rPr>
        <w:t>Pursuant to the rights agreement, our board declared on November 18, 2002 a dividend of one preferred stock purchase right (the “Rights”) for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Rights holders have no rights as a shareholder of the Company, including the right to vote or to receive dividends.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rights agreement includes antidilution provisions designed to prevent efforts to diminish the effectiveness of the Rights.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transferability and exercisability of the Rights will depend on whether a “Distribution Date” has occurred. A Distribution Date generally means the earlier of</w:t>
      </w:r>
    </w:p>
    <w:p>
      <w:pPr>
        <w:spacing w:after="0" w:line="45" w:lineRule="exact"/>
        <w:rPr>
          <w:sz w:val="20"/>
          <w:szCs w:val="20"/>
          <w:color w:val="auto"/>
        </w:rPr>
      </w:pPr>
    </w:p>
    <w:p>
      <w:pPr>
        <w:ind w:right="80" w:firstLine="6"/>
        <w:spacing w:after="0" w:line="264" w:lineRule="auto"/>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216" w:lineRule="exact"/>
        <w:rPr>
          <w:sz w:val="20"/>
          <w:szCs w:val="20"/>
          <w:color w:val="auto"/>
        </w:rPr>
      </w:pPr>
    </w:p>
    <w:p>
      <w:pPr>
        <w:ind w:right="60" w:firstLine="318"/>
        <w:spacing w:after="0" w:line="315" w:lineRule="auto"/>
        <w:rPr>
          <w:sz w:val="20"/>
          <w:szCs w:val="20"/>
          <w:color w:val="auto"/>
        </w:rPr>
      </w:pPr>
      <w:r>
        <w:rPr>
          <w:rFonts w:ascii="Arial" w:cs="Arial" w:eastAsia="Arial" w:hAnsi="Arial"/>
          <w:sz w:val="15"/>
          <w:szCs w:val="15"/>
          <w:b w:val="1"/>
          <w:bCs w:val="1"/>
          <w:i w:val="1"/>
          <w:iCs w:val="1"/>
          <w:color w:val="auto"/>
        </w:rPr>
        <w:t xml:space="preserve">Transferability. </w:t>
      </w:r>
      <w:r>
        <w:rPr>
          <w:rFonts w:ascii="Arial" w:cs="Arial" w:eastAsia="Arial" w:hAnsi="Arial"/>
          <w:sz w:val="15"/>
          <w:szCs w:val="15"/>
          <w:color w:val="auto"/>
        </w:rPr>
        <w:t>Prior to the Distribution Date, (1) the Rights will be evidenced by the certificates of the relevant underlying common stock and the registered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79" w:lineRule="exact"/>
        <w:rPr>
          <w:sz w:val="20"/>
          <w:szCs w:val="20"/>
          <w:color w:val="auto"/>
        </w:rPr>
      </w:pPr>
    </w:p>
    <w:p>
      <w:pPr>
        <w:jc w:val="both"/>
        <w:ind w:right="280" w:firstLine="318"/>
        <w:spacing w:after="0" w:line="273" w:lineRule="auto"/>
        <w:rPr>
          <w:sz w:val="20"/>
          <w:szCs w:val="20"/>
          <w:color w:val="auto"/>
        </w:rPr>
      </w:pPr>
      <w:r>
        <w:rPr>
          <w:rFonts w:ascii="Arial" w:cs="Arial" w:eastAsia="Arial" w:hAnsi="Arial"/>
          <w:sz w:val="17"/>
          <w:szCs w:val="17"/>
          <w:b w:val="1"/>
          <w:bCs w:val="1"/>
          <w:i w:val="1"/>
          <w:iCs w:val="1"/>
          <w:color w:val="auto"/>
        </w:rPr>
        <w:t xml:space="preserve">Exercisability. </w:t>
      </w:r>
      <w:r>
        <w:rPr>
          <w:rFonts w:ascii="Arial" w:cs="Arial" w:eastAsia="Arial" w:hAnsi="Arial"/>
          <w:sz w:val="17"/>
          <w:szCs w:val="17"/>
          <w:color w:val="auto"/>
        </w:rPr>
        <w:t>The Rights will not be exercisable prior to the Distribution Date. After the Distribution Date, but prior to the occurrence of an event described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below under “—‘Flip In’ Feature” or “—‘Flip Over’ Feature,” each Right will be exercisable to purchase for $125 one one-thousandth of a share of our Series A Participating Cumulative Preferred Stock.</w:t>
      </w:r>
    </w:p>
    <w:p>
      <w:pPr>
        <w:spacing w:after="0" w:line="206" w:lineRule="exact"/>
        <w:rPr>
          <w:sz w:val="20"/>
          <w:szCs w:val="20"/>
          <w:color w:val="auto"/>
        </w:rPr>
      </w:pPr>
    </w:p>
    <w:p>
      <w:pPr>
        <w:ind w:right="180" w:firstLine="318"/>
        <w:spacing w:after="0" w:line="319"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right to acquire, instead of one one-thousandth of a share of our Series A Participating Cumulative Preferred Stock, a number of shares of our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80"/>
        <w:spacing w:after="0" w:line="325" w:lineRule="auto"/>
        <w:rPr>
          <w:sz w:val="20"/>
          <w:szCs w:val="20"/>
          <w:color w:val="auto"/>
        </w:rPr>
      </w:pPr>
      <w:r>
        <w:rPr>
          <w:rFonts w:ascii="Arial" w:cs="Arial" w:eastAsia="Arial" w:hAnsi="Arial"/>
          <w:sz w:val="15"/>
          <w:szCs w:val="15"/>
          <w:color w:val="auto"/>
        </w:rPr>
        <w:t>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72"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b w:val="1"/>
          <w:bCs w:val="1"/>
          <w:i w:val="1"/>
          <w:iCs w:val="1"/>
          <w:color w:val="auto"/>
        </w:rPr>
        <w:t xml:space="preserve">“Exchange” Feature. </w:t>
      </w:r>
      <w:r>
        <w:rPr>
          <w:rFonts w:ascii="Arial" w:cs="Arial" w:eastAsia="Arial" w:hAnsi="Arial"/>
          <w:sz w:val="17"/>
          <w:szCs w:val="17"/>
          <w:color w:val="auto"/>
        </w:rPr>
        <w:t>At any time after a person becomes an Acquiring Person (but before any person becomes the beneficial owner of our voting capital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213" w:lineRule="exact"/>
        <w:rPr>
          <w:sz w:val="20"/>
          <w:szCs w:val="20"/>
          <w:color w:val="auto"/>
        </w:rPr>
      </w:pPr>
    </w:p>
    <w:p>
      <w:pPr>
        <w:ind w:right="40" w:firstLine="318"/>
        <w:spacing w:after="0" w:line="266" w:lineRule="auto"/>
        <w:rPr>
          <w:sz w:val="20"/>
          <w:szCs w:val="20"/>
          <w:color w:val="auto"/>
        </w:rPr>
      </w:pPr>
      <w:r>
        <w:rPr>
          <w:rFonts w:ascii="Arial" w:cs="Arial" w:eastAsia="Arial" w:hAnsi="Arial"/>
          <w:sz w:val="17"/>
          <w:szCs w:val="17"/>
          <w:b w:val="1"/>
          <w:bCs w:val="1"/>
          <w:i w:val="1"/>
          <w:iCs w:val="1"/>
          <w:color w:val="auto"/>
        </w:rPr>
        <w:t xml:space="preserve">“Flip Over” Feature. </w:t>
      </w:r>
      <w:r>
        <w:rPr>
          <w:rFonts w:ascii="Arial" w:cs="Arial" w:eastAsia="Arial" w:hAnsi="Arial"/>
          <w:sz w:val="17"/>
          <w:szCs w:val="17"/>
          <w:color w:val="auto"/>
        </w:rPr>
        <w:t>If, after a person becomes an Acquiring Person, (1) we are involved in a merger or other business combination in which we are not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13" w:lineRule="exact"/>
        <w:rPr>
          <w:sz w:val="20"/>
          <w:szCs w:val="20"/>
          <w:color w:val="auto"/>
        </w:rPr>
      </w:pPr>
    </w:p>
    <w:p>
      <w:pPr>
        <w:ind w:right="360" w:firstLine="318"/>
        <w:spacing w:after="0" w:line="273" w:lineRule="auto"/>
        <w:rPr>
          <w:sz w:val="20"/>
          <w:szCs w:val="20"/>
          <w:color w:val="auto"/>
        </w:rPr>
      </w:pPr>
      <w:r>
        <w:rPr>
          <w:rFonts w:ascii="Arial" w:cs="Arial" w:eastAsia="Arial" w:hAnsi="Arial"/>
          <w:sz w:val="17"/>
          <w:szCs w:val="17"/>
          <w:b w:val="1"/>
          <w:bCs w:val="1"/>
          <w:i w:val="1"/>
          <w:iCs w:val="1"/>
          <w:color w:val="auto"/>
        </w:rPr>
        <w:t xml:space="preserve">Redemption of Rights. </w:t>
      </w:r>
      <w:r>
        <w:rPr>
          <w:rFonts w:ascii="Arial" w:cs="Arial" w:eastAsia="Arial" w:hAnsi="Arial"/>
          <w:sz w:val="17"/>
          <w:szCs w:val="17"/>
          <w:color w:val="auto"/>
        </w:rPr>
        <w:t>Our Board may redeem all of the Rights at a price of $0.001 per Right at any time prior to the time that any person becomes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Acquiring Person. The right to exercise will terminate upon redemption, and at that time, holders of the Rights will have the right to receive only the redemption price for each Right they hold.</w:t>
      </w:r>
    </w:p>
    <w:p>
      <w:pPr>
        <w:spacing w:after="0" w:line="206" w:lineRule="exact"/>
        <w:rPr>
          <w:sz w:val="20"/>
          <w:szCs w:val="20"/>
          <w:color w:val="auto"/>
        </w:rPr>
      </w:pPr>
    </w:p>
    <w:p>
      <w:pPr>
        <w:ind w:right="200" w:firstLine="318"/>
        <w:spacing w:after="0" w:line="32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Expiration of Rights. </w:t>
      </w:r>
      <w:r>
        <w:rPr>
          <w:rFonts w:ascii="Arial" w:cs="Arial" w:eastAsia="Arial" w:hAnsi="Arial"/>
          <w:sz w:val="17"/>
          <w:szCs w:val="17"/>
          <w:color w:val="auto"/>
        </w:rPr>
        <w:t>If not previously exercised or redeemed, the Rights will expire on November 18, 2012, unless earlier exchanged.</w:t>
      </w:r>
    </w:p>
    <w:p>
      <w:pPr>
        <w:spacing w:after="0" w:line="254" w:lineRule="exact"/>
        <w:rPr>
          <w:sz w:val="20"/>
          <w:szCs w:val="20"/>
          <w:color w:val="auto"/>
        </w:rPr>
      </w:pPr>
    </w:p>
    <w:p>
      <w:pPr>
        <w:jc w:val="both"/>
        <w:ind w:right="40" w:firstLine="318"/>
        <w:spacing w:after="0" w:line="297"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 without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90" w:lineRule="exact"/>
        <w:rPr>
          <w:sz w:val="20"/>
          <w:szCs w:val="20"/>
          <w:color w:val="auto"/>
        </w:rPr>
      </w:pPr>
    </w:p>
    <w:p>
      <w:pPr>
        <w:ind w:right="240" w:firstLine="318"/>
        <w:spacing w:after="0" w:line="286" w:lineRule="auto"/>
        <w:rPr>
          <w:sz w:val="20"/>
          <w:szCs w:val="20"/>
          <w:color w:val="auto"/>
        </w:rPr>
      </w:pPr>
      <w:r>
        <w:rPr>
          <w:rFonts w:ascii="Arial" w:cs="Arial" w:eastAsia="Arial" w:hAnsi="Arial"/>
          <w:sz w:val="17"/>
          <w:szCs w:val="17"/>
          <w:b w:val="1"/>
          <w:bCs w:val="1"/>
          <w:i w:val="1"/>
          <w:iCs w:val="1"/>
          <w:color w:val="auto"/>
        </w:rPr>
        <w:t xml:space="preserve">Taxation. </w:t>
      </w:r>
      <w:r>
        <w:rPr>
          <w:rFonts w:ascii="Arial" w:cs="Arial" w:eastAsia="Arial" w:hAnsi="Arial"/>
          <w:sz w:val="17"/>
          <w:szCs w:val="17"/>
          <w:color w:val="auto"/>
        </w:rPr>
        <w:t>While the dividend of the Rights will not be taxable to stockholders or to us, stockholders or we may, depending upon the circumstances, recognize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income in the event that the Rights become exercisable as set forth above.</w:t>
      </w:r>
    </w:p>
    <w:p>
      <w:pPr>
        <w:spacing w:after="0" w:line="19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b w:val="1"/>
          <w:bCs w:val="1"/>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 preferred stock designated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Cross Guarantees</w:t>
      </w:r>
    </w:p>
    <w:p>
      <w:pPr>
        <w:spacing w:after="0" w:line="260" w:lineRule="exact"/>
        <w:rPr>
          <w:sz w:val="20"/>
          <w:szCs w:val="20"/>
          <w:color w:val="auto"/>
        </w:rPr>
      </w:pPr>
    </w:p>
    <w:p>
      <w:pPr>
        <w:ind w:right="220" w:firstLine="318"/>
        <w:spacing w:after="0" w:line="283" w:lineRule="auto"/>
        <w:rPr>
          <w:sz w:val="20"/>
          <w:szCs w:val="20"/>
          <w:color w:val="auto"/>
        </w:rPr>
      </w:pPr>
      <w:r>
        <w:rPr>
          <w:rFonts w:ascii="Arial" w:cs="Arial" w:eastAsia="Arial" w:hAnsi="Arial"/>
          <w:sz w:val="16"/>
          <w:szCs w:val="16"/>
          <w:color w:val="auto"/>
        </w:rPr>
        <w:t>To simplify our capital structure, effective with the acquisition of Broadband, we, Comcast Cable, Comcast Cable Communications Holdings, Comcast Cable Holdings and Comcast MO Group each fully and unconditionally guaranteed each other’s debt securities and other indebtedness for borrowed money. In March 2003, we obtained the consent of holders of $1.7 billion of the outstanding debt securities of Comcast MO of Delaware to an amendment of their debt securities which allowed Comcast MO of Delaware to become a guarantor and have its debt securities guaranteed. At the time the amendment became effective, we and the other cable guarantors fully and unconditionally guaranteed these debt securities of Comcast MO of Delaware, and Comcast MO of Delaware fully and unconditionally guaranteed our debt securities and the debt securities of the other cable guarantors, including the $3.0 billion of debt securities we have issued this year and amounts outstanding under the new credit facilities incurred in connection with the Broadband acquisition.</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Comcast Holdings is not a guarantor, and none of its debt securities are guaranteed.</w:t>
      </w:r>
    </w:p>
    <w:p>
      <w:pPr>
        <w:spacing w:after="0" w:line="254" w:lineRule="exact"/>
        <w:rPr>
          <w:sz w:val="20"/>
          <w:szCs w:val="20"/>
          <w:color w:val="auto"/>
        </w:rPr>
      </w:pPr>
    </w:p>
    <w:p>
      <w:pPr>
        <w:ind w:right="80" w:firstLine="318"/>
        <w:spacing w:after="0" w:line="295" w:lineRule="auto"/>
        <w:rPr>
          <w:sz w:val="20"/>
          <w:szCs w:val="20"/>
          <w:color w:val="auto"/>
        </w:rPr>
      </w:pPr>
      <w:r>
        <w:rPr>
          <w:rFonts w:ascii="Arial" w:cs="Arial" w:eastAsia="Arial" w:hAnsi="Arial"/>
          <w:sz w:val="15"/>
          <w:szCs w:val="15"/>
          <w:color w:val="auto"/>
        </w:rPr>
        <w:t>The following table presents as of December 31, 2002 for each of Comcast, Comcast Cable, Comcast Cable Communications Holdings, Comcast Cable Holdings, Comcast MO Group and Comcast MO of Delaware, their pro forma payment obligations for principal, excluding obligations of their subsidiaries and excluding interest but including principal accreted under discount obligations, under debt securities and other indebtedness for borrowed money that is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us the pro forma effect of our issuance of $3 billion of debt securities this year (consisting of $600 million aggregate principal amount of our 5.85% Notes due 2010 and $900 million aggregate principal amount of our 6.05% Notes due 2015 issued on January 10, 2003, and $750 million aggregate principal amount of our 5.50% Notes due 2008 and</w:t>
      </w:r>
    </w:p>
    <w:p>
      <w:pPr>
        <w:spacing w:after="0" w:line="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$750 million aggregate principal amount of our 7.05% Notes due 2033 issued on March 14, 2003), and payment of $3 billion of net proceeds from the issuance and sale of these notes, to reduce our borrowings under the new credit facilities incurred in connection with the Broadband acquisition.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7"/>
          </w:tcPr>
          <w:p>
            <w:pPr>
              <w:ind w:left="300"/>
              <w:spacing w:after="0"/>
              <w:rPr>
                <w:sz w:val="20"/>
                <w:szCs w:val="20"/>
                <w:color w:val="auto"/>
              </w:rPr>
            </w:pPr>
            <w:r>
              <w:rPr>
                <w:rFonts w:ascii="Arial" w:cs="Arial" w:eastAsia="Arial" w:hAnsi="Arial"/>
                <w:sz w:val="13"/>
                <w:szCs w:val="13"/>
                <w:b w:val="1"/>
                <w:bCs w:val="1"/>
                <w:color w:val="auto"/>
              </w:rPr>
              <w:t>Payments Due by Period</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3"/>
                <w:szCs w:val="13"/>
                <w:b w:val="1"/>
                <w:bCs w:val="1"/>
                <w:color w:val="auto"/>
                <w:w w:val="88"/>
              </w:rPr>
              <w:t>Payment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After 5</w:t>
            </w:r>
          </w:p>
        </w:tc>
        <w:tc>
          <w:tcPr>
            <w:tcW w:w="0" w:type="dxa"/>
            <w:vAlign w:val="bottom"/>
          </w:tcPr>
          <w:p>
            <w:pPr>
              <w:spacing w:after="0"/>
              <w:rPr>
                <w:sz w:val="1"/>
                <w:szCs w:val="1"/>
                <w:color w:val="auto"/>
              </w:rPr>
            </w:pPr>
          </w:p>
        </w:tc>
      </w:tr>
      <w:tr>
        <w:trPr>
          <w:trHeight w:val="170"/>
        </w:trPr>
        <w:tc>
          <w:tcPr>
            <w:tcW w:w="4260" w:type="dxa"/>
            <w:vAlign w:val="bottom"/>
          </w:tcPr>
          <w:p>
            <w:pPr>
              <w:spacing w:after="0"/>
              <w:rPr>
                <w:sz w:val="20"/>
                <w:szCs w:val="20"/>
                <w:color w:val="auto"/>
              </w:rPr>
            </w:pPr>
            <w:r>
              <w:rPr>
                <w:rFonts w:ascii="Arial" w:cs="Arial" w:eastAsia="Arial" w:hAnsi="Arial"/>
                <w:sz w:val="13"/>
                <w:szCs w:val="13"/>
                <w:b w:val="1"/>
                <w:bCs w:val="1"/>
                <w:color w:val="auto"/>
              </w:rPr>
              <w:t>Guaranteed debt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jc w:val="right"/>
              <w:ind w:right="138"/>
              <w:spacing w:after="0"/>
              <w:rPr>
                <w:sz w:val="20"/>
                <w:szCs w:val="20"/>
                <w:color w:val="auto"/>
              </w:rPr>
            </w:pPr>
            <w:r>
              <w:rPr>
                <w:rFonts w:ascii="Arial" w:cs="Arial" w:eastAsia="Arial" w:hAnsi="Arial"/>
                <w:sz w:val="13"/>
                <w:szCs w:val="13"/>
                <w:b w:val="1"/>
                <w:bCs w:val="1"/>
                <w:color w:val="auto"/>
              </w:rPr>
              <w:t>Total</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Year 1</w:t>
            </w:r>
          </w:p>
        </w:tc>
        <w:tc>
          <w:tcPr>
            <w:tcW w:w="260" w:type="dxa"/>
            <w:vAlign w:val="bottom"/>
          </w:tcPr>
          <w:p>
            <w:pPr>
              <w:spacing w:after="0"/>
              <w:rPr>
                <w:sz w:val="14"/>
                <w:szCs w:val="14"/>
                <w:color w:val="auto"/>
              </w:rPr>
            </w:pPr>
          </w:p>
        </w:tc>
        <w:tc>
          <w:tcPr>
            <w:tcW w:w="1420" w:type="dxa"/>
            <w:vAlign w:val="bottom"/>
            <w:gridSpan w:val="4"/>
          </w:tcPr>
          <w:p>
            <w:pPr>
              <w:ind w:left="320"/>
              <w:spacing w:after="0"/>
              <w:rPr>
                <w:sz w:val="20"/>
                <w:szCs w:val="20"/>
                <w:color w:val="auto"/>
              </w:rPr>
            </w:pPr>
            <w:r>
              <w:rPr>
                <w:rFonts w:ascii="Arial" w:cs="Arial" w:eastAsia="Arial" w:hAnsi="Arial"/>
                <w:sz w:val="13"/>
                <w:szCs w:val="13"/>
                <w:b w:val="1"/>
                <w:bCs w:val="1"/>
                <w:color w:val="auto"/>
              </w:rPr>
              <w:t>Years 2-3</w:t>
            </w:r>
          </w:p>
        </w:tc>
        <w:tc>
          <w:tcPr>
            <w:tcW w:w="1160" w:type="dxa"/>
            <w:vAlign w:val="bottom"/>
            <w:gridSpan w:val="4"/>
          </w:tcPr>
          <w:p>
            <w:pPr>
              <w:ind w:left="320"/>
              <w:spacing w:after="0"/>
              <w:rPr>
                <w:sz w:val="20"/>
                <w:szCs w:val="20"/>
                <w:color w:val="auto"/>
              </w:rPr>
            </w:pPr>
            <w:r>
              <w:rPr>
                <w:rFonts w:ascii="Arial" w:cs="Arial" w:eastAsia="Arial" w:hAnsi="Arial"/>
                <w:sz w:val="13"/>
                <w:szCs w:val="13"/>
                <w:b w:val="1"/>
                <w:bCs w:val="1"/>
                <w:color w:val="auto"/>
              </w:rPr>
              <w:t>Years 4-5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94"/>
        </w:trPr>
        <w:tc>
          <w:tcPr>
            <w:tcW w:w="4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5"/>
          </w:tcPr>
          <w:p>
            <w:pPr>
              <w:ind w:left="220"/>
              <w:spacing w:after="0"/>
              <w:rPr>
                <w:sz w:val="20"/>
                <w:szCs w:val="20"/>
                <w:color w:val="auto"/>
              </w:rPr>
            </w:pPr>
            <w:r>
              <w:rPr>
                <w:rFonts w:ascii="Arial" w:cs="Arial" w:eastAsia="Arial" w:hAnsi="Arial"/>
                <w:sz w:val="13"/>
                <w:szCs w:val="13"/>
                <w:b w:val="1"/>
                <w:bCs w:val="1"/>
                <w:color w:val="auto"/>
              </w:rPr>
              <w:t>(In millions, unaudited)</w:t>
            </w: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EEEEEE"/>
          </w:tcPr>
          <w:p>
            <w:pPr>
              <w:spacing w:after="0"/>
              <w:rPr>
                <w:sz w:val="20"/>
                <w:szCs w:val="20"/>
                <w:color w:val="auto"/>
              </w:rPr>
            </w:pPr>
            <w:r>
              <w:rPr>
                <w:rFonts w:ascii="Arial" w:cs="Arial" w:eastAsia="Arial" w:hAnsi="Arial"/>
                <w:sz w:val="17"/>
                <w:szCs w:val="17"/>
                <w:color w:val="auto"/>
              </w:rPr>
              <w:t>Comcast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3,680.0</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680.0</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Comcast Cable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7,897.3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1,810.3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1,488.4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4,598.6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EEEEEE"/>
          </w:tcPr>
          <w:p>
            <w:pPr>
              <w:spacing w:after="0"/>
              <w:rPr>
                <w:sz w:val="20"/>
                <w:szCs w:val="20"/>
                <w:color w:val="auto"/>
              </w:rPr>
            </w:pPr>
            <w:r>
              <w:rPr>
                <w:rFonts w:ascii="Arial" w:cs="Arial" w:eastAsia="Arial" w:hAnsi="Arial"/>
                <w:sz w:val="17"/>
                <w:szCs w:val="17"/>
                <w:color w:val="auto"/>
              </w:rPr>
              <w:t>Comcast Cable Communications Holdings</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6,755.1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750.0</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2,500.0</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ind w:right="280"/>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3,505.1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Comcast Cable Holdings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6,208.2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1,464.2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8"/>
              </w:rPr>
              <w:t>1,131.4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419.2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3,193.4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EEEEEE"/>
          </w:tcPr>
          <w:p>
            <w:pPr>
              <w:spacing w:after="0"/>
              <w:rPr>
                <w:sz w:val="20"/>
                <w:szCs w:val="20"/>
                <w:color w:val="auto"/>
              </w:rPr>
            </w:pPr>
            <w:r>
              <w:rPr>
                <w:rFonts w:ascii="Arial" w:cs="Arial" w:eastAsia="Arial" w:hAnsi="Arial"/>
                <w:sz w:val="17"/>
                <w:szCs w:val="17"/>
                <w:color w:val="auto"/>
              </w:rPr>
              <w:t>Comcast MO Group</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292.9</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30.6</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61.7</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199.3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tcPr>
          <w:p>
            <w:pPr>
              <w:spacing w:after="0"/>
              <w:rPr>
                <w:sz w:val="20"/>
                <w:szCs w:val="20"/>
                <w:color w:val="auto"/>
              </w:rPr>
            </w:pPr>
            <w:r>
              <w:rPr>
                <w:rFonts w:ascii="Arial" w:cs="Arial" w:eastAsia="Arial" w:hAnsi="Arial"/>
                <w:sz w:val="17"/>
                <w:szCs w:val="17"/>
                <w:color w:val="auto"/>
              </w:rPr>
              <w:t>Comcast MO of Delaware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1,914.0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654.1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958.7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0"/>
              </w:rPr>
              <w:t>26,747.5</w:t>
            </w: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2,215.5</w:t>
            </w:r>
          </w:p>
        </w:tc>
        <w:tc>
          <w:tcPr>
            <w:tcW w:w="2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8"/>
              </w:rPr>
              <w:t>6,453.5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w w:val="84"/>
              </w:rPr>
              <w:t>2,623.4</w:t>
            </w:r>
          </w:p>
        </w:tc>
        <w:tc>
          <w:tcPr>
            <w:tcW w:w="2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0"/>
              </w:rPr>
              <w:t>15,455.1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40</w:t>
            </w:r>
          </w:p>
        </w:tc>
        <w:tc>
          <w:tcPr>
            <w:tcW w:w="2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3"/>
        </w:trPr>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-524510</wp:posOffset>
            </wp:positionV>
            <wp:extent cx="127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-524510</wp:posOffset>
            </wp:positionV>
            <wp:extent cx="127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4319270</wp:posOffset>
            </wp:positionH>
            <wp:positionV relativeFrom="paragraph">
              <wp:posOffset>-524510</wp:posOffset>
            </wp:positionV>
            <wp:extent cx="127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-524510</wp:posOffset>
            </wp:positionV>
            <wp:extent cx="127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-524510</wp:posOffset>
            </wp:positionV>
            <wp:extent cx="127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4899025</wp:posOffset>
            </wp:positionH>
            <wp:positionV relativeFrom="paragraph">
              <wp:posOffset>-524510</wp:posOffset>
            </wp:positionV>
            <wp:extent cx="127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-524510</wp:posOffset>
            </wp:positionV>
            <wp:extent cx="127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5797550</wp:posOffset>
            </wp:positionH>
            <wp:positionV relativeFrom="paragraph">
              <wp:posOffset>-524510</wp:posOffset>
            </wp:positionV>
            <wp:extent cx="127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7074535</wp:posOffset>
            </wp:positionH>
            <wp:positionV relativeFrom="paragraph">
              <wp:posOffset>-524510</wp:posOffset>
            </wp:positionV>
            <wp:extent cx="127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-524510</wp:posOffset>
            </wp:positionV>
            <wp:extent cx="127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PLAN OF DISTRIBUTION</w:t>
      </w:r>
    </w:p>
    <w:p>
      <w:pPr>
        <w:spacing w:after="0" w:line="2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may sell the securities being offered hereby in four ways:</w:t>
      </w:r>
    </w:p>
    <w:p>
      <w:pPr>
        <w:spacing w:after="0" w:line="228" w:lineRule="exact"/>
        <w:rPr>
          <w:sz w:val="20"/>
          <w:szCs w:val="20"/>
          <w:color w:val="auto"/>
        </w:rPr>
      </w:pPr>
    </w:p>
    <w:p>
      <w:pPr>
        <w:ind w:left="820" w:hanging="470"/>
        <w:spacing w:after="0"/>
        <w:tabs>
          <w:tab w:leader="none" w:pos="8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directly to purchasers;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through agents;</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through underwriters; and</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through dealers.</w:t>
      </w:r>
    </w:p>
    <w:p>
      <w:pPr>
        <w:spacing w:after="0" w:line="281" w:lineRule="exact"/>
        <w:rPr>
          <w:sz w:val="20"/>
          <w:szCs w:val="20"/>
          <w:color w:val="auto"/>
        </w:rPr>
      </w:pPr>
    </w:p>
    <w:p>
      <w:pPr>
        <w:ind w:right="80" w:firstLine="318"/>
        <w:spacing w:after="0" w:line="315" w:lineRule="auto"/>
        <w:rPr>
          <w:sz w:val="20"/>
          <w:szCs w:val="20"/>
          <w:color w:val="auto"/>
        </w:rPr>
      </w:pPr>
      <w:r>
        <w:rPr>
          <w:rFonts w:ascii="Arial" w:cs="Arial" w:eastAsia="Arial" w:hAnsi="Arial"/>
          <w:sz w:val="15"/>
          <w:szCs w:val="15"/>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9" w:lineRule="exact"/>
        <w:rPr>
          <w:sz w:val="20"/>
          <w:szCs w:val="20"/>
          <w:color w:val="auto"/>
        </w:rPr>
      </w:pPr>
    </w:p>
    <w:p>
      <w:pPr>
        <w:ind w:right="180" w:firstLine="318"/>
        <w:spacing w:after="0" w:line="356" w:lineRule="auto"/>
        <w:rPr>
          <w:sz w:val="20"/>
          <w:szCs w:val="20"/>
          <w:color w:val="auto"/>
        </w:rPr>
      </w:pPr>
      <w:r>
        <w:rPr>
          <w:rFonts w:ascii="Arial" w:cs="Arial" w:eastAsia="Arial" w:hAnsi="Arial"/>
          <w:sz w:val="15"/>
          <w:szCs w:val="15"/>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150"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96" w:lineRule="exact"/>
        <w:rPr>
          <w:sz w:val="20"/>
          <w:szCs w:val="20"/>
          <w:color w:val="auto"/>
        </w:rPr>
      </w:pPr>
    </w:p>
    <w:p>
      <w:pPr>
        <w:ind w:right="180" w:firstLine="318"/>
        <w:spacing w:after="0" w:line="273" w:lineRule="auto"/>
        <w:rPr>
          <w:sz w:val="20"/>
          <w:szCs w:val="20"/>
          <w:color w:val="auto"/>
        </w:rPr>
      </w:pPr>
      <w:r>
        <w:rPr>
          <w:rFonts w:ascii="Arial" w:cs="Arial" w:eastAsia="Arial" w:hAnsi="Arial"/>
          <w:sz w:val="17"/>
          <w:szCs w:val="17"/>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206"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218" w:lineRule="exact"/>
        <w:rPr>
          <w:sz w:val="20"/>
          <w:szCs w:val="20"/>
          <w:color w:val="auto"/>
        </w:rPr>
      </w:pPr>
    </w:p>
    <w:p>
      <w:pPr>
        <w:ind w:right="340" w:firstLine="318"/>
        <w:spacing w:after="0" w:line="286" w:lineRule="auto"/>
        <w:rPr>
          <w:sz w:val="20"/>
          <w:szCs w:val="20"/>
          <w:color w:val="auto"/>
        </w:rPr>
      </w:pPr>
      <w:r>
        <w:rPr>
          <w:rFonts w:ascii="Arial" w:cs="Arial" w:eastAsia="Arial" w:hAnsi="Arial"/>
          <w:sz w:val="17"/>
          <w:szCs w:val="17"/>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60" w:lineRule="exact"/>
        <w:rPr>
          <w:sz w:val="20"/>
          <w:szCs w:val="20"/>
          <w:color w:val="auto"/>
        </w:rPr>
      </w:pPr>
    </w:p>
    <w:p>
      <w:pPr>
        <w:ind w:right="160" w:firstLine="318"/>
        <w:spacing w:after="0" w:line="268" w:lineRule="auto"/>
        <w:rPr>
          <w:sz w:val="20"/>
          <w:szCs w:val="20"/>
          <w:color w:val="auto"/>
        </w:rPr>
      </w:pPr>
      <w:r>
        <w:rPr>
          <w:rFonts w:ascii="Arial" w:cs="Arial" w:eastAsia="Arial" w:hAnsi="Arial"/>
          <w:sz w:val="17"/>
          <w:szCs w:val="17"/>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w:t>
      </w:r>
    </w:p>
    <w:p>
      <w:pPr>
        <w:spacing w:after="0" w:line="260"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The financial statements and the related financial statement schedule incorporated in this prospectus by reference from Comcast’s Annual Report on Form 10-K for the year ended December 31, 2002, have been audited by Deloitte &amp; 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which are incorporated herein by reference, and have been so incorporated in reliance upon the reports of such firm given upon their authority as experts in accounting and auditing.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AT&amp;T Broadband Group</w:t>
      </w:r>
    </w:p>
    <w:p>
      <w:pPr>
        <w:spacing w:after="0" w:line="260" w:lineRule="exact"/>
        <w:rPr>
          <w:sz w:val="20"/>
          <w:szCs w:val="20"/>
          <w:color w:val="auto"/>
        </w:rPr>
      </w:pPr>
    </w:p>
    <w:p>
      <w:pPr>
        <w:ind w:right="160" w:firstLine="318"/>
        <w:spacing w:after="0" w:line="273" w:lineRule="auto"/>
        <w:rPr>
          <w:sz w:val="20"/>
          <w:szCs w:val="20"/>
          <w:color w:val="auto"/>
        </w:rPr>
      </w:pPr>
      <w:r>
        <w:rPr>
          <w:rFonts w:ascii="Arial" w:cs="Arial" w:eastAsia="Arial" w:hAnsi="Arial"/>
          <w:sz w:val="17"/>
          <w:szCs w:val="17"/>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AVAILABLE INFORMATION</w:t>
      </w:r>
    </w:p>
    <w:p>
      <w:pPr>
        <w:spacing w:after="0" w:line="260" w:lineRule="exact"/>
        <w:rPr>
          <w:sz w:val="20"/>
          <w:szCs w:val="20"/>
          <w:color w:val="auto"/>
        </w:rPr>
      </w:pPr>
    </w:p>
    <w:p>
      <w:pPr>
        <w:ind w:right="100" w:firstLine="318"/>
        <w:spacing w:after="0" w:line="282"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202" w:lineRule="exact"/>
        <w:rPr>
          <w:sz w:val="20"/>
          <w:szCs w:val="20"/>
          <w:color w:val="auto"/>
        </w:rPr>
      </w:pPr>
    </w:p>
    <w:p>
      <w:pPr>
        <w:ind w:right="120" w:firstLine="318"/>
        <w:spacing w:after="0" w:line="284" w:lineRule="auto"/>
        <w:rPr>
          <w:sz w:val="20"/>
          <w:szCs w:val="20"/>
          <w:color w:val="auto"/>
        </w:rPr>
      </w:pPr>
      <w:r>
        <w:rPr>
          <w:rFonts w:ascii="Arial" w:cs="Arial" w:eastAsia="Arial" w:hAnsi="Arial"/>
          <w:sz w:val="16"/>
          <w:szCs w:val="16"/>
          <w:color w:val="auto"/>
        </w:rPr>
        <w:t xml:space="preserve">Comcast Cable Communications Holdings, Comcast Cable, Comcast Cable Holdings, Comcast MO Group and Comcast MO of Delaware do not currently file information with the SEC. We file annual, quarterly and special reports and other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450 Fifth Street, N.W.,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202" w:lineRule="exact"/>
        <w:rPr>
          <w:sz w:val="20"/>
          <w:szCs w:val="20"/>
          <w:color w:val="auto"/>
        </w:rPr>
      </w:pPr>
    </w:p>
    <w:p>
      <w:pPr>
        <w:ind w:firstLine="318"/>
        <w:spacing w:after="0" w:line="315" w:lineRule="auto"/>
        <w:rPr>
          <w:sz w:val="20"/>
          <w:szCs w:val="20"/>
          <w:color w:val="auto"/>
        </w:rPr>
      </w:pPr>
      <w:r>
        <w:rPr>
          <w:rFonts w:ascii="Arial" w:cs="Arial" w:eastAsia="Arial" w:hAnsi="Arial"/>
          <w:sz w:val="15"/>
          <w:szCs w:val="15"/>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INCORPORATION OF CERTAIN DOCUMENTS BY REFERENCE</w:t>
      </w:r>
    </w:p>
    <w:p>
      <w:pPr>
        <w:spacing w:after="0" w:line="260" w:lineRule="exact"/>
        <w:rPr>
          <w:sz w:val="20"/>
          <w:szCs w:val="20"/>
          <w:color w:val="auto"/>
        </w:rPr>
      </w:pPr>
    </w:p>
    <w:p>
      <w:pPr>
        <w:jc w:val="both"/>
        <w:ind w:right="40" w:firstLine="318"/>
        <w:spacing w:after="0" w:line="297"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This prospectus incorporates by reference the documents set forth below that we have previously filed with the SEC.</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Comcast SEC Filings (File No. 000-50093)</w:t>
      </w:r>
    </w:p>
    <w:p>
      <w:pPr>
        <w:spacing w:after="0" w:line="228" w:lineRule="exact"/>
        <w:rPr>
          <w:sz w:val="20"/>
          <w:szCs w:val="20"/>
          <w:color w:val="auto"/>
        </w:rPr>
      </w:pPr>
    </w:p>
    <w:p>
      <w:pPr>
        <w:ind w:left="820" w:hanging="470"/>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Annual Report on Form 10-K for the year ended December 31, 2002, filed on March 20, 2003.</w:t>
      </w:r>
    </w:p>
    <w:p>
      <w:pPr>
        <w:spacing w:after="0" w:line="280" w:lineRule="exact"/>
        <w:rPr>
          <w:rFonts w:ascii="Arial" w:cs="Arial" w:eastAsia="Arial" w:hAnsi="Arial"/>
          <w:sz w:val="17"/>
          <w:szCs w:val="17"/>
          <w:color w:val="auto"/>
        </w:rPr>
      </w:pPr>
    </w:p>
    <w:p>
      <w:pPr>
        <w:ind w:left="820" w:hanging="470"/>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Current Reports on Form 8-K, filed on January 10, 2003, February 5, 2003 and March 6, 2003.</w:t>
      </w:r>
    </w:p>
    <w:p>
      <w:pPr>
        <w:spacing w:after="0" w:line="280" w:lineRule="exact"/>
        <w:rPr>
          <w:rFonts w:ascii="Arial" w:cs="Arial" w:eastAsia="Arial" w:hAnsi="Arial"/>
          <w:sz w:val="17"/>
          <w:szCs w:val="17"/>
          <w:color w:val="auto"/>
        </w:rPr>
      </w:pPr>
    </w:p>
    <w:p>
      <w:pPr>
        <w:ind w:left="820" w:right="260" w:hanging="470"/>
        <w:spacing w:after="0" w:line="286" w:lineRule="auto"/>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description of our capital stock incorporated in our Current Report on Form 8-K12G3 and Registration Statement on Form 8-A12G, each filed on November 18, 2002, as the same may be amended from time to time.</w:t>
      </w:r>
    </w:p>
    <w:p>
      <w:pPr>
        <w:spacing w:after="0" w:line="195" w:lineRule="exact"/>
        <w:rPr>
          <w:rFonts w:ascii="Arial" w:cs="Arial" w:eastAsia="Arial" w:hAnsi="Arial"/>
          <w:sz w:val="17"/>
          <w:szCs w:val="17"/>
          <w:color w:val="auto"/>
        </w:rPr>
      </w:pPr>
    </w:p>
    <w:p>
      <w:pPr>
        <w:ind w:left="820" w:hanging="470"/>
        <w:spacing w:after="0"/>
        <w:tabs>
          <w:tab w:leader="none" w:pos="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Exhibits 99.6 and 99.7 to the Current Report on Form 8-K/ A dated November 18, 2002 filed on December 16, 2002.</w:t>
      </w:r>
    </w:p>
    <w:p>
      <w:pPr>
        <w:spacing w:after="0" w:line="281" w:lineRule="exact"/>
        <w:rPr>
          <w:sz w:val="20"/>
          <w:szCs w:val="20"/>
          <w:color w:val="auto"/>
        </w:rPr>
      </w:pPr>
    </w:p>
    <w:p>
      <w:pPr>
        <w:ind w:firstLine="318"/>
        <w:spacing w:after="0" w:line="268"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212" w:lineRule="exact"/>
        <w:rPr>
          <w:sz w:val="20"/>
          <w:szCs w:val="20"/>
          <w:color w:val="auto"/>
        </w:rPr>
      </w:pPr>
    </w:p>
    <w:p>
      <w:pPr>
        <w:ind w:right="120" w:firstLine="318"/>
        <w:spacing w:after="0" w:line="286" w:lineRule="auto"/>
        <w:rPr>
          <w:sz w:val="20"/>
          <w:szCs w:val="20"/>
          <w:color w:val="auto"/>
        </w:rPr>
      </w:pPr>
      <w:r>
        <w:rPr>
          <w:rFonts w:ascii="Arial" w:cs="Arial" w:eastAsia="Arial" w:hAnsi="Arial"/>
          <w:sz w:val="17"/>
          <w:szCs w:val="17"/>
          <w:color w:val="auto"/>
        </w:rPr>
        <w:t>We will provide free copies of any of those documents, if you write or telephone us at: 1500 Market Street, Philadelphia, Pennsylvania 19102-2148, (215) 665-1700.</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198755</wp:posOffset>
            </wp:positionV>
            <wp:extent cx="724916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232410</wp:posOffset>
            </wp:positionV>
            <wp:extent cx="7249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2926715</wp:posOffset>
            </wp:positionH>
            <wp:positionV relativeFrom="paragraph">
              <wp:posOffset>333375</wp:posOffset>
            </wp:positionV>
            <wp:extent cx="1410970" cy="361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0970"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Arial" w:cs="Arial" w:eastAsia="Arial" w:hAnsi="Arial"/>
          <w:sz w:val="28"/>
          <w:szCs w:val="28"/>
          <w:b w:val="1"/>
          <w:bCs w:val="1"/>
          <w:color w:val="auto"/>
        </w:rPr>
        <w:t>$750,000,000 4.95% Notes due 2016</w:t>
      </w:r>
    </w:p>
    <w:p>
      <w:pPr>
        <w:spacing w:after="0" w:line="41" w:lineRule="exact"/>
        <w:rPr>
          <w:sz w:val="20"/>
          <w:szCs w:val="20"/>
          <w:color w:val="auto"/>
        </w:rPr>
      </w:pPr>
    </w:p>
    <w:p>
      <w:pPr>
        <w:ind w:left="3580"/>
        <w:spacing w:after="0"/>
        <w:rPr>
          <w:sz w:val="20"/>
          <w:szCs w:val="20"/>
          <w:color w:val="auto"/>
        </w:rPr>
      </w:pPr>
      <w:r>
        <w:rPr>
          <w:rFonts w:ascii="Arial" w:cs="Arial" w:eastAsia="Arial" w:hAnsi="Arial"/>
          <w:sz w:val="28"/>
          <w:szCs w:val="28"/>
          <w:b w:val="1"/>
          <w:bCs w:val="1"/>
          <w:color w:val="auto"/>
        </w:rPr>
        <w:t>$750,000,000 5.65% Notes due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375285</wp:posOffset>
            </wp:positionV>
            <wp:extent cx="3049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14605</wp:posOffset>
            </wp:positionV>
            <wp:extent cx="3049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40" w:type="dxa"/>
            <w:vAlign w:val="bottom"/>
            <w:shd w:val="clear" w:color="auto" w:fill="CCEEFF"/>
          </w:tcPr>
          <w:p>
            <w:pPr>
              <w:ind w:left="1360"/>
              <w:spacing w:after="0"/>
              <w:rPr>
                <w:sz w:val="20"/>
                <w:szCs w:val="20"/>
                <w:color w:val="auto"/>
              </w:rPr>
            </w:pPr>
            <w:r>
              <w:rPr>
                <w:rFonts w:ascii="Arial" w:cs="Arial" w:eastAsia="Arial" w:hAnsi="Arial"/>
                <w:sz w:val="23"/>
                <w:szCs w:val="23"/>
                <w:b w:val="1"/>
                <w:bCs w:val="1"/>
                <w:color w:val="auto"/>
              </w:rPr>
              <w:t>Citigroup</w:t>
            </w:r>
          </w:p>
        </w:tc>
        <w:tc>
          <w:tcPr>
            <w:tcW w:w="3540" w:type="dxa"/>
            <w:vAlign w:val="bottom"/>
            <w:shd w:val="clear" w:color="auto" w:fill="CCEEFF"/>
          </w:tcPr>
          <w:p>
            <w:pPr>
              <w:ind w:left="1260"/>
              <w:spacing w:after="0"/>
              <w:rPr>
                <w:sz w:val="20"/>
                <w:szCs w:val="20"/>
                <w:color w:val="auto"/>
              </w:rPr>
            </w:pPr>
            <w:r>
              <w:rPr>
                <w:rFonts w:ascii="Arial" w:cs="Arial" w:eastAsia="Arial" w:hAnsi="Arial"/>
                <w:sz w:val="23"/>
                <w:szCs w:val="23"/>
                <w:b w:val="1"/>
                <w:bCs w:val="1"/>
                <w:color w:val="auto"/>
              </w:rPr>
              <w:t>Lehman Brothers</w:t>
            </w:r>
          </w:p>
        </w:tc>
        <w:tc>
          <w:tcPr>
            <w:tcW w:w="3940" w:type="dxa"/>
            <w:vAlign w:val="bottom"/>
            <w:shd w:val="clear" w:color="auto" w:fill="CCEEFF"/>
          </w:tcPr>
          <w:p>
            <w:pPr>
              <w:ind w:left="1680"/>
              <w:spacing w:after="0"/>
              <w:rPr>
                <w:sz w:val="20"/>
                <w:szCs w:val="20"/>
                <w:color w:val="auto"/>
              </w:rPr>
            </w:pPr>
            <w:r>
              <w:rPr>
                <w:rFonts w:ascii="Arial" w:cs="Arial" w:eastAsia="Arial" w:hAnsi="Arial"/>
                <w:sz w:val="23"/>
                <w:szCs w:val="23"/>
                <w:b w:val="1"/>
                <w:bCs w:val="1"/>
                <w:color w:val="auto"/>
              </w:rPr>
              <w:t>Morgan Stanley</w:t>
            </w:r>
          </w:p>
        </w:tc>
      </w:tr>
      <w:tr>
        <w:trPr>
          <w:trHeight w:val="159"/>
        </w:trPr>
        <w:tc>
          <w:tcPr>
            <w:tcW w:w="3940" w:type="dxa"/>
            <w:vAlign w:val="bottom"/>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3940" w:type="dxa"/>
            <w:vAlign w:val="bottom"/>
          </w:tcPr>
          <w:p>
            <w:pPr>
              <w:spacing w:after="0"/>
              <w:rPr>
                <w:sz w:val="13"/>
                <w:szCs w:val="13"/>
                <w:color w:val="auto"/>
              </w:rPr>
            </w:pPr>
          </w:p>
        </w:tc>
      </w:tr>
      <w:tr>
        <w:trPr>
          <w:trHeight w:val="394"/>
        </w:trPr>
        <w:tc>
          <w:tcPr>
            <w:tcW w:w="3940" w:type="dxa"/>
            <w:vAlign w:val="bottom"/>
          </w:tcPr>
          <w:p>
            <w:pPr>
              <w:jc w:val="center"/>
              <w:ind w:right="743"/>
              <w:spacing w:after="0"/>
              <w:rPr>
                <w:sz w:val="20"/>
                <w:szCs w:val="20"/>
                <w:color w:val="auto"/>
              </w:rPr>
            </w:pPr>
            <w:r>
              <w:rPr>
                <w:rFonts w:ascii="Arial" w:cs="Arial" w:eastAsia="Arial" w:hAnsi="Arial"/>
                <w:sz w:val="19"/>
                <w:szCs w:val="19"/>
                <w:b w:val="1"/>
                <w:bCs w:val="1"/>
                <w:color w:val="auto"/>
                <w:w w:val="98"/>
              </w:rPr>
              <w:t>ABN AMRO Incorporated</w:t>
            </w:r>
          </w:p>
        </w:tc>
        <w:tc>
          <w:tcPr>
            <w:tcW w:w="3540" w:type="dxa"/>
            <w:vAlign w:val="bottom"/>
          </w:tcPr>
          <w:p>
            <w:pPr>
              <w:jc w:val="center"/>
              <w:spacing w:after="0"/>
              <w:rPr>
                <w:sz w:val="20"/>
                <w:szCs w:val="20"/>
                <w:color w:val="auto"/>
              </w:rPr>
            </w:pPr>
            <w:r>
              <w:rPr>
                <w:rFonts w:ascii="Arial" w:cs="Arial" w:eastAsia="Arial" w:hAnsi="Arial"/>
                <w:sz w:val="19"/>
                <w:szCs w:val="19"/>
                <w:b w:val="1"/>
                <w:bCs w:val="1"/>
                <w:color w:val="auto"/>
                <w:w w:val="93"/>
              </w:rPr>
              <w:t>Banc of America Securities LLC</w:t>
            </w:r>
          </w:p>
        </w:tc>
        <w:tc>
          <w:tcPr>
            <w:tcW w:w="3940" w:type="dxa"/>
            <w:vAlign w:val="bottom"/>
          </w:tcPr>
          <w:p>
            <w:pPr>
              <w:jc w:val="center"/>
              <w:ind w:left="663"/>
              <w:spacing w:after="0"/>
              <w:rPr>
                <w:sz w:val="20"/>
                <w:szCs w:val="20"/>
                <w:color w:val="auto"/>
              </w:rPr>
            </w:pPr>
            <w:r>
              <w:rPr>
                <w:rFonts w:ascii="Arial" w:cs="Arial" w:eastAsia="Arial" w:hAnsi="Arial"/>
                <w:sz w:val="19"/>
                <w:szCs w:val="19"/>
                <w:b w:val="1"/>
                <w:bCs w:val="1"/>
                <w:color w:val="auto"/>
                <w:w w:val="93"/>
              </w:rPr>
              <w:t>Barclays Capital</w:t>
            </w:r>
          </w:p>
        </w:tc>
      </w:tr>
      <w:tr>
        <w:trPr>
          <w:trHeight w:val="225"/>
        </w:trPr>
        <w:tc>
          <w:tcPr>
            <w:tcW w:w="3940" w:type="dxa"/>
            <w:vAlign w:val="bottom"/>
          </w:tcPr>
          <w:p>
            <w:pPr>
              <w:jc w:val="center"/>
              <w:ind w:right="723"/>
              <w:spacing w:after="0"/>
              <w:rPr>
                <w:sz w:val="20"/>
                <w:szCs w:val="20"/>
                <w:color w:val="auto"/>
              </w:rPr>
            </w:pPr>
            <w:r>
              <w:rPr>
                <w:rFonts w:ascii="Arial" w:cs="Arial" w:eastAsia="Arial" w:hAnsi="Arial"/>
                <w:sz w:val="19"/>
                <w:szCs w:val="19"/>
                <w:b w:val="1"/>
                <w:bCs w:val="1"/>
                <w:color w:val="auto"/>
                <w:w w:val="97"/>
              </w:rPr>
              <w:t>BNP PARIBAS</w:t>
            </w:r>
          </w:p>
        </w:tc>
        <w:tc>
          <w:tcPr>
            <w:tcW w:w="3540" w:type="dxa"/>
            <w:vAlign w:val="bottom"/>
          </w:tcPr>
          <w:p>
            <w:pPr>
              <w:jc w:val="center"/>
              <w:spacing w:after="0"/>
              <w:rPr>
                <w:sz w:val="20"/>
                <w:szCs w:val="20"/>
                <w:color w:val="auto"/>
              </w:rPr>
            </w:pPr>
            <w:r>
              <w:rPr>
                <w:rFonts w:ascii="Arial" w:cs="Arial" w:eastAsia="Arial" w:hAnsi="Arial"/>
                <w:sz w:val="19"/>
                <w:szCs w:val="19"/>
                <w:b w:val="1"/>
                <w:bCs w:val="1"/>
                <w:color w:val="auto"/>
                <w:w w:val="97"/>
              </w:rPr>
              <w:t>BNY Capital Markets, Inc.</w:t>
            </w:r>
          </w:p>
        </w:tc>
        <w:tc>
          <w:tcPr>
            <w:tcW w:w="3940" w:type="dxa"/>
            <w:vAlign w:val="bottom"/>
          </w:tcPr>
          <w:p>
            <w:pPr>
              <w:jc w:val="center"/>
              <w:ind w:left="663"/>
              <w:spacing w:after="0"/>
              <w:rPr>
                <w:sz w:val="20"/>
                <w:szCs w:val="20"/>
                <w:color w:val="auto"/>
              </w:rPr>
            </w:pPr>
            <w:r>
              <w:rPr>
                <w:rFonts w:ascii="Arial" w:cs="Arial" w:eastAsia="Arial" w:hAnsi="Arial"/>
                <w:sz w:val="19"/>
                <w:szCs w:val="19"/>
                <w:b w:val="1"/>
                <w:bCs w:val="1"/>
                <w:color w:val="auto"/>
                <w:w w:val="89"/>
              </w:rPr>
              <w:t>Credit Suisse First Boston</w:t>
            </w:r>
          </w:p>
        </w:tc>
      </w:tr>
      <w:tr>
        <w:trPr>
          <w:trHeight w:val="225"/>
        </w:trPr>
        <w:tc>
          <w:tcPr>
            <w:tcW w:w="3940" w:type="dxa"/>
            <w:vAlign w:val="bottom"/>
          </w:tcPr>
          <w:p>
            <w:pPr>
              <w:jc w:val="center"/>
              <w:ind w:right="743"/>
              <w:spacing w:after="0"/>
              <w:rPr>
                <w:sz w:val="20"/>
                <w:szCs w:val="20"/>
                <w:color w:val="auto"/>
              </w:rPr>
            </w:pPr>
            <w:r>
              <w:rPr>
                <w:rFonts w:ascii="Arial" w:cs="Arial" w:eastAsia="Arial" w:hAnsi="Arial"/>
                <w:sz w:val="19"/>
                <w:szCs w:val="19"/>
                <w:b w:val="1"/>
                <w:bCs w:val="1"/>
                <w:color w:val="auto"/>
                <w:w w:val="89"/>
              </w:rPr>
              <w:t>Deutsche Bank Securities</w:t>
            </w:r>
          </w:p>
        </w:tc>
        <w:tc>
          <w:tcPr>
            <w:tcW w:w="3540" w:type="dxa"/>
            <w:vAlign w:val="bottom"/>
          </w:tcPr>
          <w:p>
            <w:pPr>
              <w:jc w:val="center"/>
              <w:spacing w:after="0"/>
              <w:rPr>
                <w:sz w:val="20"/>
                <w:szCs w:val="20"/>
                <w:color w:val="auto"/>
              </w:rPr>
            </w:pPr>
            <w:r>
              <w:rPr>
                <w:rFonts w:ascii="Arial" w:cs="Arial" w:eastAsia="Arial" w:hAnsi="Arial"/>
                <w:sz w:val="19"/>
                <w:szCs w:val="19"/>
                <w:b w:val="1"/>
                <w:bCs w:val="1"/>
                <w:color w:val="auto"/>
                <w:w w:val="92"/>
              </w:rPr>
              <w:t>Dresdner Kleinwort Wasserstein</w:t>
            </w:r>
          </w:p>
        </w:tc>
        <w:tc>
          <w:tcPr>
            <w:tcW w:w="3940" w:type="dxa"/>
            <w:vAlign w:val="bottom"/>
          </w:tcPr>
          <w:p>
            <w:pPr>
              <w:jc w:val="center"/>
              <w:ind w:left="643"/>
              <w:spacing w:after="0"/>
              <w:rPr>
                <w:sz w:val="20"/>
                <w:szCs w:val="20"/>
                <w:color w:val="auto"/>
              </w:rPr>
            </w:pPr>
            <w:r>
              <w:rPr>
                <w:rFonts w:ascii="Arial" w:cs="Arial" w:eastAsia="Arial" w:hAnsi="Arial"/>
                <w:sz w:val="19"/>
                <w:szCs w:val="19"/>
                <w:b w:val="1"/>
                <w:bCs w:val="1"/>
                <w:color w:val="auto"/>
                <w:w w:val="95"/>
              </w:rPr>
              <w:t>JPMorgan</w:t>
            </w:r>
          </w:p>
        </w:tc>
      </w:tr>
      <w:tr>
        <w:trPr>
          <w:trHeight w:val="225"/>
        </w:trPr>
        <w:tc>
          <w:tcPr>
            <w:tcW w:w="3940" w:type="dxa"/>
            <w:vAlign w:val="bottom"/>
          </w:tcPr>
          <w:p>
            <w:pPr>
              <w:jc w:val="center"/>
              <w:ind w:right="743"/>
              <w:spacing w:after="0"/>
              <w:rPr>
                <w:sz w:val="20"/>
                <w:szCs w:val="20"/>
                <w:color w:val="auto"/>
              </w:rPr>
            </w:pPr>
            <w:r>
              <w:rPr>
                <w:rFonts w:ascii="Arial" w:cs="Arial" w:eastAsia="Arial" w:hAnsi="Arial"/>
                <w:sz w:val="19"/>
                <w:szCs w:val="19"/>
                <w:b w:val="1"/>
                <w:bCs w:val="1"/>
                <w:color w:val="auto"/>
                <w:w w:val="97"/>
              </w:rPr>
              <w:t>Lazard Capital Markets</w:t>
            </w:r>
          </w:p>
        </w:tc>
        <w:tc>
          <w:tcPr>
            <w:tcW w:w="3540" w:type="dxa"/>
            <w:vAlign w:val="bottom"/>
          </w:tcPr>
          <w:p>
            <w:pPr>
              <w:jc w:val="center"/>
              <w:spacing w:after="0"/>
              <w:rPr>
                <w:sz w:val="20"/>
                <w:szCs w:val="20"/>
                <w:color w:val="auto"/>
              </w:rPr>
            </w:pPr>
            <w:r>
              <w:rPr>
                <w:rFonts w:ascii="Arial" w:cs="Arial" w:eastAsia="Arial" w:hAnsi="Arial"/>
                <w:sz w:val="19"/>
                <w:szCs w:val="19"/>
                <w:b w:val="1"/>
                <w:bCs w:val="1"/>
                <w:color w:val="auto"/>
                <w:w w:val="99"/>
              </w:rPr>
              <w:t>Merrill Lynch &amp; Co.</w:t>
            </w:r>
          </w:p>
        </w:tc>
        <w:tc>
          <w:tcPr>
            <w:tcW w:w="3940" w:type="dxa"/>
            <w:vAlign w:val="bottom"/>
          </w:tcPr>
          <w:p>
            <w:pPr>
              <w:jc w:val="center"/>
              <w:ind w:left="663"/>
              <w:spacing w:after="0"/>
              <w:rPr>
                <w:sz w:val="20"/>
                <w:szCs w:val="20"/>
                <w:color w:val="auto"/>
              </w:rPr>
            </w:pPr>
            <w:r>
              <w:rPr>
                <w:rFonts w:ascii="Arial" w:cs="Arial" w:eastAsia="Arial" w:hAnsi="Arial"/>
                <w:sz w:val="19"/>
                <w:szCs w:val="19"/>
                <w:b w:val="1"/>
                <w:bCs w:val="1"/>
                <w:color w:val="auto"/>
                <w:w w:val="93"/>
              </w:rPr>
              <w:t>RBS Greenwich Capital</w:t>
            </w:r>
          </w:p>
        </w:tc>
      </w:tr>
      <w:tr>
        <w:trPr>
          <w:trHeight w:val="253"/>
        </w:trPr>
        <w:tc>
          <w:tcPr>
            <w:tcW w:w="3940" w:type="dxa"/>
            <w:vAlign w:val="bottom"/>
          </w:tcPr>
          <w:p>
            <w:pPr>
              <w:jc w:val="center"/>
              <w:ind w:right="723"/>
              <w:spacing w:after="0"/>
              <w:rPr>
                <w:sz w:val="20"/>
                <w:szCs w:val="20"/>
                <w:color w:val="auto"/>
              </w:rPr>
            </w:pPr>
            <w:r>
              <w:rPr>
                <w:rFonts w:ascii="Arial" w:cs="Arial" w:eastAsia="Arial" w:hAnsi="Arial"/>
                <w:sz w:val="19"/>
                <w:szCs w:val="19"/>
                <w:b w:val="1"/>
                <w:bCs w:val="1"/>
                <w:color w:val="auto"/>
                <w:w w:val="92"/>
              </w:rPr>
              <w:t>SunTrust Robinson Humphrey</w:t>
            </w:r>
          </w:p>
        </w:tc>
        <w:tc>
          <w:tcPr>
            <w:tcW w:w="3540" w:type="dxa"/>
            <w:vAlign w:val="bottom"/>
          </w:tcPr>
          <w:p>
            <w:pPr>
              <w:jc w:val="center"/>
              <w:spacing w:after="0"/>
              <w:rPr>
                <w:sz w:val="20"/>
                <w:szCs w:val="20"/>
                <w:color w:val="auto"/>
              </w:rPr>
            </w:pPr>
            <w:r>
              <w:rPr>
                <w:rFonts w:ascii="Arial" w:cs="Arial" w:eastAsia="Arial" w:hAnsi="Arial"/>
                <w:sz w:val="19"/>
                <w:szCs w:val="19"/>
                <w:b w:val="1"/>
                <w:bCs w:val="1"/>
                <w:color w:val="auto"/>
                <w:w w:val="93"/>
              </w:rPr>
              <w:t>UBS Investment Bank</w:t>
            </w:r>
          </w:p>
        </w:tc>
        <w:tc>
          <w:tcPr>
            <w:tcW w:w="3940" w:type="dxa"/>
            <w:vAlign w:val="bottom"/>
          </w:tcPr>
          <w:p>
            <w:pPr>
              <w:jc w:val="center"/>
              <w:ind w:left="663"/>
              <w:spacing w:after="0"/>
              <w:rPr>
                <w:sz w:val="20"/>
                <w:szCs w:val="20"/>
                <w:color w:val="auto"/>
              </w:rPr>
            </w:pPr>
            <w:r>
              <w:rPr>
                <w:rFonts w:ascii="Arial" w:cs="Arial" w:eastAsia="Arial" w:hAnsi="Arial"/>
                <w:sz w:val="19"/>
                <w:szCs w:val="19"/>
                <w:b w:val="1"/>
                <w:bCs w:val="1"/>
                <w:color w:val="auto"/>
                <w:w w:val="89"/>
              </w:rPr>
              <w:t>Wachovia Securities</w:t>
            </w:r>
          </w:p>
        </w:tc>
      </w:tr>
      <w:tr>
        <w:trPr>
          <w:trHeight w:val="610"/>
        </w:trPr>
        <w:tc>
          <w:tcPr>
            <w:tcW w:w="3940" w:type="dxa"/>
            <w:vAlign w:val="bottom"/>
          </w:tcPr>
          <w:p>
            <w:pPr>
              <w:ind w:left="1160"/>
              <w:spacing w:after="0"/>
              <w:rPr>
                <w:sz w:val="20"/>
                <w:szCs w:val="20"/>
                <w:color w:val="auto"/>
              </w:rPr>
            </w:pPr>
            <w:r>
              <w:rPr>
                <w:rFonts w:ascii="Arial" w:cs="Arial" w:eastAsia="Arial" w:hAnsi="Arial"/>
                <w:sz w:val="16"/>
                <w:szCs w:val="16"/>
                <w:b w:val="1"/>
                <w:bCs w:val="1"/>
                <w:color w:val="auto"/>
              </w:rPr>
              <w:t>Guzman &amp; Company</w:t>
            </w:r>
          </w:p>
        </w:tc>
        <w:tc>
          <w:tcPr>
            <w:tcW w:w="3540" w:type="dxa"/>
            <w:vAlign w:val="bottom"/>
          </w:tcPr>
          <w:p>
            <w:pPr>
              <w:ind w:left="1280"/>
              <w:spacing w:after="0"/>
              <w:rPr>
                <w:sz w:val="20"/>
                <w:szCs w:val="20"/>
                <w:color w:val="auto"/>
              </w:rPr>
            </w:pPr>
            <w:r>
              <w:rPr>
                <w:rFonts w:ascii="Arial" w:cs="Arial" w:eastAsia="Arial" w:hAnsi="Arial"/>
                <w:sz w:val="16"/>
                <w:szCs w:val="16"/>
                <w:b w:val="1"/>
                <w:bCs w:val="1"/>
                <w:color w:val="auto"/>
              </w:rPr>
              <w:t>Ramirez &amp; Co., Inc.</w:t>
            </w:r>
          </w:p>
        </w:tc>
        <w:tc>
          <w:tcPr>
            <w:tcW w:w="3940" w:type="dxa"/>
            <w:vAlign w:val="bottom"/>
          </w:tcPr>
          <w:p>
            <w:pPr>
              <w:ind w:left="1100"/>
              <w:spacing w:after="0"/>
              <w:rPr>
                <w:sz w:val="20"/>
                <w:szCs w:val="20"/>
                <w:color w:val="auto"/>
              </w:rPr>
            </w:pPr>
            <w:r>
              <w:rPr>
                <w:rFonts w:ascii="Arial" w:cs="Arial" w:eastAsia="Arial" w:hAnsi="Arial"/>
                <w:sz w:val="16"/>
                <w:szCs w:val="16"/>
                <w:b w:val="1"/>
                <w:bCs w:val="1"/>
                <w:color w:val="auto"/>
              </w:rPr>
              <w:t>The Williams Capital Group, L.P.</w:t>
            </w:r>
          </w:p>
        </w:tc>
      </w:tr>
      <w:tr>
        <w:trPr>
          <w:trHeight w:val="588"/>
        </w:trPr>
        <w:tc>
          <w:tcPr>
            <w:tcW w:w="3940" w:type="dxa"/>
            <w:vAlign w:val="bottom"/>
          </w:tcPr>
          <w:p>
            <w:pPr>
              <w:spacing w:after="0"/>
              <w:rPr>
                <w:sz w:val="24"/>
                <w:szCs w:val="24"/>
                <w:color w:val="auto"/>
              </w:rPr>
            </w:pPr>
          </w:p>
        </w:tc>
        <w:tc>
          <w:tcPr>
            <w:tcW w:w="3540" w:type="dxa"/>
            <w:vAlign w:val="bottom"/>
          </w:tcPr>
          <w:p>
            <w:pPr>
              <w:ind w:left="1320"/>
              <w:spacing w:after="0"/>
              <w:rPr>
                <w:sz w:val="20"/>
                <w:szCs w:val="20"/>
                <w:color w:val="auto"/>
              </w:rPr>
            </w:pPr>
            <w:r>
              <w:rPr>
                <w:rFonts w:ascii="Arial" w:cs="Arial" w:eastAsia="Arial" w:hAnsi="Arial"/>
                <w:sz w:val="18"/>
                <w:szCs w:val="18"/>
                <w:color w:val="auto"/>
              </w:rPr>
              <w:t>June 6, 2005</w:t>
            </w:r>
          </w:p>
        </w:tc>
        <w:tc>
          <w:tcPr>
            <w:tcW w:w="3940" w:type="dxa"/>
            <w:vAlign w:val="bottom"/>
          </w:tcPr>
          <w:p>
            <w:pPr>
              <w:spacing w:after="0"/>
              <w:rPr>
                <w:sz w:val="24"/>
                <w:szCs w:val="24"/>
                <w:color w:val="auto"/>
              </w:rPr>
            </w:pPr>
          </w:p>
        </w:tc>
      </w:tr>
      <w:tr>
        <w:trPr>
          <w:trHeight w:val="133"/>
        </w:trPr>
        <w:tc>
          <w:tcPr>
            <w:tcW w:w="394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spacing w:after="0"/>
              <w:rPr>
                <w:sz w:val="11"/>
                <w:szCs w:val="11"/>
                <w:color w:val="auto"/>
              </w:rPr>
            </w:pPr>
          </w:p>
        </w:tc>
      </w:tr>
      <w:tr>
        <w:trPr>
          <w:trHeight w:val="39"/>
        </w:trPr>
        <w:tc>
          <w:tcPr>
            <w:tcW w:w="3940" w:type="dxa"/>
            <w:vAlign w:val="bottom"/>
            <w:tcBorders>
              <w:bottom w:val="single" w:sz="8" w:color="auto"/>
            </w:tcBorders>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r>
    </w:tbl>
    <w:p>
      <w:pPr>
        <w:spacing w:after="0" w:line="1" w:lineRule="exact"/>
        <w:rPr>
          <w:sz w:val="20"/>
          <w:szCs w:val="20"/>
          <w:color w:val="auto"/>
        </w:rPr>
      </w:pPr>
    </w:p>
    <w:sectPr>
      <w:pgSz w:w="11900" w:h="16838" w:orient="portrait"/>
      <w:cols w:equalWidth="0" w:num="1">
        <w:col w:w="11420"/>
      </w:cols>
      <w:pgMar w:left="240" w:top="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
      <w:numFmt w:val="bullet"/>
      <w:start w:val="1"/>
    </w:lvl>
    <w:lvl w:ilvl="1">
      <w:lvlJc w:val="left"/>
      <w:lvlText w:val="•"/>
      <w:numFmt w:val="bullet"/>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lvl w:ilvl="1">
      <w:lvlJc w:val="left"/>
      <w:lvlText w:val="•"/>
      <w:numFmt w:val="bullet"/>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2"/>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o"/>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o"/>
      <w:numFmt w:val="bullet"/>
      <w:start w:val="1"/>
    </w:lvl>
  </w:abstractNum>
  <w:abstractNum w:abstractNumId="27">
    <w:nsid w:val="6A2342EC"/>
    <w:multiLevelType w:val="hybridMultilevel"/>
    <w:lvl w:ilvl="0">
      <w:lvlJc w:val="left"/>
      <w:lvlText w:val="•"/>
      <w:numFmt w:val="bullet"/>
      <w:start w:val="1"/>
    </w:lvl>
    <w:lvl w:ilvl="1">
      <w:lvlJc w:val="left"/>
      <w:lvlText w:val="o"/>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lvl w:ilvl="1">
      <w:lvlJc w:val="left"/>
      <w:lvlText w:val="•"/>
      <w:numFmt w:val="bullet"/>
      <w:start w:val="1"/>
    </w:lvl>
  </w:abstractNum>
  <w:abstractNum w:abstractNumId="32">
    <w:nsid w:val="57E4CCAF"/>
    <w:multiLevelType w:val="hybridMultilevel"/>
    <w:lvl w:ilvl="0">
      <w:lvlJc w:val="left"/>
      <w:lvlText w:val="(%1)"/>
      <w:numFmt w:val="decimal"/>
      <w:start w:val="6"/>
    </w:lvl>
    <w:lvl w:ilvl="1">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o"/>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lvl w:ilvl="1">
      <w:lvlJc w:val="left"/>
      <w:lvlText w:val="o"/>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2019-12-16T07:43:31Z</dcterms:created>
  <dcterms:modified xsi:type="dcterms:W3CDTF">2019-12-16T07:43:31Z</dcterms:modified>
</cp:coreProperties>
</file>