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1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-160020</wp:posOffset>
            </wp:positionV>
            <wp:extent cx="762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40" w:type="dxa"/>
            <w:vAlign w:val="bottom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3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5283200</wp:posOffset>
            </wp:positionH>
            <wp:positionV relativeFrom="paragraph">
              <wp:posOffset>-579120</wp:posOffset>
            </wp:positionV>
            <wp:extent cx="7620" cy="5797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-586740</wp:posOffset>
            </wp:positionV>
            <wp:extent cx="7620" cy="5873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-563245</wp:posOffset>
            </wp:positionV>
            <wp:extent cx="1285240" cy="540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-1651000</wp:posOffset>
            </wp:positionH>
            <wp:positionV relativeFrom="paragraph">
              <wp:posOffset>30480</wp:posOffset>
            </wp:positionV>
            <wp:extent cx="6974205" cy="1543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54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980" w:space="620"/>
            <w:col w:w="848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Honickman Jeffrey 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COMCAST CORP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07/31/2020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9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28,685.948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07/31/2020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28,685.948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157,500.948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-2404110</wp:posOffset>
            </wp:positionV>
            <wp:extent cx="7036435" cy="2444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43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convert on a one-to-one basis.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has elected to notionally reinvest previously deferred compensation into another deferred compensation investment plan.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Elizabeth Wideman,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-25400</wp:posOffset>
            </wp:positionV>
            <wp:extent cx="13620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-17780</wp:posOffset>
            </wp:positionV>
            <wp:extent cx="1524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-80010</wp:posOffset>
            </wp:positionV>
            <wp:extent cx="46418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2020-08-04T15:28:25Z</dcterms:created>
  <dcterms:modified xsi:type="dcterms:W3CDTF">2020-08-04T15:28:25Z</dcterms:modified>
</cp:coreProperties>
</file>