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FOR ANNUAL REPORTS OF EMPLOYEE STOCK</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PURCHASE, SAVINGS AND SIMILAR PLANS</w:t>
      </w:r>
    </w:p>
    <w:p>
      <w:pPr>
        <w:spacing w:after="0" w:line="71"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SECTION 15(d) OF THE</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448310</wp:posOffset>
            </wp:positionV>
            <wp:extent cx="253873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74"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77"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Full title of the plan and the address of the plan, if different from that of the issuer named below:</w:t>
      </w:r>
    </w:p>
    <w:p>
      <w:pPr>
        <w:spacing w:after="0" w:line="77" w:lineRule="exact"/>
        <w:rPr>
          <w:sz w:val="24"/>
          <w:szCs w:val="24"/>
          <w:color w:val="auto"/>
        </w:rPr>
      </w:pPr>
    </w:p>
    <w:p>
      <w:pPr>
        <w:ind w:left="2480"/>
        <w:spacing w:after="0"/>
        <w:rPr>
          <w:sz w:val="20"/>
          <w:szCs w:val="20"/>
          <w:color w:val="auto"/>
        </w:rPr>
      </w:pPr>
      <w:r>
        <w:rPr>
          <w:rFonts w:ascii="Arial" w:cs="Arial" w:eastAsia="Arial" w:hAnsi="Arial"/>
          <w:sz w:val="22"/>
          <w:szCs w:val="22"/>
          <w:b w:val="1"/>
          <w:bCs w:val="1"/>
          <w:color w:val="auto"/>
        </w:rPr>
        <w:t>COMCAST CORPORATION RETIREMENT-INVESTMENT PLAN</w:t>
      </w:r>
    </w:p>
    <w:p>
      <w:pPr>
        <w:spacing w:after="0" w:line="84"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of the securities held pursuant to the plan and the address of its principal executive office:</w:t>
      </w:r>
    </w:p>
    <w:p>
      <w:pPr>
        <w:spacing w:after="0" w:line="90"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30" w:right="7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COMCAST CORPORATION RETIREMENT-INVESTMENT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6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9"/>
            <w:vMerge w:val="continue"/>
          </w:tcPr>
          <w:p>
            <w:pPr>
              <w:spacing w:after="0"/>
              <w:rPr>
                <w:sz w:val="13"/>
                <w:szCs w:val="13"/>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6"/>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2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2011 and 2010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Statement of Changes in Net Assets Available for Benefits for the Year Ended December 31, 2011</w:t>
              </w:r>
            </w:hyperlink>
          </w:p>
        </w:tc>
        <w:tc>
          <w:tcPr>
            <w:tcW w:w="352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86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78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Form 5500, Schedule H—Part IV, Line 4i—Schedule of Assets (Held at End of Year) as of December 31, 2011</w:t>
              </w:r>
            </w:hyperlink>
          </w:p>
        </w:tc>
        <w:tc>
          <w:tcPr>
            <w:tcW w:w="26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10-15</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CONSENT OF INDEPENDENT REGISTERED PUBLIC ACCOUNTING FIRM</w:t>
              </w:r>
            </w:hyperlink>
          </w:p>
        </w:tc>
        <w:tc>
          <w:tcPr>
            <w:tcW w:w="504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086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 w:right="1120"/>
        <w:spacing w:after="0" w:line="332" w:lineRule="auto"/>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40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Comcast Corporation Retirement-Investment Plan (the “Plan”) as of December 31, 2011 and 2010, and the related statement of changes in net assets available for benefits for the year ended December 31, 2011.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2011 and 2010, and the changes in net assets available for benefits for the year ended December 31, 2011 in conformity with accounting principles generally accepted in the United States of America.</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year end) as of December 31, 2011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The schedule has been subjected to the auditing procedures applied in our audit of the basic 2011 financial statements and, in our opinion, is fairly stated in all material respects when considered in relation to the basic financial statements taken as a whole.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Participant-directed investments, at fair value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3,311,035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3,160,160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from participants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118,785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Contributions receivable from participants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10,367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receivable from employer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138,904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126,062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ASSETS AVAILABLE FOR BENEFITS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3,450,710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3,286,274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(20,665)</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3,430,045</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3,272,394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 ATTRIBUTED TO:</w:t>
            </w:r>
          </w:p>
        </w:tc>
        <w:tc>
          <w:tcPr>
            <w:tcW w:w="5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Investment income (loss):</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Net appreciation (depreciation) in fair value of investments</w:t>
            </w:r>
          </w:p>
        </w:tc>
        <w:tc>
          <w:tcPr>
            <w:tcW w:w="5240" w:type="dxa"/>
            <w:vAlign w:val="bottom"/>
            <w:gridSpan w:val="2"/>
            <w:shd w:val="clear" w:color="auto" w:fill="CCEEFF"/>
          </w:tcPr>
          <w:p>
            <w:pPr>
              <w:ind w:left="51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5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ind w:left="1280"/>
              <w:spacing w:after="0"/>
              <w:rPr>
                <w:sz w:val="20"/>
                <w:szCs w:val="20"/>
                <w:color w:val="auto"/>
              </w:rPr>
            </w:pPr>
            <w:r>
              <w:rPr>
                <w:rFonts w:ascii="Arial" w:cs="Arial" w:eastAsia="Arial" w:hAnsi="Arial"/>
                <w:sz w:val="18"/>
                <w:szCs w:val="18"/>
                <w:color w:val="auto"/>
              </w:rPr>
              <w:t>Net investment income (loss)</w:t>
            </w: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(17,591)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Participant</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Rollover</w:t>
            </w:r>
          </w:p>
        </w:tc>
        <w:tc>
          <w:tcPr>
            <w:tcW w:w="5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contributions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litigation settlements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additions, net</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419,142</w:t>
            </w:r>
          </w:p>
        </w:tc>
        <w:tc>
          <w:tcPr>
            <w:tcW w:w="0" w:type="dxa"/>
            <w:vAlign w:val="bottom"/>
          </w:tcPr>
          <w:p>
            <w:pPr>
              <w:spacing w:after="0"/>
              <w:rPr>
                <w:sz w:val="1"/>
                <w:szCs w:val="1"/>
                <w:color w:val="auto"/>
              </w:rPr>
            </w:pPr>
          </w:p>
        </w:tc>
      </w:tr>
      <w:tr>
        <w:trPr>
          <w:trHeight w:val="323"/>
        </w:trPr>
        <w:tc>
          <w:tcPr>
            <w:tcW w:w="5360" w:type="dxa"/>
            <w:vAlign w:val="bottom"/>
            <w:gridSpan w:val="2"/>
          </w:tcPr>
          <w:p>
            <w:pPr>
              <w:spacing w:after="0"/>
              <w:rPr>
                <w:sz w:val="20"/>
                <w:szCs w:val="20"/>
                <w:color w:val="auto"/>
              </w:rPr>
            </w:pPr>
            <w:r>
              <w:rPr>
                <w:rFonts w:ascii="Arial" w:cs="Arial" w:eastAsia="Arial" w:hAnsi="Arial"/>
                <w:sz w:val="18"/>
                <w:szCs w:val="18"/>
                <w:color w:val="auto"/>
              </w:rPr>
              <w:t>DEDUCTIONS FROM NET ASSETS ATTRIBUTED TO:</w:t>
            </w: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Administrative expenses</w:t>
            </w:r>
          </w:p>
        </w:tc>
        <w:tc>
          <w:tcPr>
            <w:tcW w:w="5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deductions</w:t>
            </w:r>
          </w:p>
        </w:tc>
        <w:tc>
          <w:tcPr>
            <w:tcW w:w="5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36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157,651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3,272,394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5240" w:type="dxa"/>
            <w:vAlign w:val="bottom"/>
            <w:gridSpan w:val="2"/>
            <w:shd w:val="clear" w:color="auto" w:fill="CCEEFF"/>
          </w:tcPr>
          <w:p>
            <w:pPr>
              <w:ind w:left="51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3,430,045</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360" w:type="dxa"/>
            <w:vAlign w:val="bottom"/>
            <w:gridSpan w:val="2"/>
            <w:vMerge w:val="continue"/>
          </w:tcPr>
          <w:p>
            <w:pPr>
              <w:spacing w:after="0"/>
              <w:rPr>
                <w:sz w:val="24"/>
                <w:szCs w:val="24"/>
                <w:color w:val="auto"/>
              </w:rPr>
            </w:pP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160" w:type="dxa"/>
            <w:vAlign w:val="bottom"/>
          </w:tcPr>
          <w:p>
            <w:pPr>
              <w:jc w:val="right"/>
              <w:ind w:right="46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ind w:left="460" w:right="9220" w:hanging="452"/>
        <w:spacing w:after="0" w:line="39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w:t>
      </w:r>
    </w:p>
    <w:p>
      <w:pPr>
        <w:spacing w:after="0" w:line="25"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5" w:lineRule="exact"/>
        <w:rPr>
          <w:rFonts w:ascii="Arial" w:cs="Arial" w:eastAsia="Arial" w:hAnsi="Arial"/>
          <w:sz w:val="16"/>
          <w:szCs w:val="16"/>
          <w:b w:val="1"/>
          <w:bCs w:val="1"/>
          <w:color w:val="auto"/>
        </w:rPr>
      </w:pPr>
    </w:p>
    <w:p>
      <w:pPr>
        <w:ind w:left="460" w:right="4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Employees become eligible to participate in the Plan in the first month after completion of three months of service and shall be automatically enrolled in the Plan at a contribution rate equal to two percent of eligible compensation on a pre-tax basis unless they opt out of participation. Automatically-enrolled participants may thereafter increase or decrease their contribution. The maximum amount of eligible compensation that may be deferred is 50%, subject to certain limits imposed by the Code. The Company matches 100% of the participant’s contribution up to 4.5% of the participant’s eligible compensation for such payroll period. The maximum Company matching contribution for a Plan year is $10,000 for any participant who is a Highly Compensated Employee and whose Annual Rate of Pay (as both terms are defined in the Plan) is more than $200,000. Rollover contributions represent participant assets transferred to the Plan from other qualified retirement plans.</w:t>
      </w:r>
    </w:p>
    <w:p>
      <w:pPr>
        <w:spacing w:after="0" w:line="37"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9" w:lineRule="exact"/>
        <w:rPr>
          <w:rFonts w:ascii="Arial" w:cs="Arial" w:eastAsia="Arial" w:hAnsi="Arial"/>
          <w:sz w:val="16"/>
          <w:szCs w:val="16"/>
          <w:b w:val="1"/>
          <w:bCs w:val="1"/>
          <w:color w:val="auto"/>
        </w:rPr>
      </w:pPr>
    </w:p>
    <w:p>
      <w:pPr>
        <w:ind w:left="46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 The participants in the Plan are assessed a $19 per year administrative fee per account.</w:t>
      </w:r>
    </w:p>
    <w:p>
      <w:pPr>
        <w:spacing w:after="0" w:line="25" w:lineRule="exact"/>
        <w:rPr>
          <w:rFonts w:ascii="Arial" w:cs="Arial" w:eastAsia="Arial" w:hAnsi="Arial"/>
          <w:sz w:val="16"/>
          <w:szCs w:val="16"/>
          <w:b w:val="1"/>
          <w:bCs w:val="1"/>
          <w:color w:val="auto"/>
        </w:rPr>
      </w:pPr>
    </w:p>
    <w:p>
      <w:pPr>
        <w:ind w:left="460" w:right="2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2011 amounted to $101,888. Outstanding forfeitures not yet applied against Company contributions at December 31, 2011 and 2010 were $1,417 and $4,671, respectively.</w:t>
      </w:r>
    </w:p>
    <w:p>
      <w:pPr>
        <w:spacing w:after="0" w:line="39" w:lineRule="exact"/>
        <w:rPr>
          <w:rFonts w:ascii="Arial" w:cs="Arial" w:eastAsia="Arial" w:hAnsi="Arial"/>
          <w:sz w:val="16"/>
          <w:szCs w:val="16"/>
          <w:b w:val="1"/>
          <w:bCs w:val="1"/>
          <w:color w:val="auto"/>
        </w:rPr>
      </w:pPr>
    </w:p>
    <w:p>
      <w:pPr>
        <w:ind w:left="460"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or quarterly installments, a rollover into another qualified plan, or any combination of the foregoing.</w:t>
      </w:r>
    </w:p>
    <w:p>
      <w:pPr>
        <w:spacing w:after="0" w:line="14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Trustee</w:t>
      </w:r>
    </w:p>
    <w:p>
      <w:pPr>
        <w:spacing w:after="0" w:line="9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Fidelity Management Trust Company is the appointed Trustee of the Plan.</w:t>
      </w:r>
    </w:p>
    <w:p>
      <w:pPr>
        <w:spacing w:after="0" w:line="286" w:lineRule="exact"/>
        <w:rPr>
          <w:rFonts w:ascii="Arial" w:cs="Arial" w:eastAsia="Arial" w:hAnsi="Arial"/>
          <w:sz w:val="16"/>
          <w:szCs w:val="16"/>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are presented using the accrual basis of accounting. The Plan’s investments are stated at fair value. Fair value of a financial instrument is the price that would be received to sell an asset or paid to transfer a liability in an orderly transaction between market participants at the measurement date. The Company’s Class A and Class A Special common stock are valued at their respective closing price reported on the NASDAQ Global Select Market on the last business day of the Plan year. Money market funds are stated at amortized cost, which approximates fair value. Shares of mutual funds are valued at the net asset value of shares held by the Plan at year-end. The stable value fund is stated at fair value and then adjusted to contract value as described below. Fair value of the stable value fund is the net asset value of its underlying investments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contract value is principal plus accrued interest. Notes receivable from participants are measured at their unpaid principal balance plus any accrued but unpaid interest.</w:t>
      </w:r>
    </w:p>
    <w:p>
      <w:pPr>
        <w:spacing w:after="0" w:line="51" w:lineRule="exact"/>
        <w:rPr>
          <w:sz w:val="20"/>
          <w:szCs w:val="20"/>
          <w:color w:val="auto"/>
        </w:rPr>
      </w:pPr>
    </w:p>
    <w:p>
      <w:pPr>
        <w:ind w:left="460" w:right="260"/>
        <w:spacing w:after="0" w:line="254" w:lineRule="auto"/>
        <w:rPr>
          <w:sz w:val="20"/>
          <w:szCs w:val="20"/>
          <w:color w:val="auto"/>
        </w:rPr>
      </w:pPr>
      <w:r>
        <w:rPr>
          <w:rFonts w:ascii="Arial" w:cs="Arial" w:eastAsia="Arial" w:hAnsi="Arial"/>
          <w:sz w:val="18"/>
          <w:szCs w:val="18"/>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accounting principles generally accepted in the United States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63" w:lineRule="exact"/>
        <w:rPr>
          <w:sz w:val="20"/>
          <w:szCs w:val="20"/>
          <w:color w:val="auto"/>
        </w:rPr>
      </w:pPr>
    </w:p>
    <w:p>
      <w:pPr>
        <w:ind w:left="460" w:right="400"/>
        <w:spacing w:after="0" w:line="306"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2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Statement of Net Assets Available for Benefits.</w:t>
      </w:r>
    </w:p>
    <w:p>
      <w:pPr>
        <w:spacing w:after="0" w:line="59" w:lineRule="exact"/>
        <w:rPr>
          <w:sz w:val="20"/>
          <w:szCs w:val="20"/>
          <w:color w:val="auto"/>
        </w:rPr>
      </w:pPr>
    </w:p>
    <w:p>
      <w:pPr>
        <w:ind w:left="460" w:right="280"/>
        <w:spacing w:after="0" w:line="35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ind w:left="460" w:right="20"/>
        <w:spacing w:after="0" w:line="256" w:lineRule="auto"/>
        <w:rPr>
          <w:sz w:val="20"/>
          <w:szCs w:val="20"/>
          <w:color w:val="auto"/>
        </w:rPr>
      </w:pPr>
      <w:r>
        <w:rPr>
          <w:rFonts w:ascii="Arial" w:cs="Arial" w:eastAsia="Arial" w:hAnsi="Arial"/>
          <w:sz w:val="18"/>
          <w:szCs w:val="18"/>
          <w:color w:val="auto"/>
        </w:rPr>
        <w:t xml:space="preserve">In January 2010, the Financial Accounting Standards Board (FASB) issued Accounting Standards Update (ASU) No. 2010-06,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Disclosures</w:t>
      </w:r>
      <w:r>
        <w:rPr>
          <w:rFonts w:ascii="Arial" w:cs="Arial" w:eastAsia="Arial" w:hAnsi="Arial"/>
          <w:sz w:val="18"/>
          <w:szCs w:val="18"/>
          <w:color w:val="auto"/>
        </w:rPr>
        <w:t>, which amends ASC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adding a new disclosure requirement to provide Level 3 activity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sales, issuances, and settlements on a gross basis. This requirement is effective for fiscal years beginning after December 15, 2010. The adoption in 2011 did not materially affect the Plan’s financial statements.</w:t>
      </w:r>
    </w:p>
    <w:p>
      <w:pPr>
        <w:spacing w:after="0" w:line="62" w:lineRule="exact"/>
        <w:rPr>
          <w:sz w:val="20"/>
          <w:szCs w:val="20"/>
          <w:color w:val="auto"/>
        </w:rPr>
      </w:pPr>
    </w:p>
    <w:p>
      <w:pPr>
        <w:ind w:left="460" w:right="20"/>
        <w:spacing w:after="0" w:line="310" w:lineRule="auto"/>
        <w:rPr>
          <w:sz w:val="20"/>
          <w:szCs w:val="20"/>
          <w:color w:val="auto"/>
        </w:rPr>
      </w:pPr>
      <w:r>
        <w:rPr>
          <w:rFonts w:ascii="Arial" w:cs="Arial" w:eastAsia="Arial" w:hAnsi="Arial"/>
          <w:sz w:val="15"/>
          <w:szCs w:val="15"/>
          <w:color w:val="auto"/>
        </w:rPr>
        <w:t xml:space="preserve">In May 2011, the FASB issued ASU No. 2011-04, </w:t>
      </w:r>
      <w:r>
        <w:rPr>
          <w:rFonts w:ascii="Arial" w:cs="Arial" w:eastAsia="Arial" w:hAnsi="Arial"/>
          <w:sz w:val="15"/>
          <w:szCs w:val="15"/>
          <w:i w:val="1"/>
          <w:iCs w:val="1"/>
          <w:color w:val="auto"/>
        </w:rPr>
        <w:t>Amendments to Achieve Common Fair Value Measurement and Disclosure Requirements in U.S. GAAP</w:t>
      </w:r>
      <w:r>
        <w:rPr>
          <w:rFonts w:ascii="Arial" w:cs="Arial" w:eastAsia="Arial" w:hAnsi="Arial"/>
          <w:sz w:val="15"/>
          <w:szCs w:val="15"/>
          <w:color w:val="auto"/>
        </w:rPr>
        <w:t xml:space="preserve"> </w:t>
      </w:r>
      <w:r>
        <w:rPr>
          <w:rFonts w:ascii="Arial" w:cs="Arial" w:eastAsia="Arial" w:hAnsi="Arial"/>
          <w:sz w:val="15"/>
          <w:szCs w:val="15"/>
          <w:i w:val="1"/>
          <w:iCs w:val="1"/>
          <w:color w:val="auto"/>
        </w:rPr>
        <w:t>and IFRSs</w:t>
      </w:r>
      <w:r>
        <w:rPr>
          <w:rFonts w:ascii="Arial" w:cs="Arial" w:eastAsia="Arial" w:hAnsi="Arial"/>
          <w:sz w:val="15"/>
          <w:szCs w:val="15"/>
          <w:color w:val="auto"/>
        </w:rPr>
        <w:t>, which amends ASC 820. ASU No. 2011-04 clarifies the FASB’s intent about the application of existing fair value measurement and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requirements under ASC 820. This ASU requires the categorization by level for items that are required to be disclosed, but not measured, at fair value. This ASU also requires additional disclosure of information about transfers between Level 1 and Level 2 of the fair value hierarchy and additional disclosure regarding the sensitivity of Level 3 measurements of fair value to changes in unobservable inputs and any interrelationships between those inputs. In addition, the ASU provides guidance on measuring the fair value of financial instruments managed within a portfolio and the application of premiums and discounts on fair value measurements. The new guidance is effective for reporting periods beginning after December 15, 2011. The adoption will not have a material effect on the Statement of Net Assets Available for Benefits and Statement of Changes in Net Assets Available for Benefits.</w:t>
      </w:r>
    </w:p>
    <w:p>
      <w:pPr>
        <w:spacing w:after="0" w:line="22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5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Dodge and Cox Balanced Fund</w:t>
            </w:r>
          </w:p>
        </w:tc>
        <w:tc>
          <w:tcPr>
            <w:tcW w:w="6040" w:type="dxa"/>
            <w:vAlign w:val="bottom"/>
            <w:gridSpan w:val="3"/>
          </w:tcPr>
          <w:p>
            <w:pPr>
              <w:jc w:val="right"/>
              <w:ind w:right="320"/>
              <w:spacing w:after="0"/>
              <w:rPr>
                <w:sz w:val="20"/>
                <w:szCs w:val="20"/>
                <w:color w:val="auto"/>
              </w:rPr>
            </w:pPr>
            <w:r>
              <w:rPr>
                <w:rFonts w:ascii="Arial" w:cs="Arial" w:eastAsia="Arial" w:hAnsi="Arial"/>
                <w:sz w:val="18"/>
                <w:szCs w:val="18"/>
                <w:color w:val="auto"/>
              </w:rPr>
              <w:t>$174,562</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5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Fidelity Spartan 500 Index Advantage Fund</w:t>
            </w:r>
          </w:p>
        </w:tc>
        <w:tc>
          <w:tcPr>
            <w:tcW w:w="5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167,700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500 Index Fund—Institutional Class</w:t>
            </w:r>
          </w:p>
        </w:tc>
        <w:tc>
          <w:tcPr>
            <w:tcW w:w="6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187,898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Pimco Total Return Institutional Fund</w:t>
            </w:r>
          </w:p>
        </w:tc>
        <w:tc>
          <w:tcPr>
            <w:tcW w:w="6040" w:type="dxa"/>
            <w:vAlign w:val="bottom"/>
            <w:gridSpan w:val="3"/>
          </w:tcPr>
          <w:p>
            <w:pPr>
              <w:jc w:val="right"/>
              <w:ind w:right="320"/>
              <w:spacing w:after="0"/>
              <w:rPr>
                <w:sz w:val="20"/>
                <w:szCs w:val="20"/>
                <w:color w:val="auto"/>
              </w:rPr>
            </w:pPr>
            <w:r>
              <w:rPr>
                <w:rFonts w:ascii="Arial" w:cs="Arial" w:eastAsia="Arial" w:hAnsi="Arial"/>
                <w:sz w:val="18"/>
                <w:szCs w:val="18"/>
                <w:color w:val="auto"/>
              </w:rPr>
              <w:t>177,368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174,573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5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T. Rowe Price Blue Chip Growth Fund</w:t>
            </w:r>
          </w:p>
        </w:tc>
        <w:tc>
          <w:tcPr>
            <w:tcW w:w="6040" w:type="dxa"/>
            <w:vAlign w:val="bottom"/>
            <w:gridSpan w:val="3"/>
          </w:tcPr>
          <w:p>
            <w:pPr>
              <w:jc w:val="right"/>
              <w:ind w:right="320"/>
              <w:spacing w:after="0"/>
              <w:rPr>
                <w:sz w:val="20"/>
                <w:szCs w:val="20"/>
                <w:color w:val="auto"/>
              </w:rPr>
            </w:pPr>
            <w:r>
              <w:rPr>
                <w:rFonts w:ascii="Arial" w:cs="Arial" w:eastAsia="Arial" w:hAnsi="Arial"/>
                <w:sz w:val="18"/>
                <w:szCs w:val="18"/>
                <w:color w:val="auto"/>
              </w:rPr>
              <w:t>198,788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213,652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w:t>
            </w:r>
          </w:p>
        </w:tc>
        <w:tc>
          <w:tcPr>
            <w:tcW w:w="5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6040" w:type="dxa"/>
            <w:vAlign w:val="bottom"/>
            <w:gridSpan w:val="3"/>
          </w:tcPr>
          <w:p>
            <w:pPr>
              <w:jc w:val="right"/>
              <w:ind w:right="320"/>
              <w:spacing w:after="0"/>
              <w:rPr>
                <w:sz w:val="20"/>
                <w:szCs w:val="20"/>
                <w:color w:val="auto"/>
              </w:rPr>
            </w:pPr>
            <w:r>
              <w:rPr>
                <w:rFonts w:ascii="Arial" w:cs="Arial" w:eastAsia="Arial" w:hAnsi="Arial"/>
                <w:sz w:val="18"/>
                <w:szCs w:val="18"/>
                <w:color w:val="auto"/>
              </w:rPr>
              <w:t>217,536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40" w:type="dxa"/>
            <w:vAlign w:val="bottom"/>
          </w:tcPr>
          <w:p>
            <w:pPr>
              <w:jc w:val="right"/>
              <w:ind w:right="3812"/>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8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Comcast Stable Value Fund</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9860" w:type="dxa"/>
            <w:vAlign w:val="bottom"/>
          </w:tcPr>
          <w:p>
            <w:pPr>
              <w:ind w:left="440"/>
              <w:spacing w:after="0"/>
              <w:rPr>
                <w:sz w:val="20"/>
                <w:szCs w:val="20"/>
                <w:color w:val="auto"/>
              </w:rPr>
            </w:pPr>
            <w:r>
              <w:rPr>
                <w:rFonts w:ascii="Arial" w:cs="Arial" w:eastAsia="Arial" w:hAnsi="Arial"/>
                <w:sz w:val="18"/>
                <w:szCs w:val="18"/>
                <w:color w:val="auto"/>
              </w:rPr>
              <w:t>JP Morgan Chase</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199,684</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195,336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left="460" w:right="220"/>
        <w:spacing w:after="0" w:line="268" w:lineRule="auto"/>
        <w:rPr>
          <w:sz w:val="20"/>
          <w:szCs w:val="20"/>
          <w:color w:val="auto"/>
        </w:rPr>
      </w:pPr>
      <w:r>
        <w:rPr>
          <w:rFonts w:ascii="Arial" w:cs="Arial" w:eastAsia="Arial" w:hAnsi="Arial"/>
          <w:sz w:val="18"/>
          <w:szCs w:val="18"/>
          <w:color w:val="auto"/>
        </w:rPr>
        <w:t>During 2011, the Plan’s investments, including investments purchased and sold, as well as held during the year, appreciated (depreciated) in fair value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4480" w:type="dxa"/>
            <w:vAlign w:val="bottom"/>
            <w:gridSpan w:val="3"/>
          </w:tcPr>
          <w:p>
            <w:pPr>
              <w:jc w:val="right"/>
              <w:ind w:right="100"/>
              <w:spacing w:after="0"/>
              <w:rPr>
                <w:sz w:val="20"/>
                <w:szCs w:val="20"/>
                <w:color w:val="auto"/>
              </w:rPr>
            </w:pPr>
            <w:r>
              <w:rPr>
                <w:rFonts w:ascii="Arial" w:cs="Arial" w:eastAsia="Arial" w:hAnsi="Arial"/>
                <w:sz w:val="18"/>
                <w:szCs w:val="18"/>
                <w:color w:val="auto"/>
              </w:rPr>
              <w:t>$ 17,802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37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4480" w:type="dxa"/>
            <w:vAlign w:val="bottom"/>
            <w:gridSpan w:val="3"/>
          </w:tcPr>
          <w:p>
            <w:pPr>
              <w:jc w:val="right"/>
              <w:ind w:right="100"/>
              <w:spacing w:after="0"/>
              <w:rPr>
                <w:sz w:val="20"/>
                <w:szCs w:val="20"/>
                <w:color w:val="auto"/>
              </w:rPr>
            </w:pPr>
            <w:r>
              <w:rPr>
                <w:rFonts w:ascii="Arial" w:cs="Arial" w:eastAsia="Arial" w:hAnsi="Arial"/>
                <w:sz w:val="18"/>
                <w:szCs w:val="18"/>
                <w:color w:val="auto"/>
              </w:rPr>
              <w:t>22,102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4480" w:type="dxa"/>
            <w:vAlign w:val="bottom"/>
            <w:gridSpan w:val="3"/>
          </w:tcPr>
          <w:p>
            <w:pPr>
              <w:jc w:val="right"/>
              <w:ind w:right="40"/>
              <w:spacing w:after="0"/>
              <w:rPr>
                <w:sz w:val="20"/>
                <w:szCs w:val="20"/>
                <w:color w:val="auto"/>
              </w:rPr>
            </w:pPr>
            <w:r>
              <w:rPr>
                <w:rFonts w:ascii="Arial" w:cs="Arial" w:eastAsia="Arial" w:hAnsi="Arial"/>
                <w:sz w:val="18"/>
                <w:szCs w:val="18"/>
                <w:color w:val="auto"/>
              </w:rPr>
              <w:t>(28,022)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4480" w:type="dxa"/>
            <w:vAlign w:val="bottom"/>
            <w:gridSpan w:val="3"/>
          </w:tcPr>
          <w:p>
            <w:pPr>
              <w:jc w:val="right"/>
              <w:ind w:right="4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7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480" w:type="dxa"/>
            <w:vAlign w:val="bottom"/>
            <w:gridSpan w:val="3"/>
          </w:tcPr>
          <w:p>
            <w:pPr>
              <w:jc w:val="right"/>
              <w:ind w:right="40"/>
              <w:spacing w:after="0"/>
              <w:rPr>
                <w:sz w:val="20"/>
                <w:szCs w:val="20"/>
                <w:color w:val="auto"/>
              </w:rPr>
            </w:pPr>
            <w:r>
              <w:rPr>
                <w:rFonts w:ascii="Arial" w:cs="Arial" w:eastAsia="Arial" w:hAnsi="Arial"/>
                <w:sz w:val="18"/>
                <w:szCs w:val="18"/>
                <w:color w:val="auto"/>
              </w:rPr>
              <w:t>(89,274)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4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323"/>
        </w:trPr>
        <w:tc>
          <w:tcPr>
            <w:tcW w:w="6020" w:type="dxa"/>
            <w:vAlign w:val="bottom"/>
            <w:gridSpan w:val="2"/>
          </w:tcPr>
          <w:p>
            <w:pPr>
              <w:spacing w:after="0"/>
              <w:rPr>
                <w:sz w:val="20"/>
                <w:szCs w:val="20"/>
                <w:color w:val="auto"/>
              </w:rPr>
            </w:pPr>
            <w:r>
              <w:rPr>
                <w:rFonts w:ascii="Arial" w:cs="Arial" w:eastAsia="Arial" w:hAnsi="Arial"/>
                <w:sz w:val="18"/>
                <w:szCs w:val="18"/>
                <w:color w:val="auto"/>
              </w:rPr>
              <w:t>Common collective trusts</w:t>
            </w:r>
          </w:p>
        </w:tc>
        <w:tc>
          <w:tcPr>
            <w:tcW w:w="37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(66,732)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26" w:lineRule="exact"/>
        <w:rPr>
          <w:sz w:val="20"/>
          <w:szCs w:val="20"/>
          <w:color w:val="auto"/>
        </w:rPr>
      </w:pPr>
    </w:p>
    <w:p>
      <w:pPr>
        <w:ind w:left="460" w:right="120"/>
        <w:spacing w:after="0" w:line="357" w:lineRule="auto"/>
        <w:rPr>
          <w:sz w:val="20"/>
          <w:szCs w:val="20"/>
          <w:color w:val="auto"/>
        </w:rPr>
      </w:pPr>
      <w:r>
        <w:rPr>
          <w:rFonts w:ascii="Arial" w:cs="Arial" w:eastAsia="Arial" w:hAnsi="Arial"/>
          <w:sz w:val="15"/>
          <w:szCs w:val="15"/>
          <w:color w:val="auto"/>
        </w:rPr>
        <w:t>The average yield of investment contracts held as of December 31, 2011 and 2010 was 1.99% and 2.30%, respectively. When adjusted to reflect the actual interest credited to the Plan, the average yield of investment contracts held as of December 31, 2011 and 2010 was 2.11% and 2.12%, respectively.</w:t>
      </w:r>
    </w:p>
    <w:p>
      <w:pPr>
        <w:ind w:left="460" w:right="240"/>
        <w:spacing w:after="0" w:line="268"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24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Credit Rating</w:t>
            </w:r>
          </w:p>
        </w:tc>
        <w:tc>
          <w:tcPr>
            <w:tcW w:w="10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 Street Bank and Trust Company Boston</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AA-</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(5,167)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JP Morgan Chase</w:t>
            </w: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(7,008)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(4,705)</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Natixis</w:t>
            </w:r>
          </w:p>
        </w:tc>
        <w:tc>
          <w:tcPr>
            <w:tcW w:w="12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7"/>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AIG Financial Products Corp</w:t>
            </w: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A-</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(2,235)</w:t>
            </w:r>
          </w:p>
        </w:tc>
      </w:tr>
      <w:tr>
        <w:trPr>
          <w:trHeight w:val="27"/>
        </w:trPr>
        <w:tc>
          <w:tcPr>
            <w:tcW w:w="7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(20,665)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(13,880)</w:t>
            </w:r>
          </w:p>
        </w:tc>
      </w:tr>
      <w:tr>
        <w:trPr>
          <w:trHeight w:val="20"/>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172" w:lineRule="exact"/>
        <w:rPr>
          <w:rFonts w:ascii="Arial" w:cs="Arial" w:eastAsia="Arial" w:hAnsi="Arial"/>
          <w:sz w:val="18"/>
          <w:szCs w:val="18"/>
          <w:b w:val="1"/>
          <w:bCs w:val="1"/>
          <w:color w:val="auto"/>
        </w:rPr>
      </w:pPr>
    </w:p>
    <w:p>
      <w:pPr>
        <w:ind w:left="1420" w:right="1000" w:hanging="94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Level 1Consists of financial instruments whose values are based on quoted market prices for identical financial instruments in an active market.</w:t>
      </w:r>
    </w:p>
    <w:p>
      <w:pPr>
        <w:spacing w:after="0" w:line="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2</w:t>
      </w:r>
      <w:r>
        <w:rPr>
          <w:rFonts w:ascii="Arial" w:cs="Arial" w:eastAsia="Arial" w:hAnsi="Arial"/>
          <w:sz w:val="15"/>
          <w:szCs w:val="15"/>
          <w:color w:val="auto"/>
        </w:rPr>
        <w:t>Consists of financial instruments that are valued using models or other valuation methodologies. These models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use inputs that are observable either directly or indirectly and include:</w:t>
      </w:r>
    </w:p>
    <w:p>
      <w:pPr>
        <w:spacing w:after="0" w:line="293" w:lineRule="exact"/>
        <w:rPr>
          <w:sz w:val="20"/>
          <w:szCs w:val="20"/>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90" w:lineRule="exact"/>
        <w:rPr>
          <w:rFonts w:ascii="Arial" w:cs="Arial" w:eastAsia="Arial" w:hAnsi="Arial"/>
          <w:sz w:val="18"/>
          <w:szCs w:val="18"/>
          <w:color w:val="auto"/>
        </w:rPr>
      </w:pPr>
    </w:p>
    <w:p>
      <w:pPr>
        <w:ind w:left="1920" w:right="440" w:hanging="318"/>
        <w:spacing w:after="0" w:line="268"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2" w:lineRule="exact"/>
        <w:rPr>
          <w:sz w:val="20"/>
          <w:szCs w:val="20"/>
          <w:color w:val="auto"/>
        </w:rPr>
      </w:pPr>
    </w:p>
    <w:p>
      <w:pPr>
        <w:ind w:left="1420" w:right="1000" w:hanging="944"/>
        <w:spacing w:after="0" w:line="254"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w:t>
      </w:r>
    </w:p>
    <w:p>
      <w:pPr>
        <w:ind w:left="1420"/>
        <w:spacing w:after="0"/>
        <w:rPr>
          <w:sz w:val="20"/>
          <w:szCs w:val="20"/>
          <w:color w:val="auto"/>
        </w:rPr>
      </w:pPr>
      <w:r>
        <w:rPr>
          <w:rFonts w:ascii="Arial" w:cs="Arial" w:eastAsia="Arial" w:hAnsi="Arial"/>
          <w:sz w:val="18"/>
          <w:szCs w:val="18"/>
          <w:color w:val="auto"/>
        </w:rPr>
        <w:t>instruments for which the determination of fair value requires significant judgment or estimation.</w:t>
      </w:r>
    </w:p>
    <w:p>
      <w:pPr>
        <w:spacing w:after="0" w:line="17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Mutual funds, separate account and common collective trusts: Valued at the net asset value of shares held by the Plan at year end.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stocks: Valued at the closing price reported on the active market on which the individual securities are traded.</w:t>
      </w:r>
    </w:p>
    <w:p>
      <w:pPr>
        <w:spacing w:after="0" w:line="90"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13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by level, within the fair value hierarchy, the Plan’s assets at fair value as of December 31, 2011 and 2010 (in thousands).</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Assets at Fair Value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862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4"/>
              </w:rPr>
              <w:t>Level 3</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217,536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stock funds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720,775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International stock funds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338,766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Balanced funds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Money market funds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177,368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198,788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198,788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859,101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00" w:type="dxa"/>
            <w:vAlign w:val="bottom"/>
            <w:gridSpan w:val="2"/>
          </w:tcPr>
          <w:p>
            <w:pPr>
              <w:spacing w:after="0"/>
              <w:rPr>
                <w:sz w:val="20"/>
                <w:szCs w:val="20"/>
                <w:color w:val="auto"/>
              </w:rPr>
            </w:pPr>
            <w:r>
              <w:rPr>
                <w:rFonts w:ascii="Arial" w:cs="Arial" w:eastAsia="Arial" w:hAnsi="Arial"/>
                <w:sz w:val="18"/>
                <w:szCs w:val="18"/>
                <w:color w:val="auto"/>
              </w:rPr>
              <w:t>Comcast Stable Value Fund</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588,800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1,664,346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1,646,689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3,311,035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80" w:type="dxa"/>
            <w:vAlign w:val="bottom"/>
            <w:vMerge w:val="restart"/>
          </w:tcPr>
          <w:p>
            <w:pPr>
              <w:jc w:val="right"/>
              <w:ind w:right="15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8"/>
              </w:rPr>
              <w:t>Assets at Fair Value as of December 31, 2010</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4"/>
              </w:rPr>
              <w:t>Level 3</w:t>
            </w: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27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220,774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8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stock funds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659,073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International stock funds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308,284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Balanced funds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191,340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Money market funds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213,652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213,652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757,332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80" w:type="dxa"/>
            <w:vAlign w:val="bottom"/>
            <w:gridSpan w:val="2"/>
          </w:tcPr>
          <w:p>
            <w:pPr>
              <w:spacing w:after="0"/>
              <w:rPr>
                <w:sz w:val="20"/>
                <w:szCs w:val="20"/>
                <w:color w:val="auto"/>
              </w:rPr>
            </w:pPr>
            <w:r>
              <w:rPr>
                <w:rFonts w:ascii="Arial" w:cs="Arial" w:eastAsia="Arial" w:hAnsi="Arial"/>
                <w:sz w:val="18"/>
                <w:szCs w:val="18"/>
                <w:color w:val="auto"/>
              </w:rPr>
              <w:t>Comcast Stable Value Fund</w:t>
            </w: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575,967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1,613,209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1,546,951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3,160,160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AND HARDSHIP WITHDRAWALS</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rate of prime plus 1% as of the month the loan application is approved. Principal and interest are paid through payroll deductions or participant initiated payments. Interest rates ranged from 4.25% to 9.50% for the year ended December 31, 2011. Maturities on active outstanding loans ranged from 2012 to 2038 for the year ended December 31, 2011. Loan transactions are treated as a transfer between the investment fund and notes receivable from participants.</w:t>
      </w:r>
    </w:p>
    <w:p>
      <w:pPr>
        <w:spacing w:after="0" w:line="37"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50"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2011 and the increase in net assets available for benefits per the financial statements to the net income per the Form 5500 for the year ended December 31, 2011 is as follows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3,430,045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3,450,710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8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available for benefits per the financial statements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8"/>
                <w:szCs w:val="18"/>
                <w:color w:val="auto"/>
              </w:rPr>
              <w:t>December 31, 2011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Net income per Form 5500</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b w:val="1"/>
          <w:bCs w:val="1"/>
          <w:color w:val="auto"/>
        </w:rPr>
      </w:pPr>
    </w:p>
    <w:p>
      <w:pPr>
        <w:ind w:left="460"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80" w:right="2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—On May 8, 2009, the Plan received an updated determination letter from the IRS stating that the Plan,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December 12, 2007, is qualified and that the trust established under the Plan is tax-exempt. Therefore, no provision for income taxes has been included in the Plan’s financial statements.</w:t>
      </w:r>
    </w:p>
    <w:p>
      <w:pPr>
        <w:spacing w:after="0" w:line="59"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59" w:lineRule="exact"/>
        <w:rPr>
          <w:rFonts w:ascii="Arial" w:cs="Arial" w:eastAsia="Arial" w:hAnsi="Arial"/>
          <w:sz w:val="18"/>
          <w:szCs w:val="18"/>
          <w:color w:val="auto"/>
        </w:rPr>
      </w:pPr>
    </w:p>
    <w:p>
      <w:pPr>
        <w:ind w:left="1480" w:right="60" w:hanging="567"/>
        <w:spacing w:after="0" w:line="294"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w:t>
      </w:r>
      <w:r>
        <w:rPr>
          <w:rFonts w:ascii="Arial" w:cs="Arial" w:eastAsia="Arial" w:hAnsi="Arial"/>
          <w:sz w:val="16"/>
          <w:szCs w:val="16"/>
          <w:color w:val="auto"/>
        </w:rPr>
        <w:t>—In accordance with Accounting Standards Codification (ASC) 740-10-50-15 c – e, the Plan Administrator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analyzed the tax positions taken by the Plan and has concluded that as of December 31, 2011,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the Plan is no longer subject to income tax examinations for years prior to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PART IV,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FEIN #27-0000798</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(c) Description of</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Investment,</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Rate of Interest, Collateral,</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12"/>
                <w:szCs w:val="12"/>
                <w:color w:val="auto"/>
              </w:rPr>
            </w:pPr>
          </w:p>
        </w:tc>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6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Par, or</w:t>
            </w:r>
          </w:p>
        </w:tc>
        <w:tc>
          <w:tcPr>
            <w:tcW w:w="44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504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1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1"/>
              </w:rPr>
              <w:t>Maturity Value</w:t>
            </w:r>
          </w:p>
        </w:tc>
        <w:tc>
          <w:tcPr>
            <w:tcW w:w="440" w:type="dxa"/>
            <w:vAlign w:val="bottom"/>
          </w:tcPr>
          <w:p>
            <w:pPr>
              <w:spacing w:after="0"/>
              <w:rPr>
                <w:sz w:val="13"/>
                <w:szCs w:val="13"/>
                <w:color w:val="auto"/>
              </w:rPr>
            </w:pP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Dodge and Cox Balanced Fund</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2,588,017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5,889,920 units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Fidelity Growth Company</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1,418,718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Ret Govt MM</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5,420 units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Fidelity Small Cap Stock Fund</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6,753,994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111,711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Pimco Total Return Institutional Fund</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16,317,194 units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w w:val="89"/>
              </w:rPr>
              <w:t>Spartan International Index Fund—Fidelity Advantage Inst Class</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4,453,504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Spartan 500 Index Fund—Institutional Class</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4,222,437 units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Templeton World Fund, Class A</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4,073,049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Small Cap Index Fund</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2,158,330 units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Vanguard Total Stock Market Index Fund</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3,759,266 units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117,665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Windsor II Fund</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2,550,262 units</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1,411,476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Separate Account (at fair value)</w:t>
            </w:r>
          </w:p>
        </w:tc>
        <w:tc>
          <w:tcPr>
            <w:tcW w:w="2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w w:val="99"/>
              </w:rPr>
              <w:t>T. Rowe Price Blue Chip Growth Fund (separate account)</w:t>
            </w:r>
          </w:p>
        </w:tc>
        <w:tc>
          <w:tcPr>
            <w:tcW w:w="2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(B28XP76)</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(B4BNMY3)</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23,100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(B68SQD2)</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(009158106)</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9,400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(015351109)</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(018490102)</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19,900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(021441100)</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(023135106)</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43,600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(025816109)</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(029912201)</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73,100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(03076C106)</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(031162100)</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(037833100)</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(052769106)</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24,600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(056752108)</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(057224107)</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16,900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(071813109)</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(075896100)</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22,700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(09062X103)</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(09247X101)</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(097023105)</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(111320107)</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71,800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(12504L109)</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(12541W209)</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(12572Q105)</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(13342B105)</w:t>
            </w:r>
          </w:p>
        </w:tc>
        <w:tc>
          <w:tcPr>
            <w:tcW w:w="26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30,700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(14149Y108)</w:t>
            </w:r>
          </w:p>
        </w:tc>
        <w:tc>
          <w:tcPr>
            <w:tcW w:w="2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36,800 shares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80" w:type="dxa"/>
            <w:vAlign w:val="bottom"/>
          </w:tcPr>
          <w:p>
            <w:pPr>
              <w:jc w:val="right"/>
              <w:ind w:right="2392"/>
              <w:spacing w:after="0"/>
              <w:rPr>
                <w:sz w:val="20"/>
                <w:szCs w:val="20"/>
                <w:color w:val="auto"/>
              </w:rPr>
            </w:pPr>
            <w:r>
              <w:rPr>
                <w:rFonts w:ascii="Arial" w:cs="Arial" w:eastAsia="Arial" w:hAnsi="Arial"/>
                <w:sz w:val="18"/>
                <w:szCs w:val="18"/>
                <w:color w:val="auto"/>
                <w:w w:val="89"/>
              </w:rPr>
              <w:t>10</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39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4260" w:type="dxa"/>
            <w:vAlign w:val="bottom"/>
          </w:tcPr>
          <w:p>
            <w:pPr>
              <w:spacing w:after="0"/>
              <w:rPr>
                <w:sz w:val="13"/>
                <w:szCs w:val="13"/>
                <w:color w:val="auto"/>
              </w:rPr>
            </w:pPr>
          </w:p>
        </w:tc>
        <w:tc>
          <w:tcPr>
            <w:tcW w:w="20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4"/>
              </w:rPr>
              <w:t>Maturity Value</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(143658300)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(149123101)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7,500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(151020104)</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(156782104)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(169656105)</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(189754104)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19,200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(191216100)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(20605P101)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15,500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(22160K105)</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(231021106)</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(235851102)</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(244199105)</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(25179M103)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(254687106)</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29,200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(25470F302)</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(256746108)</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(268648102)</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(26875P101)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20,800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(26884L109)</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Corporate common stock (2696377)</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(278642103)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(278865100)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(28176E108)</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(291011104)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9,300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(302130109)</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(302182100)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49,100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(30231G102)</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(30249U101)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22,900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(311900104)</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(31428X106)</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37,600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(337738108)</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(349882100)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13,800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(354613101)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(35671D857)</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(369604103)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(37045V100)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(375558103)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(38141G104)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(38259P508)</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(384802104)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8,300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(399473107)</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(406216101)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(411310105)</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(437076102)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(438516106)</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(45865V100)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13,000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(459200101)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(46120E602)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(461202103)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(46625H100)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10,800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(478366107)</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39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140" w:type="dxa"/>
            <w:vAlign w:val="bottom"/>
          </w:tcPr>
          <w:p>
            <w:pPr>
              <w:spacing w:after="0"/>
              <w:rPr>
                <w:sz w:val="12"/>
                <w:szCs w:val="12"/>
                <w:color w:val="auto"/>
              </w:rPr>
            </w:pPr>
          </w:p>
        </w:tc>
        <w:tc>
          <w:tcPr>
            <w:tcW w:w="2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4140" w:type="dxa"/>
            <w:vAlign w:val="bottom"/>
          </w:tcPr>
          <w:p>
            <w:pPr>
              <w:spacing w:after="0"/>
              <w:rPr>
                <w:sz w:val="13"/>
                <w:szCs w:val="13"/>
                <w:color w:val="auto"/>
              </w:rPr>
            </w:pPr>
          </w:p>
        </w:tc>
        <w:tc>
          <w:tcPr>
            <w:tcW w:w="21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Maturity Value</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(481165108)</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(48203R104)</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60,000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(485170302)</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(517834107)</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52,800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Corporate common stock (53071M104)</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(532716107)</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5,600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(53578A108)</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(571748102)</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12,300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(571903202)</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59,057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4"/>
              </w:rPr>
              <w:t>Corporate common stock (57636Q104)</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14,900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(577081102)</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(580135101)</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21,400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Corporate common stock (58155Q103)</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(594918104)</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Corporate common stock (6116W101)</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(654106103)</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24,200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(665859104)</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(67103H107)</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23,100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(674599105)</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(681919106)</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10,600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(704549104)</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(723787107)</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5,600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(74005P104)</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(740189105)</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20,100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(741503403)</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(742718109)</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(744320102)</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(747525103)</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85,600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(751212101)</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(75281A109)</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15,000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(776696106)</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(79466L302)</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3,100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(806857108)</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(808513105)</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(824348106)</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(82481R106)</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(854502101)</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(855244109)</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93,400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(85590A401)</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(857477103)</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20,200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(863667101)</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(87236Y108)</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10,400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(883556102)</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(88579Y101)</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3,400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(886547108)</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(887317303)</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(902973304)</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(907818108)</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31,000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(913017109)</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(91324P102)</w:t>
            </w:r>
          </w:p>
        </w:tc>
        <w:tc>
          <w:tcPr>
            <w:tcW w:w="4140" w:type="dxa"/>
            <w:vAlign w:val="bottom"/>
          </w:tcPr>
          <w:p>
            <w:pPr>
              <w:spacing w:after="0"/>
              <w:rPr>
                <w:sz w:val="18"/>
                <w:szCs w:val="18"/>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rPr>
              <w:t>12,400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(92826C839)</w:t>
            </w:r>
          </w:p>
        </w:tc>
        <w:tc>
          <w:tcPr>
            <w:tcW w:w="4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Rate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Interest, Collateral,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52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Par, or</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5280" w:type="dxa"/>
            <w:vAlign w:val="bottom"/>
            <w:gridSpan w:val="3"/>
            <w:vMerge w:val="continue"/>
          </w:tcPr>
          <w:p>
            <w:pPr>
              <w:spacing w:after="0"/>
              <w:rPr>
                <w:sz w:val="13"/>
                <w:szCs w:val="13"/>
                <w:color w:val="auto"/>
              </w:rPr>
            </w:pPr>
          </w:p>
        </w:tc>
        <w:tc>
          <w:tcPr>
            <w:tcW w:w="2860" w:type="dxa"/>
            <w:vAlign w:val="bottom"/>
          </w:tcPr>
          <w:p>
            <w:pPr>
              <w:spacing w:after="0"/>
              <w:rPr>
                <w:sz w:val="13"/>
                <w:szCs w:val="13"/>
                <w:color w:val="auto"/>
              </w:rPr>
            </w:pPr>
          </w:p>
        </w:tc>
        <w:tc>
          <w:tcPr>
            <w:tcW w:w="206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91"/>
              </w:rPr>
              <w:t>Maturity Value</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(948626106)</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(949746101)</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10,400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(959802109)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(966837106)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16,800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(983134107)</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(983919101)</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37,600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(988498101)</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Interest bearing cash (98765455B)</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420,407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Benefit Claims Payable</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Payables</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4"/>
              </w:rPr>
              <w:t>Common Collective Trust (at fair value) – not Direct Filing Entity</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Thompson, Siegel and Walmsley SMID Cap Value</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(B4XGY11 )</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(007865108)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21,950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(011659109)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(018802108)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24,000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(023436108)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(03073T102)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11,600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(06985P100)</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(084423102)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33,500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(093671105)</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65,200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(125896100)</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69,300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(12662P108)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(127190304)</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13,100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(147528103)</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(15189T107)</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34,700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(18538R103)</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(200340107)</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22,800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(2172372)</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46,200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(2256908)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32,400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(228368106)</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(229669106)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17,600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(231561101)</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(2339252)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(251893103)</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(252603105)</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19,800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(25389M877)</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(25400B108)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29,300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(257559203)</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(2671932)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16,400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(2728429)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(27579R104)</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26,400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(278768106)</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(29084Q100)</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26,300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(29264F205)</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30,200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(302941109)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26,300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(303250104)</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511"/>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60" w:type="dxa"/>
            <w:vAlign w:val="bottom"/>
          </w:tcPr>
          <w:p>
            <w:pPr>
              <w:jc w:val="right"/>
              <w:ind w:right="2432"/>
              <w:spacing w:after="0"/>
              <w:rPr>
                <w:sz w:val="20"/>
                <w:szCs w:val="20"/>
                <w:color w:val="auto"/>
              </w:rPr>
            </w:pPr>
            <w:r>
              <w:rPr>
                <w:rFonts w:ascii="Arial" w:cs="Arial" w:eastAsia="Arial" w:hAnsi="Arial"/>
                <w:sz w:val="18"/>
                <w:szCs w:val="18"/>
                <w:color w:val="auto"/>
              </w:rPr>
              <w:t>13</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2"/>
                <w:szCs w:val="12"/>
                <w:color w:val="auto"/>
              </w:rPr>
            </w:pPr>
          </w:p>
        </w:tc>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214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91"/>
              </w:rPr>
              <w:t>Maturity Value</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(33616C100)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(36191U106)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75,500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Corporate common stock (36467W109)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(378967103)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106,200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(37940X102)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(404132102)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37,200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(405024100)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(410867105)</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30,000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(426281101)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(436440101)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46,600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(451055107)</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(451107106)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31,000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(45256B101)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(488360207)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65,100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(493267108)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(497266106)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10,800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(501242101)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(512807108)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21,800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(52602E102)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(529771107)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27,400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(53219L109)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(55272X102)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173,000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(570535104)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(584690309)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28,800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(58502B106)</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(64115T104)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19,700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(64126X201)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(64128B108)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39,600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(651718504)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(670837103)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15,500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(675746309)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(688239201)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5,100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(703481101)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(723484101)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29,000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(73930R102)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(78505P100)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6,100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(80007P307)</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(82705T102)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100,000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(829226109)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(82966C103)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13,100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(86764P109)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(879664100)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125,000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(880770102)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(88164L100)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60,300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(891906109)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(903236107)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19,100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(90333E108)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(909214306)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23,600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(911268100)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65,363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(918866104)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34,200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(92275P307)</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Rate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Interest, Collateral,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w w:val="93"/>
              </w:rPr>
              <w:t>(a)</w:t>
            </w:r>
          </w:p>
        </w:tc>
        <w:tc>
          <w:tcPr>
            <w:tcW w:w="3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36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Par, or</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c>
          <w:tcPr>
            <w:tcW w:w="0" w:type="dxa"/>
            <w:vAlign w:val="bottom"/>
          </w:tcPr>
          <w:p>
            <w:pPr>
              <w:spacing w:after="0"/>
              <w:rPr>
                <w:sz w:val="1"/>
                <w:szCs w:val="1"/>
                <w:color w:val="auto"/>
              </w:rPr>
            </w:pPr>
          </w:p>
        </w:tc>
      </w:tr>
      <w:tr>
        <w:trPr>
          <w:trHeight w:val="155"/>
        </w:trPr>
        <w:tc>
          <w:tcPr>
            <w:tcW w:w="180" w:type="dxa"/>
            <w:vAlign w:val="bottom"/>
            <w:vMerge w:val="continue"/>
          </w:tcPr>
          <w:p>
            <w:pPr>
              <w:spacing w:after="0"/>
              <w:rPr>
                <w:sz w:val="13"/>
                <w:szCs w:val="13"/>
                <w:color w:val="auto"/>
              </w:rPr>
            </w:pPr>
          </w:p>
        </w:tc>
        <w:tc>
          <w:tcPr>
            <w:tcW w:w="3860" w:type="dxa"/>
            <w:vAlign w:val="bottom"/>
            <w:gridSpan w:val="2"/>
            <w:vMerge w:val="continue"/>
          </w:tcPr>
          <w:p>
            <w:pPr>
              <w:spacing w:after="0"/>
              <w:rPr>
                <w:sz w:val="13"/>
                <w:szCs w:val="13"/>
                <w:color w:val="auto"/>
              </w:rPr>
            </w:pPr>
          </w:p>
        </w:tc>
        <w:tc>
          <w:tcPr>
            <w:tcW w:w="4360" w:type="dxa"/>
            <w:vAlign w:val="bottom"/>
          </w:tcPr>
          <w:p>
            <w:pPr>
              <w:spacing w:after="0"/>
              <w:rPr>
                <w:sz w:val="13"/>
                <w:szCs w:val="13"/>
                <w:color w:val="auto"/>
              </w:rPr>
            </w:pPr>
          </w:p>
        </w:tc>
        <w:tc>
          <w:tcPr>
            <w:tcW w:w="19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1"/>
              </w:rPr>
              <w:t>Maturity Value</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1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(92886T201)</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241,600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6"/>
              </w:rPr>
              <w:t>Corporate common stock (939640108)</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2,100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Corporate common stock (94946T106)</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w w:val="95"/>
              </w:rPr>
              <w:t>Corporate common stock (95709T100)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56,800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Corporate common stock (968223206)</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Interest bearing cash (98765455B)</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1,909,388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Benefit Claims Payable</w:t>
            </w:r>
          </w:p>
        </w:tc>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Payables</w:t>
            </w: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3860" w:type="dxa"/>
            <w:vAlign w:val="bottom"/>
            <w:gridSpan w:val="2"/>
          </w:tcPr>
          <w:p>
            <w:pPr>
              <w:ind w:left="440"/>
              <w:spacing w:after="0"/>
              <w:rPr>
                <w:sz w:val="20"/>
                <w:szCs w:val="20"/>
                <w:color w:val="auto"/>
              </w:rPr>
            </w:pPr>
            <w:r>
              <w:rPr>
                <w:rFonts w:ascii="Arial" w:cs="Arial" w:eastAsia="Arial" w:hAnsi="Arial"/>
                <w:sz w:val="18"/>
                <w:szCs w:val="18"/>
                <w:color w:val="auto"/>
              </w:rPr>
              <w:t>Common collective trusts</w:t>
            </w:r>
          </w:p>
        </w:tc>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Income</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196,826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Vanguard Target 2010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395,713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2015</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1,313,593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Vanguard Target 2020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2,612,520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81,563</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2025</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3,456,560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Vanguard Target 2030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3,598,292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103,955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2035</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3,577,291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Vanguard Target 2040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3,375,804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95,535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2045</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2,705,073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76,310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Vanguard Target 2050</w:t>
            </w:r>
          </w:p>
        </w:tc>
        <w:tc>
          <w:tcPr>
            <w:tcW w:w="43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1,538,967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43,645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Target 2055</w:t>
            </w:r>
          </w:p>
        </w:tc>
        <w:tc>
          <w:tcPr>
            <w:tcW w:w="4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86,730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Mellon Aggregate Bond Index Fund</w:t>
            </w:r>
          </w:p>
        </w:tc>
        <w:tc>
          <w:tcPr>
            <w:tcW w:w="4360" w:type="dxa"/>
            <w:vAlign w:val="bottom"/>
          </w:tcPr>
          <w:p>
            <w:pPr>
              <w:spacing w:after="0"/>
              <w:rPr>
                <w:sz w:val="19"/>
                <w:szCs w:val="19"/>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569,011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Corporation Stock (at fair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Class A Common Stock</w:t>
            </w:r>
          </w:p>
        </w:tc>
        <w:tc>
          <w:tcPr>
            <w:tcW w:w="2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9,174,843 shares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217,536</w:t>
            </w:r>
          </w:p>
        </w:tc>
      </w:tr>
      <w:tr>
        <w:trPr>
          <w:trHeight w:val="223"/>
        </w:trPr>
        <w:tc>
          <w:tcPr>
            <w:tcW w:w="280" w:type="dxa"/>
            <w:vAlign w:val="bottom"/>
          </w:tcPr>
          <w:p>
            <w:pPr>
              <w:spacing w:after="0"/>
              <w:rPr>
                <w:sz w:val="19"/>
                <w:szCs w:val="19"/>
                <w:color w:val="auto"/>
              </w:rPr>
            </w:pPr>
          </w:p>
        </w:tc>
        <w:tc>
          <w:tcPr>
            <w:tcW w:w="7860" w:type="dxa"/>
            <w:vAlign w:val="bottom"/>
            <w:gridSpan w:val="2"/>
          </w:tcPr>
          <w:p>
            <w:pPr>
              <w:ind w:left="780"/>
              <w:spacing w:after="0"/>
              <w:rPr>
                <w:sz w:val="20"/>
                <w:szCs w:val="20"/>
                <w:color w:val="auto"/>
              </w:rPr>
            </w:pPr>
            <w:r>
              <w:rPr>
                <w:rFonts w:ascii="Arial" w:cs="Arial" w:eastAsia="Arial" w:hAnsi="Arial"/>
                <w:sz w:val="18"/>
                <w:szCs w:val="18"/>
                <w:color w:val="auto"/>
              </w:rPr>
              <w:t>Class A Special Common Stock</w:t>
            </w:r>
          </w:p>
        </w:tc>
        <w:tc>
          <w:tcPr>
            <w:tcW w:w="2240" w:type="dxa"/>
            <w:vAlign w:val="bottom"/>
          </w:tcPr>
          <w:p>
            <w:pPr>
              <w:jc w:val="right"/>
              <w:ind w:right="432"/>
              <w:spacing w:after="0"/>
              <w:rPr>
                <w:sz w:val="20"/>
                <w:szCs w:val="20"/>
                <w:color w:val="auto"/>
              </w:rPr>
            </w:pPr>
            <w:r>
              <w:rPr>
                <w:rFonts w:ascii="Arial" w:cs="Arial" w:eastAsia="Arial" w:hAnsi="Arial"/>
                <w:sz w:val="18"/>
                <w:szCs w:val="18"/>
                <w:color w:val="auto"/>
              </w:rPr>
              <w:t>1,363,566 shares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32,126</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249,662</w:t>
            </w:r>
          </w:p>
        </w:tc>
      </w:tr>
      <w:tr>
        <w:trPr>
          <w:trHeight w:val="222"/>
        </w:trPr>
        <w:tc>
          <w:tcPr>
            <w:tcW w:w="28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Comcast Stable Value Fund (at fair value)</w:t>
            </w:r>
          </w:p>
        </w:tc>
        <w:tc>
          <w:tcPr>
            <w:tcW w:w="2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Fidelity Short Term Investment Fund; .19%</w:t>
            </w:r>
          </w:p>
        </w:tc>
        <w:tc>
          <w:tcPr>
            <w:tcW w:w="2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3,256,339 units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r>
      <w:tr>
        <w:trPr>
          <w:trHeight w:val="216"/>
        </w:trPr>
        <w:tc>
          <w:tcPr>
            <w:tcW w:w="280" w:type="dxa"/>
            <w:vAlign w:val="bottom"/>
          </w:tcPr>
          <w:p>
            <w:pPr>
              <w:spacing w:after="0"/>
              <w:rPr>
                <w:sz w:val="18"/>
                <w:szCs w:val="18"/>
                <w:color w:val="auto"/>
              </w:rPr>
            </w:pPr>
          </w:p>
        </w:tc>
        <w:tc>
          <w:tcPr>
            <w:tcW w:w="7860" w:type="dxa"/>
            <w:vAlign w:val="bottom"/>
            <w:gridSpan w:val="2"/>
          </w:tcPr>
          <w:p>
            <w:pPr>
              <w:ind w:left="780"/>
              <w:spacing w:after="0"/>
              <w:rPr>
                <w:sz w:val="20"/>
                <w:szCs w:val="20"/>
                <w:color w:val="auto"/>
              </w:rPr>
            </w:pPr>
            <w:r>
              <w:rPr>
                <w:rFonts w:ascii="Arial" w:cs="Arial" w:eastAsia="Arial" w:hAnsi="Arial"/>
                <w:sz w:val="18"/>
                <w:szCs w:val="18"/>
                <w:color w:val="auto"/>
              </w:rPr>
              <w:t>Security-Backed Investment Contracts: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Natixis; 2.35%</w:t>
            </w:r>
          </w:p>
        </w:tc>
        <w:tc>
          <w:tcPr>
            <w:tcW w:w="2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142,029,247 units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147,195</w:t>
            </w:r>
          </w:p>
        </w:tc>
      </w:tr>
      <w:tr>
        <w:trPr>
          <w:trHeight w:val="216"/>
        </w:trPr>
        <w:tc>
          <w:tcPr>
            <w:tcW w:w="280" w:type="dxa"/>
            <w:vAlign w:val="bottom"/>
          </w:tcPr>
          <w:p>
            <w:pPr>
              <w:spacing w:after="0"/>
              <w:rPr>
                <w:sz w:val="18"/>
                <w:szCs w:val="18"/>
                <w:color w:val="auto"/>
              </w:rPr>
            </w:pPr>
          </w:p>
        </w:tc>
        <w:tc>
          <w:tcPr>
            <w:tcW w:w="7860" w:type="dxa"/>
            <w:vAlign w:val="bottom"/>
            <w:gridSpan w:val="2"/>
          </w:tcPr>
          <w:p>
            <w:pPr>
              <w:ind w:left="780"/>
              <w:spacing w:after="0"/>
              <w:rPr>
                <w:sz w:val="20"/>
                <w:szCs w:val="20"/>
                <w:color w:val="auto"/>
              </w:rPr>
            </w:pPr>
            <w:r>
              <w:rPr>
                <w:rFonts w:ascii="Arial" w:cs="Arial" w:eastAsia="Arial" w:hAnsi="Arial"/>
                <w:sz w:val="18"/>
                <w:szCs w:val="18"/>
                <w:color w:val="auto"/>
              </w:rPr>
              <w:t>JP Morgan Chase; 2.39%</w:t>
            </w:r>
          </w:p>
        </w:tc>
        <w:tc>
          <w:tcPr>
            <w:tcW w:w="2400" w:type="dxa"/>
            <w:vAlign w:val="bottom"/>
            <w:gridSpan w:val="2"/>
          </w:tcPr>
          <w:p>
            <w:pPr>
              <w:jc w:val="right"/>
              <w:ind w:right="680"/>
              <w:spacing w:after="0"/>
              <w:rPr>
                <w:sz w:val="20"/>
                <w:szCs w:val="20"/>
                <w:color w:val="auto"/>
              </w:rPr>
            </w:pPr>
            <w:r>
              <w:rPr>
                <w:rFonts w:ascii="Arial" w:cs="Arial" w:eastAsia="Arial" w:hAnsi="Arial"/>
                <w:sz w:val="18"/>
                <w:szCs w:val="18"/>
                <w:color w:val="auto"/>
              </w:rPr>
              <w:t>192,675,460 units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199,684</w:t>
            </w:r>
          </w:p>
        </w:tc>
      </w:tr>
      <w:tr>
        <w:trPr>
          <w:trHeight w:val="216"/>
        </w:trPr>
        <w:tc>
          <w:tcPr>
            <w:tcW w:w="2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AIG Financial Products Corp; 2.28%</w:t>
            </w:r>
          </w:p>
        </w:tc>
        <w:tc>
          <w:tcPr>
            <w:tcW w:w="2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91,392,117 units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94,716</w:t>
            </w:r>
          </w:p>
        </w:tc>
      </w:tr>
      <w:tr>
        <w:trPr>
          <w:trHeight w:val="223"/>
        </w:trPr>
        <w:tc>
          <w:tcPr>
            <w:tcW w:w="280" w:type="dxa"/>
            <w:vAlign w:val="bottom"/>
          </w:tcPr>
          <w:p>
            <w:pPr>
              <w:spacing w:after="0"/>
              <w:rPr>
                <w:sz w:val="19"/>
                <w:szCs w:val="19"/>
                <w:color w:val="auto"/>
              </w:rPr>
            </w:pPr>
          </w:p>
        </w:tc>
        <w:tc>
          <w:tcPr>
            <w:tcW w:w="7860" w:type="dxa"/>
            <w:vAlign w:val="bottom"/>
            <w:gridSpan w:val="2"/>
          </w:tcPr>
          <w:p>
            <w:pPr>
              <w:ind w:left="780"/>
              <w:spacing w:after="0"/>
              <w:rPr>
                <w:sz w:val="20"/>
                <w:szCs w:val="20"/>
                <w:color w:val="auto"/>
              </w:rPr>
            </w:pPr>
            <w:r>
              <w:rPr>
                <w:rFonts w:ascii="Arial" w:cs="Arial" w:eastAsia="Arial" w:hAnsi="Arial"/>
                <w:sz w:val="18"/>
                <w:szCs w:val="18"/>
                <w:color w:val="auto"/>
              </w:rPr>
              <w:t>State Street Bank and Trust Company Boston; 2.34%</w:t>
            </w:r>
          </w:p>
        </w:tc>
        <w:tc>
          <w:tcPr>
            <w:tcW w:w="2240" w:type="dxa"/>
            <w:vAlign w:val="bottom"/>
          </w:tcPr>
          <w:p>
            <w:pPr>
              <w:jc w:val="right"/>
              <w:ind w:right="432"/>
              <w:spacing w:after="0"/>
              <w:rPr>
                <w:sz w:val="20"/>
                <w:szCs w:val="20"/>
                <w:color w:val="auto"/>
              </w:rPr>
            </w:pPr>
            <w:r>
              <w:rPr>
                <w:rFonts w:ascii="Arial" w:cs="Arial" w:eastAsia="Arial" w:hAnsi="Arial"/>
                <w:sz w:val="18"/>
                <w:szCs w:val="18"/>
                <w:color w:val="auto"/>
              </w:rPr>
              <w:t>142,038,378 units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147,205</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588,800</w:t>
            </w:r>
          </w:p>
        </w:tc>
        <w:tc>
          <w:tcPr>
            <w:tcW w:w="100" w:type="dxa"/>
            <w:vAlign w:val="bottom"/>
            <w:shd w:val="clear" w:color="auto" w:fill="CCEEFF"/>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592,008</w:t>
            </w:r>
          </w:p>
        </w:tc>
      </w:tr>
      <w:tr>
        <w:trPr>
          <w:trHeight w:val="208"/>
        </w:trPr>
        <w:tc>
          <w:tcPr>
            <w:tcW w:w="2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Notes receivable from participants (principal balance plus accrued but unpaid interest – interest rates</w:t>
            </w:r>
          </w:p>
        </w:tc>
        <w:tc>
          <w:tcPr>
            <w:tcW w:w="2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8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from 4.25% to 9.50%; maturities from 2012 to 2038)</w:t>
            </w:r>
          </w:p>
        </w:tc>
        <w:tc>
          <w:tcPr>
            <w:tcW w:w="2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118,785</w:t>
            </w:r>
          </w:p>
        </w:tc>
        <w:tc>
          <w:tcPr>
            <w:tcW w:w="100" w:type="dxa"/>
            <w:vAlign w:val="bottom"/>
            <w:shd w:val="clear" w:color="auto" w:fill="CCEEFF"/>
          </w:tcPr>
          <w:p>
            <w:pPr>
              <w:spacing w:after="0"/>
              <w:rPr>
                <w:sz w:val="19"/>
                <w:szCs w:val="19"/>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3,429,820</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60" w:type="dxa"/>
            <w:vAlign w:val="bottom"/>
            <w:gridSpan w:val="2"/>
          </w:tcPr>
          <w:p>
            <w:pPr>
              <w:ind w:left="180"/>
              <w:spacing w:after="0"/>
              <w:rPr>
                <w:sz w:val="20"/>
                <w:szCs w:val="20"/>
                <w:color w:val="auto"/>
              </w:rPr>
            </w:pPr>
            <w:r>
              <w:rPr>
                <w:rFonts w:ascii="Arial" w:cs="Arial" w:eastAsia="Arial" w:hAnsi="Arial"/>
                <w:sz w:val="18"/>
                <w:szCs w:val="18"/>
                <w:color w:val="auto"/>
              </w:rPr>
              <w:t>Represents a party-in-interest to the Plan.</w:t>
            </w: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7860" w:type="dxa"/>
            <w:vAlign w:val="bottom"/>
            <w:gridSpan w:val="2"/>
          </w:tcPr>
          <w:p>
            <w:pPr>
              <w:ind w:left="5340"/>
              <w:spacing w:after="0"/>
              <w:rPr>
                <w:sz w:val="20"/>
                <w:szCs w:val="20"/>
                <w:color w:val="auto"/>
              </w:rPr>
            </w:pPr>
            <w:r>
              <w:rPr>
                <w:rFonts w:ascii="Arial" w:cs="Arial" w:eastAsia="Arial" w:hAnsi="Arial"/>
                <w:sz w:val="18"/>
                <w:szCs w:val="18"/>
                <w:color w:val="auto"/>
              </w:rPr>
              <w:t>15</w:t>
            </w: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consent to the incorporation by reference in Registration Statement No. 333-101295 of Comcast Corporation on Form S-8 of our report dated June 26, 2012, relating to the statements of net assets available for benefits as of December 31, 2011 and 2010, the related statement of changes in net assets available for benefits for the year ended December 31, 2011 and the related supplemental Schedule H – Part IV – Line 4i-Schedule of Assets (Held at End of Year) as of December 31, 2011, which report appears in the December 31, 2011 Annual Report on Form 11-K of the Comcast Corporation Retirement-Investment Plan.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RETIREMENT-INVESTMENT PLAN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7"/>
    </w:lvl>
    <w:lvl w:ilvl="1">
      <w:lvlJc w:val="left"/>
      <w:lvlText w:val="%2."/>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2019-12-09T15:05:55Z</dcterms:created>
  <dcterms:modified xsi:type="dcterms:W3CDTF">2019-12-09T15:05:55Z</dcterms:modified>
</cp:coreProperties>
</file>