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17, 2013</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Re: Comcast Corporation</w:t>
      </w:r>
    </w:p>
    <w:p>
      <w:pPr>
        <w:spacing w:after="0" w:line="2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the fiscal year ended December 31, 2012</w:t>
      </w:r>
    </w:p>
    <w:p>
      <w:pPr>
        <w:spacing w:after="0" w:line="7"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February 21, 2013</w:t>
      </w:r>
    </w:p>
    <w:p>
      <w:pPr>
        <w:spacing w:after="0" w:line="7"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Response dated July 18, 2013</w:t>
      </w:r>
    </w:p>
    <w:p>
      <w:pPr>
        <w:spacing w:after="0" w:line="7"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1-32871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47"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September 4, 2013, relating to the review of our Form 10-K for the fiscal year ended December 31, 2012 (the “2012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2012</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page 44</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Introduction and Overview, page 44</w:t>
      </w:r>
    </w:p>
    <w:p>
      <w:pPr>
        <w:spacing w:after="0" w:line="247" w:lineRule="exact"/>
        <w:rPr>
          <w:sz w:val="24"/>
          <w:szCs w:val="24"/>
          <w:color w:val="auto"/>
        </w:rPr>
      </w:pPr>
    </w:p>
    <w:p>
      <w:pPr>
        <w:ind w:left="1040" w:hanging="312"/>
        <w:spacing w:after="0" w:line="297" w:lineRule="auto"/>
        <w:tabs>
          <w:tab w:leader="none" w:pos="10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comment no. 1. Please tell us, with a view towards disclosure in future filings, whether the change in consumer behavior within the cable industry known as “cord cutting” has contributed in a significant way to the decline in video customers you continue to experience. Further, tell us if customer cord cutting has resulted in significant cost increases in providing internet services to your customers, and if so, any significant losses of customers. Please outline the steps management is taking or planning to take to address any negative trends.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1" w:lineRule="exact"/>
        <w:rPr>
          <w:sz w:val="24"/>
          <w:szCs w:val="24"/>
          <w:color w:val="auto"/>
        </w:rPr>
      </w:pPr>
    </w:p>
    <w:p>
      <w:pPr>
        <w:ind w:right="80"/>
        <w:spacing w:after="0" w:line="274" w:lineRule="auto"/>
        <w:rPr>
          <w:sz w:val="20"/>
          <w:szCs w:val="20"/>
          <w:color w:val="auto"/>
        </w:rPr>
      </w:pPr>
      <w:r>
        <w:rPr>
          <w:rFonts w:ascii="Arial" w:cs="Arial" w:eastAsia="Arial" w:hAnsi="Arial"/>
          <w:sz w:val="17"/>
          <w:szCs w:val="17"/>
          <w:color w:val="auto"/>
        </w:rPr>
        <w:t>While it is not always possible to determine the precise reason a customer may terminate video services, based on industry reports and the results of our own surveys, we do not believe that to date “cord cutting,” where a person no longer subscribes to any pay-TV service, has had a significant impact on our number of video customer losses or on our results of operations. In fact, we believe most of our video customer net losses stem from the primary sources of competition we have identified on page 12 of the 2012 Form 10-K, namely from our phone and satellite company competitors.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389890</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713" w:right="319" w:bottom="1440" w:gutter="0" w:footer="0" w:header="0"/>
        </w:sectPr>
      </w:pPr>
    </w:p>
    <w:bookmarkStart w:id="1" w:name="page2"/>
    <w:bookmarkEnd w:id="1"/>
    <w:p>
      <w:pPr>
        <w:spacing w:after="0"/>
        <w:tabs>
          <w:tab w:leader="none" w:pos="99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4"/>
          <w:szCs w:val="14"/>
          <w:color w:val="auto"/>
        </w:rPr>
        <w:t>September 17, 2013</w:t>
      </w:r>
    </w:p>
    <w:p>
      <w:pPr>
        <w:spacing w:after="0" w:line="24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Consumers are viewing greater amounts of video content on the Internet through streaming or downloading services such as Netflix and iTunes. Increased video consumption on the Internet has not had a significant impact on our costs of operations for our high-speed Internet services, although it does require that we continue to invest in our network infrastructure and customer premises equipment to support increased demand for bandwidth and higher Internet speeds. We have always invested in capital to maintain and grow our businesses, although our capital expenditures as a percentage of revenue have remained relatively flat in recent years. Disclosures regarding our capital expenditures are set forth on page 64 of the MD&amp;A in the 2012 Form 10-K. Also, we have been gaining a significant number of high-speed Internet customers each quarter, and we believe that any increased viewing of video content on the Internet would result in additional, not fewer, high-speed Internet customers.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currently provide a description of the competition facing our businesses on page 48 of the MD&amp;A in the 2012 Form 10-K, and highlight certain steps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management is taking to compete effectively on page 5 of the 2012 Form 10-K in the Business section under Cable Communications Segment –</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Technology. However, we undertake to provide a summary of the foregoing and any other relevant considerations in the overview section of our MD&amp;A in our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future Forms 10-Q and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Cable Communications Segment – Revenue, page 50</w:t>
      </w:r>
    </w:p>
    <w:p>
      <w:pPr>
        <w:spacing w:after="0" w:line="247" w:lineRule="exact"/>
        <w:rPr>
          <w:sz w:val="20"/>
          <w:szCs w:val="20"/>
          <w:color w:val="auto"/>
        </w:rPr>
      </w:pPr>
    </w:p>
    <w:p>
      <w:pPr>
        <w:ind w:left="960" w:right="20" w:hanging="312"/>
        <w:spacing w:after="0" w:line="274" w:lineRule="auto"/>
        <w:tabs>
          <w:tab w:leader="none" w:pos="9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comment no. 3. We also note the quantitative changes you made to the Results of Operations discussion of the MD&amp;A in the recently filed Form 10-Q for the periods ending June 30, 2013. Please consider providing further insight into the underlying business drivers or conditions that contributed to the changes and describe any known trends or uncertainties that have had or you expect may reasonably have a material impact on your operations and if you believe that these trends are indicative of future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noted above, and as we discussed by telephone on September 11, 2013, we believe that our Form 10-Q appropriately disclosed the current underlying business drivers and conditions that contributed to changes in our operating results. We will continue to provide, and will consider providing additional, insight into underlying business drivers or conditions that contributed to the changes in our operating results. For example, we will state in future filings, as noted in our response to Question 1 above, that our video customer losses were primarily the result of competitive pressures from our phone and satellite competitors and rate increases (assuming the facts remain the same). We also undertake to describe, to the extent they exist, any known trends or uncertainties that we believe are reasonably likely to occur and would have a material impact on our results of operations or financial condition.</w:t>
      </w:r>
    </w:p>
    <w:p>
      <w:pPr>
        <w:spacing w:after="0" w:line="200" w:lineRule="exact"/>
        <w:rPr>
          <w:sz w:val="20"/>
          <w:szCs w:val="20"/>
          <w:color w:val="auto"/>
        </w:rPr>
      </w:pPr>
    </w:p>
    <w:p>
      <w:pPr>
        <w:spacing w:after="0" w:line="233" w:lineRule="exact"/>
        <w:rPr>
          <w:sz w:val="20"/>
          <w:szCs w:val="20"/>
          <w:color w:val="auto"/>
        </w:rPr>
      </w:pPr>
    </w:p>
    <w:p>
      <w:pPr>
        <w:ind w:left="5100"/>
        <w:spacing w:after="0"/>
        <w:tabs>
          <w:tab w:leader="none" w:pos="5640" w:val="left"/>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 w:name="page3"/>
    <w:bookmarkEnd w:id="2"/>
    <w:p>
      <w:pPr>
        <w:spacing w:after="0"/>
        <w:tabs>
          <w:tab w:leader="none" w:pos="99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4"/>
          <w:szCs w:val="14"/>
          <w:color w:val="auto"/>
        </w:rPr>
        <w:t>September 17,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4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Sincerely,</w:t>
      </w:r>
    </w:p>
    <w:p>
      <w:pPr>
        <w:spacing w:after="0" w:line="2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21704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0430" cy="17145"/>
                    </a:xfrm>
                    <a:prstGeom prst="rect">
                      <a:avLst/>
                    </a:prstGeom>
                    <a:noFill/>
                  </pic:spPr>
                </pic:pic>
              </a:graphicData>
            </a:graphic>
          </wp:anchor>
        </w:drawing>
      </w:r>
    </w:p>
    <w:p>
      <w:pPr>
        <w:spacing w:after="0" w:line="1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Chief Accounting</w:t>
      </w:r>
    </w:p>
    <w:p>
      <w:pPr>
        <w:spacing w:after="0" w:line="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Officer and Controller</w:t>
      </w:r>
    </w:p>
    <w:p>
      <w:pPr>
        <w:spacing w:after="0" w:line="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0" w:right="5680" w:hanging="773"/>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ind w:left="780"/>
        <w:spacing w:after="0"/>
        <w:rPr>
          <w:rFonts w:ascii="Arial" w:cs="Arial" w:eastAsia="Arial" w:hAnsi="Arial"/>
          <w:sz w:val="18"/>
          <w:szCs w:val="18"/>
          <w:color w:val="auto"/>
        </w:rPr>
      </w:pPr>
      <w:r>
        <w:rPr>
          <w:rFonts w:ascii="Arial" w:cs="Arial" w:eastAsia="Arial" w:hAnsi="Arial"/>
          <w:sz w:val="18"/>
          <w:szCs w:val="18"/>
          <w:color w:val="auto"/>
        </w:rPr>
        <w:t>Arthur R. Block, Senior Vice President, General Counsel and Secretary</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 Michael Cook, Director and Chairman of Audit Committee</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Bruce K. Dallas, Davis Polk &amp; Wardwell LLP</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Michael Titta, Deloitte &amp; Touche LLP</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sectPr>
      <w:pgSz w:w="11900" w:h="16838" w:orient="portrait"/>
      <w:cols w:equalWidth="0" w:num="1">
        <w:col w:w="11420"/>
      </w:cols>
      <w:pgMar w:left="240" w:top="5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2019-12-07T03:40:53Z</dcterms:created>
  <dcterms:modified xsi:type="dcterms:W3CDTF">2019-12-07T03:40:53Z</dcterms:modified>
</cp:coreProperties>
</file>