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7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364"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77" w:lineRule="exact"/>
        <w:rPr>
          <w:sz w:val="24"/>
          <w:szCs w:val="24"/>
          <w:color w:val="auto"/>
        </w:rPr>
      </w:pPr>
    </w:p>
    <w:p>
      <w:pPr>
        <w:ind w:left="354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001-32871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2165985</wp:posOffset>
            </wp:positionH>
            <wp:positionV relativeFrom="paragraph">
              <wp:posOffset>118110</wp:posOffset>
            </wp:positionV>
            <wp:extent cx="2933065" cy="8147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33065" cy="8147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COMCAST CORPORATION</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57" w:lineRule="exact"/>
        <w:rPr>
          <w:sz w:val="24"/>
          <w:szCs w:val="24"/>
          <w:color w:val="auto"/>
        </w:rPr>
      </w:pPr>
    </w:p>
    <w:tbl>
      <w:tblPr>
        <w:tblLayout w:type="fixed"/>
        <w:tblInd w:w="1360" w:type="dxa"/>
        <w:tblCellMar>
          <w:top w:w="0" w:type="dxa"/>
          <w:left w:w="0" w:type="dxa"/>
          <w:bottom w:w="0" w:type="dxa"/>
          <w:right w:w="0" w:type="dxa"/>
        </w:tblCellMar>
      </w:tblPr>
      <w:tr>
        <w:trPr>
          <w:trHeight w:val="222"/>
        </w:trPr>
        <w:tc>
          <w:tcPr>
            <w:tcW w:w="4820" w:type="dxa"/>
            <w:vAlign w:val="bottom"/>
          </w:tcPr>
          <w:p>
            <w:pPr>
              <w:jc w:val="center"/>
              <w:ind w:right="1832"/>
              <w:spacing w:after="0"/>
              <w:rPr>
                <w:sz w:val="20"/>
                <w:szCs w:val="20"/>
                <w:color w:val="auto"/>
              </w:rPr>
            </w:pPr>
            <w:r>
              <w:rPr>
                <w:rFonts w:ascii="Arial" w:cs="Arial" w:eastAsia="Arial" w:hAnsi="Arial"/>
                <w:sz w:val="18"/>
                <w:szCs w:val="18"/>
                <w:b w:val="1"/>
                <w:bCs w:val="1"/>
                <w:color w:val="auto"/>
                <w:w w:val="94"/>
              </w:rPr>
              <w:t>PENNSYLVANIA</w:t>
            </w:r>
          </w:p>
        </w:tc>
        <w:tc>
          <w:tcPr>
            <w:tcW w:w="3220" w:type="dxa"/>
            <w:vAlign w:val="bottom"/>
          </w:tcPr>
          <w:p>
            <w:pPr>
              <w:jc w:val="center"/>
              <w:ind w:left="1812"/>
              <w:spacing w:after="0"/>
              <w:rPr>
                <w:sz w:val="20"/>
                <w:szCs w:val="20"/>
                <w:color w:val="auto"/>
              </w:rPr>
            </w:pPr>
            <w:r>
              <w:rPr>
                <w:rFonts w:ascii="Arial" w:cs="Arial" w:eastAsia="Arial" w:hAnsi="Arial"/>
                <w:sz w:val="18"/>
                <w:szCs w:val="18"/>
                <w:b w:val="1"/>
                <w:bCs w:val="1"/>
                <w:color w:val="auto"/>
                <w:w w:val="87"/>
              </w:rPr>
              <w:t>27-0000798</w:t>
            </w:r>
          </w:p>
        </w:tc>
      </w:tr>
      <w:tr>
        <w:trPr>
          <w:trHeight w:val="216"/>
        </w:trPr>
        <w:tc>
          <w:tcPr>
            <w:tcW w:w="4820" w:type="dxa"/>
            <w:vAlign w:val="bottom"/>
          </w:tcPr>
          <w:p>
            <w:pPr>
              <w:jc w:val="center"/>
              <w:ind w:right="1832"/>
              <w:spacing w:after="0"/>
              <w:rPr>
                <w:sz w:val="20"/>
                <w:szCs w:val="20"/>
                <w:color w:val="auto"/>
              </w:rPr>
            </w:pPr>
            <w:r>
              <w:rPr>
                <w:rFonts w:ascii="Arial" w:cs="Arial" w:eastAsia="Arial" w:hAnsi="Arial"/>
                <w:sz w:val="18"/>
                <w:szCs w:val="18"/>
                <w:color w:val="auto"/>
                <w:w w:val="89"/>
              </w:rPr>
              <w:t>(State or other jurisdiction of</w:t>
            </w:r>
          </w:p>
        </w:tc>
        <w:tc>
          <w:tcPr>
            <w:tcW w:w="3220" w:type="dxa"/>
            <w:vAlign w:val="bottom"/>
          </w:tcPr>
          <w:p>
            <w:pPr>
              <w:jc w:val="center"/>
              <w:ind w:left="1812"/>
              <w:spacing w:after="0"/>
              <w:rPr>
                <w:sz w:val="20"/>
                <w:szCs w:val="20"/>
                <w:color w:val="auto"/>
              </w:rPr>
            </w:pPr>
            <w:r>
              <w:rPr>
                <w:rFonts w:ascii="Arial" w:cs="Arial" w:eastAsia="Arial" w:hAnsi="Arial"/>
                <w:sz w:val="18"/>
                <w:szCs w:val="18"/>
                <w:color w:val="auto"/>
                <w:w w:val="90"/>
              </w:rPr>
              <w:t>(I.R.S. Employer</w:t>
            </w:r>
          </w:p>
        </w:tc>
      </w:tr>
      <w:tr>
        <w:trPr>
          <w:trHeight w:val="222"/>
        </w:trPr>
        <w:tc>
          <w:tcPr>
            <w:tcW w:w="4820" w:type="dxa"/>
            <w:vAlign w:val="bottom"/>
          </w:tcPr>
          <w:p>
            <w:pPr>
              <w:jc w:val="center"/>
              <w:ind w:right="1832"/>
              <w:spacing w:after="0"/>
              <w:rPr>
                <w:sz w:val="20"/>
                <w:szCs w:val="20"/>
                <w:color w:val="auto"/>
              </w:rPr>
            </w:pPr>
            <w:r>
              <w:rPr>
                <w:rFonts w:ascii="Arial" w:cs="Arial" w:eastAsia="Arial" w:hAnsi="Arial"/>
                <w:sz w:val="18"/>
                <w:szCs w:val="18"/>
                <w:color w:val="auto"/>
                <w:w w:val="89"/>
              </w:rPr>
              <w:t>incorporation or organization)</w:t>
            </w:r>
          </w:p>
        </w:tc>
        <w:tc>
          <w:tcPr>
            <w:tcW w:w="3220" w:type="dxa"/>
            <w:vAlign w:val="bottom"/>
          </w:tcPr>
          <w:p>
            <w:pPr>
              <w:jc w:val="center"/>
              <w:ind w:left="181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4820" w:type="dxa"/>
            <w:vAlign w:val="bottom"/>
          </w:tcPr>
          <w:p>
            <w:pPr>
              <w:jc w:val="center"/>
              <w:ind w:right="1832"/>
              <w:spacing w:after="0"/>
              <w:rPr>
                <w:sz w:val="20"/>
                <w:szCs w:val="20"/>
                <w:color w:val="auto"/>
              </w:rPr>
            </w:pPr>
            <w:r>
              <w:rPr>
                <w:rFonts w:ascii="Arial" w:cs="Arial" w:eastAsia="Arial" w:hAnsi="Arial"/>
                <w:sz w:val="18"/>
                <w:szCs w:val="18"/>
                <w:b w:val="1"/>
                <w:bCs w:val="1"/>
                <w:color w:val="auto"/>
                <w:w w:val="88"/>
              </w:rPr>
              <w:t>One Comcast Center, Philadelphia, PA</w:t>
            </w:r>
          </w:p>
        </w:tc>
        <w:tc>
          <w:tcPr>
            <w:tcW w:w="3220" w:type="dxa"/>
            <w:vAlign w:val="bottom"/>
          </w:tcPr>
          <w:p>
            <w:pPr>
              <w:jc w:val="center"/>
              <w:ind w:left="1812"/>
              <w:spacing w:after="0"/>
              <w:rPr>
                <w:sz w:val="20"/>
                <w:szCs w:val="20"/>
                <w:color w:val="auto"/>
              </w:rPr>
            </w:pPr>
            <w:r>
              <w:rPr>
                <w:rFonts w:ascii="Arial" w:cs="Arial" w:eastAsia="Arial" w:hAnsi="Arial"/>
                <w:sz w:val="18"/>
                <w:szCs w:val="18"/>
                <w:b w:val="1"/>
                <w:bCs w:val="1"/>
                <w:color w:val="auto"/>
                <w:w w:val="87"/>
              </w:rPr>
              <w:t>19103-2838</w:t>
            </w:r>
          </w:p>
        </w:tc>
      </w:tr>
      <w:tr>
        <w:trPr>
          <w:trHeight w:val="222"/>
        </w:trPr>
        <w:tc>
          <w:tcPr>
            <w:tcW w:w="4820" w:type="dxa"/>
            <w:vAlign w:val="bottom"/>
          </w:tcPr>
          <w:p>
            <w:pPr>
              <w:jc w:val="center"/>
              <w:ind w:right="1832"/>
              <w:spacing w:after="0"/>
              <w:rPr>
                <w:sz w:val="20"/>
                <w:szCs w:val="20"/>
                <w:color w:val="auto"/>
              </w:rPr>
            </w:pPr>
            <w:r>
              <w:rPr>
                <w:rFonts w:ascii="Arial" w:cs="Arial" w:eastAsia="Arial" w:hAnsi="Arial"/>
                <w:sz w:val="18"/>
                <w:szCs w:val="18"/>
                <w:color w:val="auto"/>
                <w:w w:val="90"/>
              </w:rPr>
              <w:t>(Address of principal executive offices)</w:t>
            </w:r>
          </w:p>
        </w:tc>
        <w:tc>
          <w:tcPr>
            <w:tcW w:w="3220" w:type="dxa"/>
            <w:vAlign w:val="bottom"/>
          </w:tcPr>
          <w:p>
            <w:pPr>
              <w:jc w:val="center"/>
              <w:ind w:left="1812"/>
              <w:spacing w:after="0"/>
              <w:rPr>
                <w:sz w:val="20"/>
                <w:szCs w:val="20"/>
                <w:color w:val="auto"/>
              </w:rPr>
            </w:pPr>
            <w:r>
              <w:rPr>
                <w:rFonts w:ascii="Arial" w:cs="Arial" w:eastAsia="Arial" w:hAnsi="Arial"/>
                <w:sz w:val="18"/>
                <w:szCs w:val="18"/>
                <w:color w:val="auto"/>
                <w:w w:val="89"/>
              </w:rPr>
              <w:t>(Zip Code)</w:t>
            </w:r>
          </w:p>
        </w:tc>
      </w:tr>
    </w:tbl>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(215) 286-1700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9"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w:t>
      </w:r>
    </w:p>
    <w:p>
      <w:pPr>
        <w:spacing w:after="0" w:line="1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1"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period that the registrant was required to submit and post such files).</w:t>
      </w:r>
    </w:p>
    <w:p>
      <w:pPr>
        <w:spacing w:after="0" w:line="1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9"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5" w:lineRule="exact"/>
        <w:rPr>
          <w:sz w:val="24"/>
          <w:szCs w:val="24"/>
          <w:color w:val="auto"/>
        </w:rPr>
      </w:pPr>
    </w:p>
    <w:p>
      <w:pPr>
        <w:ind w:right="3380" w:firstLine="5"/>
        <w:spacing w:after="0" w:line="270"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whether the Registrant is a shell company (as defined in Rule 12b-2 of the Act).</w:t>
      </w:r>
    </w:p>
    <w:p>
      <w:pPr>
        <w:spacing w:after="0" w:line="29"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As of September 30, 2011, there were 2,092,580,146 shares of our Class A common stock, 622,816,473 shares of our Class A Special common stock and 9,444,375 shares of our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60" w:type="dxa"/>
            <w:vAlign w:val="bottom"/>
          </w:tcPr>
          <w:p>
            <w:pPr>
              <w:jc w:val="right"/>
              <w:ind w:right="92"/>
              <w:spacing w:after="0" w:line="152" w:lineRule="exact"/>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340" w:type="dxa"/>
            <w:vAlign w:val="bottom"/>
            <w:gridSpan w:val="16"/>
          </w:tcPr>
          <w:p>
            <w:pPr>
              <w:spacing w:after="0" w:line="129" w:lineRule="exact"/>
              <w:rPr>
                <w:sz w:val="20"/>
                <w:szCs w:val="20"/>
                <w:color w:val="auto"/>
              </w:rPr>
            </w:pPr>
            <w:r>
              <w:rPr>
                <w:rFonts w:ascii="Arial" w:cs="Arial" w:eastAsia="Arial" w:hAnsi="Arial"/>
                <w:sz w:val="14"/>
                <w:szCs w:val="14"/>
                <w:b w:val="1"/>
                <w:bCs w:val="1"/>
                <w:color w:val="auto"/>
              </w:rPr>
              <w:t>PART I. FINANCIAL INFORMATION</w:t>
            </w: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80" w:type="dxa"/>
            <w:vAlign w:val="bottom"/>
            <w:gridSpan w:val="2"/>
          </w:tcPr>
          <w:p>
            <w:pPr>
              <w:ind w:left="800"/>
              <w:spacing w:after="0" w:line="148" w:lineRule="exact"/>
              <w:rPr>
                <w:sz w:val="20"/>
                <w:szCs w:val="20"/>
                <w:color w:val="auto"/>
              </w:rPr>
            </w:pPr>
            <w:r>
              <w:rPr>
                <w:rFonts w:ascii="Arial" w:cs="Arial" w:eastAsia="Arial" w:hAnsi="Arial"/>
                <w:sz w:val="14"/>
                <w:szCs w:val="14"/>
                <w:b w:val="1"/>
                <w:bCs w:val="1"/>
                <w:color w:val="auto"/>
              </w:rPr>
              <w:t>Item 1.</w:t>
            </w:r>
          </w:p>
        </w:tc>
        <w:tc>
          <w:tcPr>
            <w:tcW w:w="1140" w:type="dxa"/>
            <w:vAlign w:val="bottom"/>
            <w:tcBorders>
              <w:bottom w:val="single" w:sz="8" w:color="0000EE"/>
            </w:tcBorders>
            <w:gridSpan w:val="4"/>
          </w:tcPr>
          <w:p>
            <w:pPr>
              <w:spacing w:after="0" w:line="148" w:lineRule="exact"/>
              <w:rPr>
                <w:rFonts w:ascii="Arial" w:cs="Arial" w:eastAsia="Arial" w:hAnsi="Arial"/>
                <w:sz w:val="14"/>
                <w:szCs w:val="14"/>
                <w:color w:val="0000EE"/>
                <w:w w:val="85"/>
              </w:rPr>
            </w:pPr>
            <w:hyperlink w:anchor="page3">
              <w:r>
                <w:rPr>
                  <w:rFonts w:ascii="Arial" w:cs="Arial" w:eastAsia="Arial" w:hAnsi="Arial"/>
                  <w:sz w:val="14"/>
                  <w:szCs w:val="14"/>
                  <w:color w:val="0000EE"/>
                  <w:w w:val="85"/>
                </w:rPr>
                <w:t>Financial Statements</w:t>
              </w:r>
            </w:hyperlink>
          </w:p>
        </w:tc>
        <w:tc>
          <w:tcPr>
            <w:tcW w:w="7220" w:type="dxa"/>
            <w:vAlign w:val="bottom"/>
            <w:gridSpan w:val="10"/>
          </w:tcPr>
          <w:p>
            <w:pPr>
              <w:spacing w:after="0"/>
              <w:rPr>
                <w:sz w:val="12"/>
                <w:szCs w:val="12"/>
                <w:color w:val="auto"/>
              </w:rPr>
            </w:pPr>
          </w:p>
        </w:tc>
        <w:tc>
          <w:tcPr>
            <w:tcW w:w="1060" w:type="dxa"/>
            <w:vAlign w:val="bottom"/>
          </w:tcPr>
          <w:p>
            <w:pPr>
              <w:jc w:val="right"/>
              <w:spacing w:after="0" w:line="148"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580" w:type="dxa"/>
            <w:vAlign w:val="bottom"/>
            <w:tcBorders>
              <w:bottom w:val="single" w:sz="8" w:color="0000EE"/>
            </w:tcBorders>
            <w:gridSpan w:val="10"/>
          </w:tcPr>
          <w:p>
            <w:pPr>
              <w:spacing w:after="0" w:line="129" w:lineRule="exact"/>
              <w:rPr>
                <w:rFonts w:ascii="Arial" w:cs="Arial" w:eastAsia="Arial" w:hAnsi="Arial"/>
                <w:sz w:val="14"/>
                <w:szCs w:val="14"/>
                <w:color w:val="0000EE"/>
                <w:w w:val="85"/>
              </w:rPr>
            </w:pPr>
            <w:hyperlink w:anchor="page3">
              <w:r>
                <w:rPr>
                  <w:rFonts w:ascii="Arial" w:cs="Arial" w:eastAsia="Arial" w:hAnsi="Arial"/>
                  <w:sz w:val="14"/>
                  <w:szCs w:val="14"/>
                  <w:color w:val="0000EE"/>
                  <w:w w:val="85"/>
                </w:rPr>
                <w:t>Condensed Consolidated Balance Sheet as of September 30, 2011 and December 31, 2010 (Unaudited)</w:t>
              </w:r>
            </w:hyperlink>
          </w:p>
        </w:tc>
        <w:tc>
          <w:tcPr>
            <w:tcW w:w="2780" w:type="dxa"/>
            <w:vAlign w:val="bottom"/>
            <w:gridSpan w:val="4"/>
          </w:tcPr>
          <w:p>
            <w:pPr>
              <w:spacing w:after="0"/>
              <w:rPr>
                <w:sz w:val="11"/>
                <w:szCs w:val="11"/>
                <w:color w:val="auto"/>
              </w:rPr>
            </w:pPr>
          </w:p>
        </w:tc>
        <w:tc>
          <w:tcPr>
            <w:tcW w:w="106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940" w:type="dxa"/>
            <w:vAlign w:val="bottom"/>
            <w:tcBorders>
              <w:bottom w:val="single" w:sz="8" w:color="0000EE"/>
            </w:tcBorders>
            <w:gridSpan w:val="12"/>
          </w:tcPr>
          <w:p>
            <w:pPr>
              <w:spacing w:after="0" w:line="129" w:lineRule="exact"/>
              <w:rPr>
                <w:rFonts w:ascii="Arial" w:cs="Arial" w:eastAsia="Arial" w:hAnsi="Arial"/>
                <w:sz w:val="14"/>
                <w:szCs w:val="14"/>
                <w:color w:val="0000EE"/>
                <w:w w:val="86"/>
              </w:rPr>
            </w:pPr>
            <w:hyperlink w:anchor="page4">
              <w:r>
                <w:rPr>
                  <w:rFonts w:ascii="Arial" w:cs="Arial" w:eastAsia="Arial" w:hAnsi="Arial"/>
                  <w:sz w:val="14"/>
                  <w:szCs w:val="14"/>
                  <w:color w:val="0000EE"/>
                  <w:w w:val="86"/>
                </w:rPr>
                <w:t>Condensed Consolidated Statement of Income for the Three and Nine Months Ended September 30, 2011 and 2010 (Unaudited)</w:t>
              </w:r>
            </w:hyperlink>
          </w:p>
        </w:tc>
        <w:tc>
          <w:tcPr>
            <w:tcW w:w="1420" w:type="dxa"/>
            <w:vAlign w:val="bottom"/>
            <w:gridSpan w:val="2"/>
          </w:tcPr>
          <w:p>
            <w:pPr>
              <w:spacing w:after="0"/>
              <w:rPr>
                <w:sz w:val="11"/>
                <w:szCs w:val="11"/>
                <w:color w:val="auto"/>
              </w:rPr>
            </w:pPr>
          </w:p>
        </w:tc>
        <w:tc>
          <w:tcPr>
            <w:tcW w:w="1060" w:type="dxa"/>
            <w:vAlign w:val="bottom"/>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360" w:type="dxa"/>
            <w:vAlign w:val="bottom"/>
            <w:gridSpan w:val="14"/>
          </w:tcPr>
          <w:p>
            <w:pPr>
              <w:spacing w:after="0" w:line="129" w:lineRule="exact"/>
              <w:rPr>
                <w:rFonts w:ascii="Arial" w:cs="Arial" w:eastAsia="Arial" w:hAnsi="Arial"/>
                <w:sz w:val="14"/>
                <w:szCs w:val="14"/>
                <w:color w:val="0000EE"/>
                <w:w w:val="92"/>
              </w:rPr>
            </w:pPr>
            <w:hyperlink w:anchor="page5">
              <w:r>
                <w:rPr>
                  <w:rFonts w:ascii="Arial" w:cs="Arial" w:eastAsia="Arial" w:hAnsi="Arial"/>
                  <w:sz w:val="14"/>
                  <w:szCs w:val="14"/>
                  <w:color w:val="0000EE"/>
                  <w:w w:val="92"/>
                </w:rPr>
                <w:t>Condensed Consolidated Statement of Comprehensive Income for the Three and Nine Months Ended September 30, 2011 and 2010 (Unaudited)</w:t>
              </w:r>
            </w:hyperlink>
          </w:p>
        </w:tc>
        <w:tc>
          <w:tcPr>
            <w:tcW w:w="1060" w:type="dxa"/>
            <w:vAlign w:val="bottom"/>
          </w:tcPr>
          <w:p>
            <w:pPr>
              <w:jc w:val="right"/>
              <w:spacing w:after="0" w:line="12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20" w:type="dxa"/>
            <w:vAlign w:val="bottom"/>
            <w:tcBorders>
              <w:top w:val="single" w:sz="8" w:color="0000EE"/>
            </w:tcBorders>
            <w:gridSpan w:val="13"/>
          </w:tcPr>
          <w:p>
            <w:pPr>
              <w:spacing w:after="0" w:line="129" w:lineRule="exact"/>
              <w:rPr>
                <w:rFonts w:ascii="Arial" w:cs="Arial" w:eastAsia="Arial" w:hAnsi="Arial"/>
                <w:sz w:val="14"/>
                <w:szCs w:val="14"/>
                <w:color w:val="0000EE"/>
              </w:rPr>
            </w:pPr>
            <w:hyperlink w:anchor="page6">
              <w:r>
                <w:rPr>
                  <w:rFonts w:ascii="Arial" w:cs="Arial" w:eastAsia="Arial" w:hAnsi="Arial"/>
                  <w:sz w:val="14"/>
                  <w:szCs w:val="14"/>
                  <w:color w:val="0000EE"/>
                </w:rPr>
                <w:t>Condensed Consolidated Statement of Cash Flows for the Nine Months Ended September 30, 2011 and 2010 (Unaudited)</w:t>
              </w:r>
            </w:hyperlink>
          </w:p>
        </w:tc>
        <w:tc>
          <w:tcPr>
            <w:tcW w:w="540" w:type="dxa"/>
            <w:vAlign w:val="bottom"/>
          </w:tcPr>
          <w:p>
            <w:pPr>
              <w:spacing w:after="0"/>
              <w:rPr>
                <w:sz w:val="11"/>
                <w:szCs w:val="11"/>
                <w:color w:val="auto"/>
              </w:rPr>
            </w:pPr>
          </w:p>
        </w:tc>
        <w:tc>
          <w:tcPr>
            <w:tcW w:w="1060" w:type="dxa"/>
            <w:vAlign w:val="bottom"/>
          </w:tcPr>
          <w:p>
            <w:pPr>
              <w:jc w:val="right"/>
              <w:spacing w:after="0" w:line="12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6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360" w:type="dxa"/>
            <w:vAlign w:val="bottom"/>
            <w:gridSpan w:val="14"/>
          </w:tcPr>
          <w:p>
            <w:pPr>
              <w:spacing w:after="0" w:line="129" w:lineRule="exact"/>
              <w:rPr>
                <w:rFonts w:ascii="Arial" w:cs="Arial" w:eastAsia="Arial" w:hAnsi="Arial"/>
                <w:sz w:val="14"/>
                <w:szCs w:val="14"/>
                <w:color w:val="0000EE"/>
              </w:rPr>
            </w:pPr>
            <w:hyperlink w:anchor="page7">
              <w:r>
                <w:rPr>
                  <w:rFonts w:ascii="Arial" w:cs="Arial" w:eastAsia="Arial" w:hAnsi="Arial"/>
                  <w:sz w:val="14"/>
                  <w:szCs w:val="14"/>
                  <w:color w:val="0000EE"/>
                </w:rPr>
                <w:t>Condensed Consolidated Statement of Changes in Equity for the Nine Months Ended September 30, 2011 and 2010 (Unaudited)</w:t>
              </w:r>
            </w:hyperlink>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Item 2.</w:t>
            </w:r>
          </w:p>
        </w:tc>
        <w:tc>
          <w:tcPr>
            <w:tcW w:w="6940" w:type="dxa"/>
            <w:vAlign w:val="bottom"/>
            <w:tcBorders>
              <w:top w:val="single" w:sz="8" w:color="0000EE"/>
            </w:tcBorders>
            <w:gridSpan w:val="12"/>
          </w:tcPr>
          <w:p>
            <w:pPr>
              <w:spacing w:after="0" w:line="129" w:lineRule="exact"/>
              <w:rPr>
                <w:rFonts w:ascii="Arial" w:cs="Arial" w:eastAsia="Arial" w:hAnsi="Arial"/>
                <w:sz w:val="14"/>
                <w:szCs w:val="14"/>
                <w:color w:val="0000EE"/>
              </w:rPr>
            </w:pPr>
            <w:hyperlink w:anchor="page8">
              <w:r>
                <w:rPr>
                  <w:rFonts w:ascii="Arial" w:cs="Arial" w:eastAsia="Arial" w:hAnsi="Arial"/>
                  <w:sz w:val="14"/>
                  <w:szCs w:val="14"/>
                  <w:color w:val="0000EE"/>
                </w:rPr>
                <w:t>Notes to Condensed Consolidated Financial Statements (Unaudited)</w:t>
              </w:r>
            </w:hyperlink>
          </w:p>
        </w:tc>
        <w:tc>
          <w:tcPr>
            <w:tcW w:w="1420" w:type="dxa"/>
            <w:vAlign w:val="bottom"/>
            <w:gridSpan w:val="2"/>
          </w:tcPr>
          <w:p>
            <w:pPr>
              <w:spacing w:after="0"/>
              <w:rPr>
                <w:sz w:val="11"/>
                <w:szCs w:val="11"/>
                <w:color w:val="auto"/>
              </w:rPr>
            </w:pPr>
          </w:p>
        </w:tc>
        <w:tc>
          <w:tcPr>
            <w:tcW w:w="1060" w:type="dxa"/>
            <w:vAlign w:val="bottom"/>
          </w:tcPr>
          <w:p>
            <w:pPr>
              <w:jc w:val="right"/>
              <w:spacing w:after="0" w:line="12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vMerge w:val="continue"/>
          </w:tcPr>
          <w:p>
            <w:pPr>
              <w:spacing w:after="0"/>
              <w:rPr>
                <w:sz w:val="11"/>
                <w:szCs w:val="11"/>
                <w:color w:val="auto"/>
              </w:rPr>
            </w:pPr>
          </w:p>
        </w:tc>
        <w:tc>
          <w:tcPr>
            <w:tcW w:w="3700" w:type="dxa"/>
            <w:vAlign w:val="bottom"/>
            <w:tcBorders>
              <w:top w:val="single" w:sz="8" w:color="0000EE"/>
            </w:tcBorders>
            <w:gridSpan w:val="8"/>
          </w:tcPr>
          <w:p>
            <w:pPr>
              <w:spacing w:after="0" w:line="129" w:lineRule="exact"/>
              <w:rPr>
                <w:rFonts w:ascii="Arial" w:cs="Arial" w:eastAsia="Arial" w:hAnsi="Arial"/>
                <w:sz w:val="14"/>
                <w:szCs w:val="14"/>
                <w:color w:val="0000EE"/>
                <w:w w:val="89"/>
              </w:rPr>
            </w:pPr>
            <w:hyperlink w:anchor="page40">
              <w:r>
                <w:rPr>
                  <w:rFonts w:ascii="Arial" w:cs="Arial" w:eastAsia="Arial" w:hAnsi="Arial"/>
                  <w:sz w:val="14"/>
                  <w:szCs w:val="14"/>
                  <w:color w:val="0000EE"/>
                  <w:w w:val="89"/>
                </w:rPr>
                <w:t>Management’s Discussion and Analysis of Financial Condition and</w:t>
              </w:r>
            </w:hyperlink>
          </w:p>
        </w:tc>
        <w:tc>
          <w:tcPr>
            <w:tcW w:w="4660" w:type="dxa"/>
            <w:vAlign w:val="bottom"/>
            <w:gridSpan w:val="6"/>
          </w:tcPr>
          <w:p>
            <w:pPr>
              <w:spacing w:after="0" w:line="129" w:lineRule="exact"/>
              <w:rPr>
                <w:rFonts w:ascii="Arial" w:cs="Arial" w:eastAsia="Arial" w:hAnsi="Arial"/>
                <w:sz w:val="14"/>
                <w:szCs w:val="14"/>
                <w:color w:val="0000EE"/>
              </w:rPr>
            </w:pPr>
            <w:hyperlink w:anchor="page40">
              <w:r>
                <w:rPr>
                  <w:rFonts w:ascii="Arial" w:cs="Arial" w:eastAsia="Arial" w:hAnsi="Arial"/>
                  <w:sz w:val="14"/>
                  <w:szCs w:val="14"/>
                  <w:color w:val="0000EE"/>
                </w:rPr>
                <w:t>Results of Operations</w:t>
              </w:r>
            </w:hyperlink>
          </w:p>
        </w:tc>
        <w:tc>
          <w:tcPr>
            <w:tcW w:w="1060" w:type="dxa"/>
            <w:vAlign w:val="bottom"/>
          </w:tcPr>
          <w:p>
            <w:pPr>
              <w:jc w:val="right"/>
              <w:spacing w:after="0" w:line="12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3.</w:t>
            </w:r>
          </w:p>
        </w:tc>
        <w:tc>
          <w:tcPr>
            <w:tcW w:w="4860" w:type="dxa"/>
            <w:vAlign w:val="bottom"/>
            <w:tcBorders>
              <w:top w:val="single" w:sz="8" w:color="0000EE"/>
            </w:tcBorders>
            <w:gridSpan w:val="9"/>
          </w:tcPr>
          <w:p>
            <w:pPr>
              <w:spacing w:after="0" w:line="129" w:lineRule="exact"/>
              <w:rPr>
                <w:rFonts w:ascii="Arial" w:cs="Arial" w:eastAsia="Arial" w:hAnsi="Arial"/>
                <w:sz w:val="14"/>
                <w:szCs w:val="14"/>
                <w:color w:val="0000EE"/>
              </w:rPr>
            </w:pPr>
            <w:hyperlink w:anchor="page61">
              <w:r>
                <w:rPr>
                  <w:rFonts w:ascii="Arial" w:cs="Arial" w:eastAsia="Arial" w:hAnsi="Arial"/>
                  <w:sz w:val="14"/>
                  <w:szCs w:val="14"/>
                  <w:color w:val="0000EE"/>
                </w:rPr>
                <w:t>Quantitative and Qualitative Disclosures About Market Risk</w:t>
              </w:r>
            </w:hyperlink>
          </w:p>
        </w:tc>
        <w:tc>
          <w:tcPr>
            <w:tcW w:w="3500" w:type="dxa"/>
            <w:vAlign w:val="bottom"/>
            <w:gridSpan w:val="5"/>
          </w:tcPr>
          <w:p>
            <w:pPr>
              <w:spacing w:after="0"/>
              <w:rPr>
                <w:sz w:val="11"/>
                <w:szCs w:val="11"/>
                <w:color w:val="auto"/>
              </w:rPr>
            </w:pPr>
          </w:p>
        </w:tc>
        <w:tc>
          <w:tcPr>
            <w:tcW w:w="1060" w:type="dxa"/>
            <w:vAlign w:val="bottom"/>
          </w:tcPr>
          <w:p>
            <w:pPr>
              <w:jc w:val="right"/>
              <w:spacing w:after="0" w:line="12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4.</w:t>
            </w:r>
          </w:p>
        </w:tc>
        <w:tc>
          <w:tcPr>
            <w:tcW w:w="3280" w:type="dxa"/>
            <w:vAlign w:val="bottom"/>
            <w:tcBorders>
              <w:top w:val="single" w:sz="8" w:color="0000EE"/>
            </w:tcBorders>
            <w:gridSpan w:val="7"/>
          </w:tcPr>
          <w:p>
            <w:pPr>
              <w:spacing w:after="0" w:line="129" w:lineRule="exact"/>
              <w:rPr>
                <w:rFonts w:ascii="Arial" w:cs="Arial" w:eastAsia="Arial" w:hAnsi="Arial"/>
                <w:sz w:val="14"/>
                <w:szCs w:val="14"/>
                <w:color w:val="0000EE"/>
              </w:rPr>
            </w:pPr>
            <w:hyperlink w:anchor="page62">
              <w:r>
                <w:rPr>
                  <w:rFonts w:ascii="Arial" w:cs="Arial" w:eastAsia="Arial" w:hAnsi="Arial"/>
                  <w:sz w:val="14"/>
                  <w:szCs w:val="14"/>
                  <w:color w:val="0000EE"/>
                </w:rPr>
                <w:t>Controls and Procedures</w:t>
              </w:r>
            </w:hyperlink>
          </w:p>
        </w:tc>
        <w:tc>
          <w:tcPr>
            <w:tcW w:w="5080" w:type="dxa"/>
            <w:vAlign w:val="bottom"/>
            <w:gridSpan w:val="7"/>
          </w:tcPr>
          <w:p>
            <w:pPr>
              <w:spacing w:after="0"/>
              <w:rPr>
                <w:sz w:val="11"/>
                <w:szCs w:val="11"/>
                <w:color w:val="auto"/>
              </w:rPr>
            </w:pPr>
          </w:p>
        </w:tc>
        <w:tc>
          <w:tcPr>
            <w:tcW w:w="1060" w:type="dxa"/>
            <w:vAlign w:val="bottom"/>
          </w:tcPr>
          <w:p>
            <w:pPr>
              <w:jc w:val="right"/>
              <w:spacing w:after="0" w:line="12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29"/>
        </w:trPr>
        <w:tc>
          <w:tcPr>
            <w:tcW w:w="20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4"/>
              </w:rPr>
              <w:t>PART II. OTHER INFORMATION</w:t>
            </w:r>
          </w:p>
        </w:tc>
        <w:tc>
          <w:tcPr>
            <w:tcW w:w="46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gridSpan w:val="2"/>
          </w:tcPr>
          <w:p>
            <w:pPr>
              <w:spacing w:after="0"/>
              <w:rPr>
                <w:sz w:val="11"/>
                <w:szCs w:val="11"/>
                <w:color w:val="auto"/>
              </w:rPr>
            </w:pPr>
          </w:p>
        </w:tc>
        <w:tc>
          <w:tcPr>
            <w:tcW w:w="1920" w:type="dxa"/>
            <w:vAlign w:val="bottom"/>
          </w:tcPr>
          <w:p>
            <w:pPr>
              <w:spacing w:after="0"/>
              <w:rPr>
                <w:sz w:val="11"/>
                <w:szCs w:val="11"/>
                <w:color w:val="auto"/>
              </w:rPr>
            </w:pPr>
          </w:p>
        </w:tc>
        <w:tc>
          <w:tcPr>
            <w:tcW w:w="5100" w:type="dxa"/>
            <w:vAlign w:val="bottom"/>
            <w:gridSpan w:val="8"/>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80" w:type="dxa"/>
            <w:vAlign w:val="bottom"/>
            <w:gridSpan w:val="2"/>
          </w:tcPr>
          <w:p>
            <w:pPr>
              <w:ind w:left="800"/>
              <w:spacing w:after="0" w:line="148" w:lineRule="exact"/>
              <w:rPr>
                <w:sz w:val="20"/>
                <w:szCs w:val="20"/>
                <w:color w:val="auto"/>
              </w:rPr>
            </w:pPr>
            <w:r>
              <w:rPr>
                <w:rFonts w:ascii="Arial" w:cs="Arial" w:eastAsia="Arial" w:hAnsi="Arial"/>
                <w:sz w:val="14"/>
                <w:szCs w:val="14"/>
                <w:b w:val="1"/>
                <w:bCs w:val="1"/>
                <w:color w:val="auto"/>
              </w:rPr>
              <w:t>Item 1.</w:t>
            </w:r>
          </w:p>
        </w:tc>
        <w:tc>
          <w:tcPr>
            <w:tcW w:w="8360" w:type="dxa"/>
            <w:vAlign w:val="bottom"/>
            <w:gridSpan w:val="14"/>
          </w:tcPr>
          <w:p>
            <w:pPr>
              <w:spacing w:after="0" w:line="148" w:lineRule="exact"/>
              <w:rPr>
                <w:rFonts w:ascii="Arial" w:cs="Arial" w:eastAsia="Arial" w:hAnsi="Arial"/>
                <w:sz w:val="14"/>
                <w:szCs w:val="14"/>
                <w:color w:val="0000EE"/>
              </w:rPr>
            </w:pPr>
            <w:hyperlink w:anchor="page62">
              <w:r>
                <w:rPr>
                  <w:rFonts w:ascii="Arial" w:cs="Arial" w:eastAsia="Arial" w:hAnsi="Arial"/>
                  <w:sz w:val="14"/>
                  <w:szCs w:val="14"/>
                  <w:color w:val="0000EE"/>
                </w:rPr>
                <w:t>Legal Proceedings</w:t>
              </w:r>
            </w:hyperlink>
          </w:p>
        </w:tc>
        <w:tc>
          <w:tcPr>
            <w:tcW w:w="1060" w:type="dxa"/>
            <w:vAlign w:val="bottom"/>
          </w:tcPr>
          <w:p>
            <w:pPr>
              <w:jc w:val="right"/>
              <w:spacing w:after="0" w:line="148"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1A.</w:t>
            </w:r>
          </w:p>
        </w:tc>
        <w:tc>
          <w:tcPr>
            <w:tcW w:w="1000" w:type="dxa"/>
            <w:vAlign w:val="bottom"/>
            <w:tcBorders>
              <w:top w:val="single" w:sz="8" w:color="0000EE"/>
            </w:tcBorders>
            <w:gridSpan w:val="3"/>
          </w:tcPr>
          <w:p>
            <w:pPr>
              <w:spacing w:after="0" w:line="129" w:lineRule="exact"/>
              <w:rPr>
                <w:rFonts w:ascii="Arial" w:cs="Arial" w:eastAsia="Arial" w:hAnsi="Arial"/>
                <w:sz w:val="14"/>
                <w:szCs w:val="14"/>
                <w:color w:val="0000EE"/>
              </w:rPr>
            </w:pPr>
            <w:hyperlink w:anchor="page62">
              <w:r>
                <w:rPr>
                  <w:rFonts w:ascii="Arial" w:cs="Arial" w:eastAsia="Arial" w:hAnsi="Arial"/>
                  <w:sz w:val="14"/>
                  <w:szCs w:val="14"/>
                  <w:color w:val="0000EE"/>
                </w:rPr>
                <w:t>Risk Factors</w:t>
              </w:r>
            </w:hyperlink>
          </w:p>
        </w:tc>
        <w:tc>
          <w:tcPr>
            <w:tcW w:w="2260" w:type="dxa"/>
            <w:vAlign w:val="bottom"/>
            <w:gridSpan w:val="3"/>
          </w:tcPr>
          <w:p>
            <w:pPr>
              <w:spacing w:after="0"/>
              <w:rPr>
                <w:sz w:val="11"/>
                <w:szCs w:val="11"/>
                <w:color w:val="auto"/>
              </w:rPr>
            </w:pPr>
          </w:p>
        </w:tc>
        <w:tc>
          <w:tcPr>
            <w:tcW w:w="5100" w:type="dxa"/>
            <w:vAlign w:val="bottom"/>
            <w:gridSpan w:val="8"/>
          </w:tcPr>
          <w:p>
            <w:pPr>
              <w:spacing w:after="0"/>
              <w:rPr>
                <w:sz w:val="11"/>
                <w:szCs w:val="11"/>
                <w:color w:val="auto"/>
              </w:rPr>
            </w:pPr>
          </w:p>
        </w:tc>
        <w:tc>
          <w:tcPr>
            <w:tcW w:w="1060" w:type="dxa"/>
            <w:vAlign w:val="bottom"/>
          </w:tcPr>
          <w:p>
            <w:pPr>
              <w:jc w:val="right"/>
              <w:spacing w:after="0" w:line="12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2.</w:t>
            </w:r>
          </w:p>
        </w:tc>
        <w:tc>
          <w:tcPr>
            <w:tcW w:w="680" w:type="dxa"/>
            <w:vAlign w:val="bottom"/>
            <w:tcBorders>
              <w:top w:val="single" w:sz="8" w:color="0000EE"/>
            </w:tcBorders>
            <w:gridSpan w:val="2"/>
          </w:tcPr>
          <w:p>
            <w:pPr>
              <w:spacing w:after="0" w:line="129" w:lineRule="exact"/>
              <w:rPr>
                <w:rFonts w:ascii="Arial" w:cs="Arial" w:eastAsia="Arial" w:hAnsi="Arial"/>
                <w:sz w:val="14"/>
                <w:szCs w:val="14"/>
                <w:color w:val="0000EE"/>
                <w:w w:val="82"/>
              </w:rPr>
            </w:pPr>
            <w:hyperlink w:anchor="page63">
              <w:r>
                <w:rPr>
                  <w:rFonts w:ascii="Arial" w:cs="Arial" w:eastAsia="Arial" w:hAnsi="Arial"/>
                  <w:sz w:val="14"/>
                  <w:szCs w:val="14"/>
                  <w:color w:val="0000EE"/>
                  <w:w w:val="82"/>
                </w:rPr>
                <w:t>Unregistered</w:t>
              </w:r>
            </w:hyperlink>
          </w:p>
        </w:tc>
        <w:tc>
          <w:tcPr>
            <w:tcW w:w="7680" w:type="dxa"/>
            <w:vAlign w:val="bottom"/>
            <w:gridSpan w:val="12"/>
          </w:tcPr>
          <w:p>
            <w:pPr>
              <w:ind w:left="60"/>
              <w:spacing w:after="0" w:line="129" w:lineRule="exact"/>
              <w:rPr>
                <w:rFonts w:ascii="Arial" w:cs="Arial" w:eastAsia="Arial" w:hAnsi="Arial"/>
                <w:sz w:val="14"/>
                <w:szCs w:val="14"/>
                <w:color w:val="0000EE"/>
              </w:rPr>
            </w:pPr>
            <w:hyperlink w:anchor="page63">
              <w:r>
                <w:rPr>
                  <w:rFonts w:ascii="Arial" w:cs="Arial" w:eastAsia="Arial" w:hAnsi="Arial"/>
                  <w:sz w:val="14"/>
                  <w:szCs w:val="14"/>
                  <w:color w:val="0000EE"/>
                </w:rPr>
                <w:t>Sales of Equity Securities and Use of Proceeds</w:t>
              </w:r>
            </w:hyperlink>
          </w:p>
        </w:tc>
        <w:tc>
          <w:tcPr>
            <w:tcW w:w="1060" w:type="dxa"/>
            <w:vAlign w:val="bottom"/>
          </w:tcPr>
          <w:p>
            <w:pPr>
              <w:jc w:val="right"/>
              <w:spacing w:after="0" w:line="12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6.</w:t>
            </w:r>
          </w:p>
        </w:tc>
        <w:tc>
          <w:tcPr>
            <w:tcW w:w="3260" w:type="dxa"/>
            <w:vAlign w:val="bottom"/>
            <w:tcBorders>
              <w:top w:val="single" w:sz="8" w:color="0000EE"/>
            </w:tcBorders>
            <w:gridSpan w:val="6"/>
          </w:tcPr>
          <w:p>
            <w:pPr>
              <w:spacing w:after="0" w:line="129" w:lineRule="exact"/>
              <w:rPr>
                <w:rFonts w:ascii="Arial" w:cs="Arial" w:eastAsia="Arial" w:hAnsi="Arial"/>
                <w:sz w:val="14"/>
                <w:szCs w:val="14"/>
                <w:color w:val="0000EE"/>
              </w:rPr>
            </w:pPr>
            <w:hyperlink w:anchor="page64">
              <w:r>
                <w:rPr>
                  <w:rFonts w:ascii="Arial" w:cs="Arial" w:eastAsia="Arial" w:hAnsi="Arial"/>
                  <w:sz w:val="14"/>
                  <w:szCs w:val="14"/>
                  <w:color w:val="0000EE"/>
                </w:rPr>
                <w:t>Exhibits</w:t>
              </w:r>
            </w:hyperlink>
          </w:p>
        </w:tc>
        <w:tc>
          <w:tcPr>
            <w:tcW w:w="5100" w:type="dxa"/>
            <w:vAlign w:val="bottom"/>
            <w:gridSpan w:val="8"/>
          </w:tcPr>
          <w:p>
            <w:pPr>
              <w:spacing w:after="0"/>
              <w:rPr>
                <w:sz w:val="11"/>
                <w:szCs w:val="11"/>
                <w:color w:val="auto"/>
              </w:rPr>
            </w:pPr>
          </w:p>
        </w:tc>
        <w:tc>
          <w:tcPr>
            <w:tcW w:w="1060" w:type="dxa"/>
            <w:vAlign w:val="bottom"/>
          </w:tcPr>
          <w:p>
            <w:pPr>
              <w:jc w:val="right"/>
              <w:spacing w:after="0" w:line="12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29"/>
        </w:trPr>
        <w:tc>
          <w:tcPr>
            <w:tcW w:w="2000" w:type="dxa"/>
            <w:vAlign w:val="bottom"/>
            <w:gridSpan w:val="3"/>
          </w:tcPr>
          <w:p>
            <w:pPr>
              <w:spacing w:after="0" w:line="129" w:lineRule="exact"/>
              <w:rPr>
                <w:rFonts w:ascii="Arial" w:cs="Arial" w:eastAsia="Arial" w:hAnsi="Arial"/>
                <w:sz w:val="14"/>
                <w:szCs w:val="14"/>
                <w:b w:val="1"/>
                <w:bCs w:val="1"/>
                <w:color w:val="0000EE"/>
              </w:rPr>
            </w:pPr>
            <w:hyperlink w:anchor="page65">
              <w:r>
                <w:rPr>
                  <w:rFonts w:ascii="Arial" w:cs="Arial" w:eastAsia="Arial" w:hAnsi="Arial"/>
                  <w:sz w:val="14"/>
                  <w:szCs w:val="14"/>
                  <w:b w:val="1"/>
                  <w:bCs w:val="1"/>
                  <w:color w:val="0000EE"/>
                </w:rPr>
                <w:t>SIGNATURES</w:t>
              </w:r>
            </w:hyperlink>
          </w:p>
        </w:tc>
        <w:tc>
          <w:tcPr>
            <w:tcW w:w="460" w:type="dxa"/>
            <w:vAlign w:val="bottom"/>
            <w:tcBorders>
              <w:top w:val="single" w:sz="8" w:color="0000EE"/>
            </w:tcBorders>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tcPr>
          <w:p>
            <w:pPr>
              <w:jc w:val="right"/>
              <w:spacing w:after="0" w:line="12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60" w:type="dxa"/>
            <w:vAlign w:val="bottom"/>
            <w:tcBorders>
              <w:top w:val="single" w:sz="8" w:color="0000EE"/>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This Quarterly Report on Form 10-Q is for the three and nine months ended September 30, 2011. This Quarterly Report modifies and supersedes documents filed prior to this Quarterly Report. The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 Throughout this Quarterly Report, we refer to Comcast Corporation as “Comcast;” Comcast and its consolidated subsidiaries, including NBCUniversal, as “we,” “us” and “our;” and Comcast Holdings Corporation as “Comcast Holdings.”</w:t>
      </w:r>
    </w:p>
    <w:p>
      <w:pPr>
        <w:spacing w:after="0" w:line="19"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You should carefully review the information contained in this Quarterly Report and particularly consider any risk factors set forth in this Quarterly Report and in other reports or documents that we file from time to time with the SEC. In this Quarterly Report, we state our beliefs of future events and of our future financial performance. In some cases, you can identify these so-called “forward-looking statements” by words such as “may,” “will,” “should,” “expects,” “believes,” “estimates,” “potential,” or “continue,” or the negative of those words, and other comparable words. You should be aware that those statements are only our predictions. In evaluating those statements, you should specifically consider various factors, including the risks outlined below and in other reports we file with the SEC. Actual events or our actual results may differ materially from any of our forward-looking statements. We undertake no obligation to update any forward-looking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Our businesses may be affected by, among other things, the following:</w:t>
      </w:r>
    </w:p>
    <w:p>
      <w:pPr>
        <w:spacing w:after="0" w:line="15" w:lineRule="exact"/>
        <w:rPr>
          <w:sz w:val="20"/>
          <w:szCs w:val="20"/>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businesses currently face a wide range of competition, and our businesses and results of operations could be adversely affected if we do not compete effectively</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changes in technology and consumer behavior may adversely affect our businesses and results of operations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programming expenses for our video services are increasing, which could adversely affect our future results of operations</w:t>
      </w:r>
    </w:p>
    <w:p>
      <w:pPr>
        <w:spacing w:after="0" w:line="14" w:lineRule="exact"/>
        <w:rPr>
          <w:rFonts w:ascii="Arial" w:cs="Arial" w:eastAsia="Arial" w:hAnsi="Arial"/>
          <w:sz w:val="14"/>
          <w:szCs w:val="14"/>
          <w:color w:val="auto"/>
        </w:rPr>
      </w:pPr>
    </w:p>
    <w:p>
      <w:pPr>
        <w:ind w:left="1020" w:right="1260" w:hanging="215"/>
        <w:spacing w:after="0" w:line="281" w:lineRule="auto"/>
        <w:tabs>
          <w:tab w:leader="none" w:pos="1020" w:val="left"/>
        </w:tabs>
        <w:numPr>
          <w:ilvl w:val="0"/>
          <w:numId w:val="3"/>
        </w:numPr>
        <w:rPr>
          <w:rFonts w:ascii="Arial" w:cs="Arial" w:eastAsia="Arial" w:hAnsi="Arial"/>
          <w:sz w:val="12"/>
          <w:szCs w:val="12"/>
          <w:color w:val="auto"/>
        </w:rPr>
      </w:pPr>
      <w:r>
        <w:rPr>
          <w:rFonts w:ascii="Arial" w:cs="Arial" w:eastAsia="Arial" w:hAnsi="Arial"/>
          <w:sz w:val="12"/>
          <w:szCs w:val="12"/>
          <w:color w:val="auto"/>
        </w:rPr>
        <w:t>as a result of the NBCUniversal transaction, our businesses are subject to the conditions set forth in the NBCUniversal Order and the NBCUniversal Consent Decree, and there can be no assurance that these conditions will not have an adverse effect on our businesses and results of operations</w:t>
      </w: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are subject to regulation by federal, state, local and foreign authorities, which may impose additional costs and restrictions on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weak economic conditions may have a negative impact on our results of operations and financial condition</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 decline in advertising expenditures or changes in advertising markets could negatively impact our results of operations</w:t>
      </w:r>
    </w:p>
    <w:p>
      <w:pPr>
        <w:spacing w:after="0" w:line="14"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NBCUniversal’s success depends on consumer acceptance of its content, which is difficult to predict, and our results of operations may be adversely affected if our content fails to achieve sufficient consumer acceptance or our costs to acquire content increase</w:t>
      </w:r>
    </w:p>
    <w:p>
      <w:pPr>
        <w:spacing w:after="0" w:line="3"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loss of our programming distribution agreements, or the renewal of these agreements on less favorable terms, could adversely affect our business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sales of DVDs have been declining</w:t>
      </w:r>
    </w:p>
    <w:p>
      <w:pPr>
        <w:spacing w:after="0" w:line="14" w:lineRule="exact"/>
        <w:rPr>
          <w:rFonts w:ascii="Arial" w:cs="Arial" w:eastAsia="Arial" w:hAnsi="Arial"/>
          <w:sz w:val="14"/>
          <w:szCs w:val="14"/>
          <w:color w:val="auto"/>
        </w:rPr>
      </w:pPr>
    </w:p>
    <w:p>
      <w:pPr>
        <w:ind w:left="1020" w:right="126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rely on network and information systems and other technology, as well as key properties, and a disruption, failure or destruction of such networks, systems, technology or properties may disrupt our business</w:t>
      </w:r>
    </w:p>
    <w:p>
      <w:pPr>
        <w:spacing w:after="0" w:line="3"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may be unable to obtain necessary hardware, software and operational support</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businesses depend on using and protecting certain intellectual property rights and on not infringing the intellectual property rights of others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labor disputes, whether involving our own employees or sports leagues, may disrupt our operations and adversely affect our business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may face a significant withdrawal liability if we withdraw from multiemployer pension plans or be required to make additional contributions under such plans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other risk factors that are described in our Annual Report on Form 10-K for the year ended December 31, 2010</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660" w:type="dxa"/>
            <w:vAlign w:val="bottom"/>
            <w:gridSpan w:val="2"/>
          </w:tcPr>
          <w:p>
            <w:pPr>
              <w:ind w:left="520"/>
              <w:spacing w:after="0"/>
              <w:rPr>
                <w:sz w:val="20"/>
                <w:szCs w:val="20"/>
                <w:color w:val="auto"/>
              </w:rPr>
            </w:pPr>
            <w:r>
              <w:rPr>
                <w:rFonts w:ascii="Arial" w:cs="Arial" w:eastAsia="Arial" w:hAnsi="Arial"/>
                <w:sz w:val="14"/>
                <w:szCs w:val="14"/>
                <w:color w:val="auto"/>
              </w:rPr>
              <w:t>September 30,</w:t>
            </w:r>
          </w:p>
        </w:tc>
        <w:tc>
          <w:tcPr>
            <w:tcW w:w="1180" w:type="dxa"/>
            <w:vAlign w:val="bottom"/>
            <w:gridSpan w:val="2"/>
          </w:tcPr>
          <w:p>
            <w:pPr>
              <w:ind w:left="300"/>
              <w:spacing w:after="0"/>
              <w:rPr>
                <w:sz w:val="20"/>
                <w:szCs w:val="20"/>
                <w:color w:val="auto"/>
              </w:rPr>
            </w:pPr>
            <w:r>
              <w:rPr>
                <w:rFonts w:ascii="Arial" w:cs="Arial" w:eastAsia="Arial" w:hAnsi="Arial"/>
                <w:sz w:val="14"/>
                <w:szCs w:val="14"/>
                <w:color w:val="auto"/>
                <w:w w:val="97"/>
              </w:rPr>
              <w:t>December 31,</w:t>
            </w:r>
          </w:p>
        </w:tc>
      </w:tr>
      <w:tr>
        <w:trPr>
          <w:trHeight w:val="159"/>
        </w:trPr>
        <w:tc>
          <w:tcPr>
            <w:tcW w:w="8580" w:type="dxa"/>
            <w:vAlign w:val="bottom"/>
            <w:gridSpan w:val="2"/>
          </w:tcPr>
          <w:p>
            <w:pPr>
              <w:spacing w:after="0" w:line="159" w:lineRule="exact"/>
              <w:rPr>
                <w:sz w:val="20"/>
                <w:szCs w:val="20"/>
                <w:color w:val="auto"/>
              </w:rPr>
            </w:pPr>
            <w:r>
              <w:rPr>
                <w:rFonts w:ascii="Arial" w:cs="Arial" w:eastAsia="Arial" w:hAnsi="Arial"/>
                <w:sz w:val="14"/>
                <w:szCs w:val="14"/>
                <w:color w:val="auto"/>
              </w:rPr>
              <w:t>(in millions, except share data)</w:t>
            </w:r>
          </w:p>
        </w:tc>
        <w:tc>
          <w:tcPr>
            <w:tcW w:w="660" w:type="dxa"/>
            <w:vAlign w:val="bottom"/>
          </w:tcPr>
          <w:p>
            <w:pPr>
              <w:spacing w:after="0"/>
              <w:rPr>
                <w:sz w:val="13"/>
                <w:szCs w:val="13"/>
                <w:color w:val="auto"/>
              </w:rPr>
            </w:pPr>
          </w:p>
        </w:tc>
        <w:tc>
          <w:tcPr>
            <w:tcW w:w="1000" w:type="dxa"/>
            <w:vAlign w:val="bottom"/>
          </w:tcPr>
          <w:p>
            <w:pPr>
              <w:jc w:val="right"/>
              <w:ind w:right="533"/>
              <w:spacing w:after="0" w:line="159" w:lineRule="exact"/>
              <w:rPr>
                <w:sz w:val="20"/>
                <w:szCs w:val="20"/>
                <w:color w:val="auto"/>
              </w:rPr>
            </w:pPr>
            <w:r>
              <w:rPr>
                <w:rFonts w:ascii="Arial" w:cs="Arial" w:eastAsia="Arial" w:hAnsi="Arial"/>
                <w:sz w:val="14"/>
                <w:szCs w:val="14"/>
                <w:color w:val="auto"/>
              </w:rPr>
              <w:t>2011</w:t>
            </w:r>
          </w:p>
        </w:tc>
        <w:tc>
          <w:tcPr>
            <w:tcW w:w="460" w:type="dxa"/>
            <w:vAlign w:val="bottom"/>
          </w:tcPr>
          <w:p>
            <w:pPr>
              <w:spacing w:after="0"/>
              <w:rPr>
                <w:sz w:val="13"/>
                <w:szCs w:val="13"/>
                <w:color w:val="auto"/>
              </w:rPr>
            </w:pPr>
          </w:p>
        </w:tc>
        <w:tc>
          <w:tcPr>
            <w:tcW w:w="720" w:type="dxa"/>
            <w:vAlign w:val="bottom"/>
          </w:tcPr>
          <w:p>
            <w:pPr>
              <w:jc w:val="right"/>
              <w:ind w:right="273"/>
              <w:spacing w:after="0" w:line="159" w:lineRule="exact"/>
              <w:rPr>
                <w:sz w:val="20"/>
                <w:szCs w:val="20"/>
                <w:color w:val="auto"/>
              </w:rPr>
            </w:pPr>
            <w:r>
              <w:rPr>
                <w:rFonts w:ascii="Arial" w:cs="Arial" w:eastAsia="Arial" w:hAnsi="Arial"/>
                <w:sz w:val="14"/>
                <w:szCs w:val="14"/>
                <w:color w:val="auto"/>
              </w:rPr>
              <w:t>2010</w:t>
            </w:r>
          </w:p>
        </w:tc>
      </w:tr>
      <w:tr>
        <w:trPr>
          <w:trHeight w:val="210"/>
        </w:trPr>
        <w:tc>
          <w:tcPr>
            <w:tcW w:w="20" w:type="dxa"/>
            <w:vAlign w:val="bottom"/>
          </w:tcPr>
          <w:p>
            <w:pPr>
              <w:spacing w:after="0"/>
              <w:rPr>
                <w:sz w:val="18"/>
                <w:szCs w:val="18"/>
                <w:color w:val="auto"/>
              </w:rPr>
            </w:pPr>
          </w:p>
        </w:tc>
        <w:tc>
          <w:tcPr>
            <w:tcW w:w="85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660" w:type="dxa"/>
            <w:vAlign w:val="bottom"/>
            <w:tcBorders>
              <w:top w:val="single" w:sz="8" w:color="auto"/>
            </w:tcBorders>
            <w:shd w:val="clear" w:color="auto" w:fill="E5E5E5"/>
          </w:tcPr>
          <w:p>
            <w:pPr>
              <w:spacing w:after="0"/>
              <w:rPr>
                <w:sz w:val="18"/>
                <w:szCs w:val="18"/>
                <w:color w:val="auto"/>
              </w:rPr>
            </w:pPr>
          </w:p>
        </w:tc>
        <w:tc>
          <w:tcPr>
            <w:tcW w:w="1000" w:type="dxa"/>
            <w:vAlign w:val="bottom"/>
            <w:tcBorders>
              <w:top w:val="single" w:sz="8" w:color="auto"/>
            </w:tcBorders>
            <w:shd w:val="clear" w:color="auto" w:fill="E5E5E5"/>
          </w:tcPr>
          <w:p>
            <w:pPr>
              <w:spacing w:after="0"/>
              <w:rPr>
                <w:sz w:val="18"/>
                <w:szCs w:val="18"/>
                <w:color w:val="auto"/>
              </w:rPr>
            </w:pPr>
          </w:p>
        </w:tc>
        <w:tc>
          <w:tcPr>
            <w:tcW w:w="46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Current Assets:</w:t>
            </w: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and cash equivalents</w:t>
            </w:r>
          </w:p>
        </w:tc>
        <w:tc>
          <w:tcPr>
            <w:tcW w:w="660" w:type="dxa"/>
            <w:vAlign w:val="bottom"/>
            <w:shd w:val="clear" w:color="auto" w:fill="E5E5E5"/>
          </w:tcPr>
          <w:p>
            <w:pPr>
              <w:ind w:left="5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1,806</w:t>
            </w:r>
          </w:p>
        </w:tc>
        <w:tc>
          <w:tcPr>
            <w:tcW w:w="46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5,984</w:t>
            </w: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660" w:type="dxa"/>
            <w:vAlign w:val="bottom"/>
          </w:tcPr>
          <w:p>
            <w:pPr>
              <w:spacing w:after="0"/>
              <w:rPr>
                <w:sz w:val="18"/>
                <w:szCs w:val="18"/>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4,096</w:t>
            </w:r>
          </w:p>
        </w:tc>
        <w:tc>
          <w:tcPr>
            <w:tcW w:w="4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1,855</w:t>
            </w: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rights</w:t>
            </w:r>
          </w:p>
        </w:tc>
        <w:tc>
          <w:tcPr>
            <w:tcW w:w="66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1,055</w:t>
            </w: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122</w:t>
            </w:r>
          </w:p>
        </w:tc>
      </w:tr>
      <w:tr>
        <w:trPr>
          <w:trHeight w:val="216"/>
        </w:trPr>
        <w:tc>
          <w:tcPr>
            <w:tcW w:w="20" w:type="dxa"/>
            <w:vAlign w:val="bottom"/>
          </w:tcPr>
          <w:p>
            <w:pPr>
              <w:spacing w:after="0"/>
              <w:rPr>
                <w:sz w:val="18"/>
                <w:szCs w:val="18"/>
                <w:color w:val="auto"/>
              </w:rPr>
            </w:pPr>
          </w:p>
        </w:tc>
        <w:tc>
          <w:tcPr>
            <w:tcW w:w="85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current assets</w:t>
            </w:r>
          </w:p>
        </w:tc>
        <w:tc>
          <w:tcPr>
            <w:tcW w:w="6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1,625</w:t>
            </w:r>
          </w:p>
        </w:tc>
        <w:tc>
          <w:tcPr>
            <w:tcW w:w="4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925</w:t>
            </w:r>
          </w:p>
        </w:tc>
      </w:tr>
      <w:tr>
        <w:trPr>
          <w:trHeight w:val="210"/>
        </w:trPr>
        <w:tc>
          <w:tcPr>
            <w:tcW w:w="20" w:type="dxa"/>
            <w:vAlign w:val="bottom"/>
          </w:tcPr>
          <w:p>
            <w:pPr>
              <w:spacing w:after="0"/>
              <w:rPr>
                <w:sz w:val="18"/>
                <w:szCs w:val="18"/>
                <w:color w:val="auto"/>
              </w:rPr>
            </w:pPr>
          </w:p>
        </w:tc>
        <w:tc>
          <w:tcPr>
            <w:tcW w:w="8560" w:type="dxa"/>
            <w:vAlign w:val="bottom"/>
            <w:shd w:val="clear" w:color="auto" w:fill="E5E5E5"/>
          </w:tcPr>
          <w:p>
            <w:pPr>
              <w:spacing w:after="0"/>
              <w:rPr>
                <w:sz w:val="20"/>
                <w:szCs w:val="20"/>
                <w:color w:val="auto"/>
              </w:rPr>
            </w:pPr>
            <w:r>
              <w:rPr>
                <w:rFonts w:ascii="Arial" w:cs="Arial" w:eastAsia="Arial" w:hAnsi="Arial"/>
                <w:sz w:val="18"/>
                <w:szCs w:val="18"/>
                <w:color w:val="auto"/>
              </w:rPr>
              <w:t>Total current assets</w:t>
            </w:r>
          </w:p>
        </w:tc>
        <w:tc>
          <w:tcPr>
            <w:tcW w:w="66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8,582</w:t>
            </w: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8,886</w:t>
            </w: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660" w:type="dxa"/>
            <w:vAlign w:val="bottom"/>
          </w:tcPr>
          <w:p>
            <w:pPr>
              <w:spacing w:after="0"/>
              <w:rPr>
                <w:sz w:val="18"/>
                <w:szCs w:val="18"/>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5,369</w:t>
            </w:r>
          </w:p>
        </w:tc>
        <w:tc>
          <w:tcPr>
            <w:tcW w:w="4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460</w:t>
            </w: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66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9,575</w:t>
            </w: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6,670</w:t>
            </w: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660" w:type="dxa"/>
            <w:vAlign w:val="bottom"/>
          </w:tcPr>
          <w:p>
            <w:pPr>
              <w:spacing w:after="0"/>
              <w:rPr>
                <w:sz w:val="18"/>
                <w:szCs w:val="18"/>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27,441</w:t>
            </w:r>
          </w:p>
        </w:tc>
        <w:tc>
          <w:tcPr>
            <w:tcW w:w="4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23,515</w:t>
            </w: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spacing w:after="0"/>
              <w:rPr>
                <w:sz w:val="20"/>
                <w:szCs w:val="20"/>
                <w:color w:val="auto"/>
              </w:rPr>
            </w:pPr>
            <w:r>
              <w:rPr>
                <w:rFonts w:ascii="Arial" w:cs="Arial" w:eastAsia="Arial" w:hAnsi="Arial"/>
                <w:sz w:val="18"/>
                <w:szCs w:val="18"/>
                <w:color w:val="auto"/>
              </w:rPr>
              <w:t>Franchise rights</w:t>
            </w:r>
          </w:p>
        </w:tc>
        <w:tc>
          <w:tcPr>
            <w:tcW w:w="66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59,442</w:t>
            </w: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59,442</w:t>
            </w: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Goodwill</w:t>
            </w:r>
          </w:p>
        </w:tc>
        <w:tc>
          <w:tcPr>
            <w:tcW w:w="660" w:type="dxa"/>
            <w:vAlign w:val="bottom"/>
          </w:tcPr>
          <w:p>
            <w:pPr>
              <w:spacing w:after="0"/>
              <w:rPr>
                <w:sz w:val="18"/>
                <w:szCs w:val="18"/>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26,831</w:t>
            </w:r>
          </w:p>
        </w:tc>
        <w:tc>
          <w:tcPr>
            <w:tcW w:w="4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14,958</w:t>
            </w: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spacing w:after="0"/>
              <w:rPr>
                <w:sz w:val="20"/>
                <w:szCs w:val="20"/>
                <w:color w:val="auto"/>
              </w:rPr>
            </w:pPr>
            <w:r>
              <w:rPr>
                <w:rFonts w:ascii="Arial" w:cs="Arial" w:eastAsia="Arial" w:hAnsi="Arial"/>
                <w:sz w:val="18"/>
                <w:szCs w:val="18"/>
                <w:color w:val="auto"/>
              </w:rPr>
              <w:t>Other intangible assets, net</w:t>
            </w:r>
          </w:p>
        </w:tc>
        <w:tc>
          <w:tcPr>
            <w:tcW w:w="66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17,386</w:t>
            </w: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3,431</w:t>
            </w:r>
          </w:p>
        </w:tc>
      </w:tr>
      <w:tr>
        <w:trPr>
          <w:trHeight w:val="216"/>
        </w:trPr>
        <w:tc>
          <w:tcPr>
            <w:tcW w:w="20" w:type="dxa"/>
            <w:vAlign w:val="bottom"/>
          </w:tcPr>
          <w:p>
            <w:pPr>
              <w:spacing w:after="0"/>
              <w:rPr>
                <w:sz w:val="18"/>
                <w:szCs w:val="18"/>
                <w:color w:val="auto"/>
              </w:rPr>
            </w:pPr>
          </w:p>
        </w:tc>
        <w:tc>
          <w:tcPr>
            <w:tcW w:w="8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noncurrent assets, net</w:t>
            </w:r>
          </w:p>
        </w:tc>
        <w:tc>
          <w:tcPr>
            <w:tcW w:w="6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2,201</w:t>
            </w:r>
          </w:p>
        </w:tc>
        <w:tc>
          <w:tcPr>
            <w:tcW w:w="4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1,172</w:t>
            </w:r>
          </w:p>
        </w:tc>
      </w:tr>
      <w:tr>
        <w:trPr>
          <w:trHeight w:val="217"/>
        </w:trPr>
        <w:tc>
          <w:tcPr>
            <w:tcW w:w="20" w:type="dxa"/>
            <w:vAlign w:val="bottom"/>
          </w:tcPr>
          <w:p>
            <w:pPr>
              <w:spacing w:after="0"/>
              <w:rPr>
                <w:sz w:val="18"/>
                <w:szCs w:val="18"/>
                <w:color w:val="auto"/>
              </w:rPr>
            </w:pPr>
          </w:p>
        </w:tc>
        <w:tc>
          <w:tcPr>
            <w:tcW w:w="8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assets</w:t>
            </w:r>
          </w:p>
        </w:tc>
        <w:tc>
          <w:tcPr>
            <w:tcW w:w="660" w:type="dxa"/>
            <w:vAlign w:val="bottom"/>
            <w:tcBorders>
              <w:bottom w:val="single" w:sz="8" w:color="auto"/>
            </w:tcBorders>
            <w:shd w:val="clear" w:color="auto" w:fill="E5E5E5"/>
          </w:tcPr>
          <w:p>
            <w:pPr>
              <w:ind w:left="52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E5E5E5"/>
          </w:tcPr>
          <w:p>
            <w:pPr>
              <w:jc w:val="right"/>
              <w:ind w:right="273"/>
              <w:spacing w:after="0"/>
              <w:rPr>
                <w:sz w:val="20"/>
                <w:szCs w:val="20"/>
                <w:color w:val="auto"/>
              </w:rPr>
            </w:pPr>
            <w:r>
              <w:rPr>
                <w:rFonts w:ascii="Arial" w:cs="Arial" w:eastAsia="Arial" w:hAnsi="Arial"/>
                <w:sz w:val="18"/>
                <w:szCs w:val="18"/>
                <w:b w:val="1"/>
                <w:bCs w:val="1"/>
                <w:color w:val="auto"/>
                <w:w w:val="95"/>
              </w:rPr>
              <w:t>156,827</w:t>
            </w:r>
          </w:p>
        </w:tc>
        <w:tc>
          <w:tcPr>
            <w:tcW w:w="460" w:type="dxa"/>
            <w:vAlign w:val="bottom"/>
            <w:tcBorders>
              <w:bottom w:val="single" w:sz="8" w:color="auto"/>
            </w:tcBorders>
            <w:shd w:val="clear" w:color="auto" w:fill="E5E5E5"/>
          </w:tcPr>
          <w:p>
            <w:pPr>
              <w:ind w:left="30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92"/>
              </w:rPr>
              <w:t>118,534</w:t>
            </w:r>
          </w:p>
        </w:tc>
      </w:tr>
      <w:tr>
        <w:trPr>
          <w:trHeight w:val="309"/>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Liabilities and Equity</w:t>
            </w: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8560" w:type="dxa"/>
            <w:vAlign w:val="bottom"/>
            <w:shd w:val="clear" w:color="auto" w:fill="E5E5E5"/>
          </w:tcPr>
          <w:p>
            <w:pPr>
              <w:spacing w:after="0"/>
              <w:rPr>
                <w:sz w:val="20"/>
                <w:szCs w:val="20"/>
                <w:color w:val="auto"/>
              </w:rPr>
            </w:pPr>
            <w:r>
              <w:rPr>
                <w:rFonts w:ascii="Arial" w:cs="Arial" w:eastAsia="Arial" w:hAnsi="Arial"/>
                <w:sz w:val="18"/>
                <w:szCs w:val="18"/>
                <w:color w:val="auto"/>
              </w:rPr>
              <w:t>Current Liabilities:</w:t>
            </w:r>
          </w:p>
        </w:tc>
        <w:tc>
          <w:tcPr>
            <w:tcW w:w="66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Accounts payable and accrued expenses related to trade creditors</w:t>
            </w:r>
          </w:p>
        </w:tc>
        <w:tc>
          <w:tcPr>
            <w:tcW w:w="660" w:type="dxa"/>
            <w:vAlign w:val="bottom"/>
          </w:tcPr>
          <w:p>
            <w:pPr>
              <w:ind w:left="5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5,455</w:t>
            </w:r>
          </w:p>
        </w:tc>
        <w:tc>
          <w:tcPr>
            <w:tcW w:w="460" w:type="dxa"/>
            <w:vAlign w:val="bottom"/>
          </w:tcPr>
          <w:p>
            <w:pPr>
              <w:ind w:left="3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3,291</w:t>
            </w: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Accrued participations and residuals</w:t>
            </w:r>
          </w:p>
        </w:tc>
        <w:tc>
          <w:tcPr>
            <w:tcW w:w="66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1,247</w:t>
            </w: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660" w:type="dxa"/>
            <w:vAlign w:val="bottom"/>
          </w:tcPr>
          <w:p>
            <w:pPr>
              <w:spacing w:after="0"/>
              <w:rPr>
                <w:sz w:val="18"/>
                <w:szCs w:val="18"/>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4,996</w:t>
            </w:r>
          </w:p>
        </w:tc>
        <w:tc>
          <w:tcPr>
            <w:tcW w:w="4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3,143</w:t>
            </w:r>
          </w:p>
        </w:tc>
      </w:tr>
      <w:tr>
        <w:trPr>
          <w:trHeight w:val="216"/>
        </w:trPr>
        <w:tc>
          <w:tcPr>
            <w:tcW w:w="20" w:type="dxa"/>
            <w:vAlign w:val="bottom"/>
          </w:tcPr>
          <w:p>
            <w:pPr>
              <w:spacing w:after="0"/>
              <w:rPr>
                <w:sz w:val="18"/>
                <w:szCs w:val="18"/>
                <w:color w:val="auto"/>
              </w:rPr>
            </w:pPr>
          </w:p>
        </w:tc>
        <w:tc>
          <w:tcPr>
            <w:tcW w:w="85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Current portion of long-term debt</w:t>
            </w:r>
          </w:p>
        </w:tc>
        <w:tc>
          <w:tcPr>
            <w:tcW w:w="66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273"/>
              <w:spacing w:after="0"/>
              <w:rPr>
                <w:sz w:val="20"/>
                <w:szCs w:val="20"/>
                <w:color w:val="auto"/>
              </w:rPr>
            </w:pPr>
            <w:r>
              <w:rPr>
                <w:rFonts w:ascii="Arial" w:cs="Arial" w:eastAsia="Arial" w:hAnsi="Arial"/>
                <w:sz w:val="18"/>
                <w:szCs w:val="18"/>
                <w:color w:val="auto"/>
              </w:rPr>
              <w:t>2,448</w:t>
            </w:r>
          </w:p>
        </w:tc>
        <w:tc>
          <w:tcPr>
            <w:tcW w:w="4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1,800</w:t>
            </w:r>
          </w:p>
        </w:tc>
      </w:tr>
      <w:tr>
        <w:trPr>
          <w:trHeight w:val="210"/>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660" w:type="dxa"/>
            <w:vAlign w:val="bottom"/>
          </w:tcPr>
          <w:p>
            <w:pPr>
              <w:spacing w:after="0"/>
              <w:rPr>
                <w:sz w:val="18"/>
                <w:szCs w:val="18"/>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14,146</w:t>
            </w:r>
          </w:p>
        </w:tc>
        <w:tc>
          <w:tcPr>
            <w:tcW w:w="4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8,234</w:t>
            </w: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66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38,522</w:t>
            </w: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29,615</w:t>
            </w: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Deferred income taxes</w:t>
            </w:r>
          </w:p>
        </w:tc>
        <w:tc>
          <w:tcPr>
            <w:tcW w:w="660" w:type="dxa"/>
            <w:vAlign w:val="bottom"/>
          </w:tcPr>
          <w:p>
            <w:pPr>
              <w:spacing w:after="0"/>
              <w:rPr>
                <w:sz w:val="18"/>
                <w:szCs w:val="18"/>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29,663</w:t>
            </w:r>
          </w:p>
        </w:tc>
        <w:tc>
          <w:tcPr>
            <w:tcW w:w="4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28,246</w:t>
            </w: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66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11,657</w:t>
            </w: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7,862</w:t>
            </w: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Commitments and contingencies (Note 16)</w:t>
            </w: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spacing w:after="0"/>
              <w:rPr>
                <w:sz w:val="20"/>
                <w:szCs w:val="20"/>
                <w:color w:val="auto"/>
              </w:rPr>
            </w:pPr>
            <w:r>
              <w:rPr>
                <w:rFonts w:ascii="Arial" w:cs="Arial" w:eastAsia="Arial" w:hAnsi="Arial"/>
                <w:sz w:val="18"/>
                <w:szCs w:val="18"/>
                <w:color w:val="auto"/>
              </w:rPr>
              <w:t>Redeemable noncontrolling interests</w:t>
            </w:r>
          </w:p>
        </w:tc>
        <w:tc>
          <w:tcPr>
            <w:tcW w:w="66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15,827</w:t>
            </w: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143</w:t>
            </w: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Equity:</w:t>
            </w: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Preferred stock—authorized, 20,000,000 shares; issued, zero</w:t>
            </w:r>
          </w:p>
        </w:tc>
        <w:tc>
          <w:tcPr>
            <w:tcW w:w="66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w w:val="98"/>
              </w:rPr>
              <w:t>Class A common stock, $0.01 par value—authorized, 7,500,000,000 shares; issued, 2,458,040,896 and</w:t>
            </w: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640"/>
              <w:spacing w:after="0"/>
              <w:rPr>
                <w:sz w:val="20"/>
                <w:szCs w:val="20"/>
                <w:color w:val="auto"/>
              </w:rPr>
            </w:pPr>
            <w:r>
              <w:rPr>
                <w:rFonts w:ascii="Arial" w:cs="Arial" w:eastAsia="Arial" w:hAnsi="Arial"/>
                <w:sz w:val="18"/>
                <w:szCs w:val="18"/>
                <w:color w:val="auto"/>
              </w:rPr>
              <w:t>2,437,281,651; outstanding, 2,092,580,146 and 2,071,820,901</w:t>
            </w:r>
          </w:p>
        </w:tc>
        <w:tc>
          <w:tcPr>
            <w:tcW w:w="660" w:type="dxa"/>
            <w:vAlign w:val="bottom"/>
          </w:tcPr>
          <w:p>
            <w:pPr>
              <w:spacing w:after="0"/>
              <w:rPr>
                <w:sz w:val="19"/>
                <w:szCs w:val="19"/>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25</w:t>
            </w:r>
          </w:p>
        </w:tc>
        <w:tc>
          <w:tcPr>
            <w:tcW w:w="460" w:type="dxa"/>
            <w:vAlign w:val="bottom"/>
          </w:tcPr>
          <w:p>
            <w:pPr>
              <w:spacing w:after="0"/>
              <w:rPr>
                <w:sz w:val="19"/>
                <w:szCs w:val="19"/>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24</w:t>
            </w:r>
          </w:p>
        </w:tc>
      </w:tr>
      <w:tr>
        <w:trPr>
          <w:trHeight w:val="209"/>
        </w:trPr>
        <w:tc>
          <w:tcPr>
            <w:tcW w:w="20" w:type="dxa"/>
            <w:vAlign w:val="bottom"/>
          </w:tcPr>
          <w:p>
            <w:pPr>
              <w:spacing w:after="0"/>
              <w:rPr>
                <w:sz w:val="18"/>
                <w:szCs w:val="18"/>
                <w:color w:val="auto"/>
              </w:rPr>
            </w:pPr>
          </w:p>
        </w:tc>
        <w:tc>
          <w:tcPr>
            <w:tcW w:w="856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2"/>
              </w:rPr>
              <w:t>Class A Special common stock, $0.01 par value—authorized, 7,500,000,000 shares; issued, 693,751,237 and</w:t>
            </w:r>
          </w:p>
        </w:tc>
        <w:tc>
          <w:tcPr>
            <w:tcW w:w="66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560" w:type="dxa"/>
            <w:vAlign w:val="bottom"/>
            <w:shd w:val="clear" w:color="auto" w:fill="E5E5E5"/>
          </w:tcPr>
          <w:p>
            <w:pPr>
              <w:ind w:left="640"/>
              <w:spacing w:after="0"/>
              <w:rPr>
                <w:sz w:val="20"/>
                <w:szCs w:val="20"/>
                <w:color w:val="auto"/>
              </w:rPr>
            </w:pPr>
            <w:r>
              <w:rPr>
                <w:rFonts w:ascii="Arial" w:cs="Arial" w:eastAsia="Arial" w:hAnsi="Arial"/>
                <w:sz w:val="18"/>
                <w:szCs w:val="18"/>
                <w:color w:val="auto"/>
              </w:rPr>
              <w:t>766,168,658; outstanding, 622,816,473 and 695,233,894</w:t>
            </w:r>
          </w:p>
        </w:tc>
        <w:tc>
          <w:tcPr>
            <w:tcW w:w="660" w:type="dxa"/>
            <w:vAlign w:val="bottom"/>
            <w:shd w:val="clear" w:color="auto" w:fill="E5E5E5"/>
          </w:tcPr>
          <w:p>
            <w:pPr>
              <w:spacing w:after="0"/>
              <w:rPr>
                <w:sz w:val="19"/>
                <w:szCs w:val="19"/>
                <w:color w:val="auto"/>
              </w:rPr>
            </w:pP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7</w:t>
            </w:r>
          </w:p>
        </w:tc>
        <w:tc>
          <w:tcPr>
            <w:tcW w:w="460" w:type="dxa"/>
            <w:vAlign w:val="bottom"/>
            <w:shd w:val="clear" w:color="auto" w:fill="E5E5E5"/>
          </w:tcPr>
          <w:p>
            <w:pPr>
              <w:spacing w:after="0"/>
              <w:rPr>
                <w:sz w:val="19"/>
                <w:szCs w:val="19"/>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w w:val="94"/>
              </w:rPr>
              <w:t>Class B common stock, $0.01 par value—authorized, 75,000,000 shares; issued and outstanding, 9,444,375</w:t>
            </w:r>
          </w:p>
        </w:tc>
        <w:tc>
          <w:tcPr>
            <w:tcW w:w="660" w:type="dxa"/>
            <w:vAlign w:val="bottom"/>
          </w:tcPr>
          <w:p>
            <w:pPr>
              <w:spacing w:after="0"/>
              <w:rPr>
                <w:sz w:val="18"/>
                <w:szCs w:val="18"/>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Additional paid-in capital</w:t>
            </w:r>
          </w:p>
        </w:tc>
        <w:tc>
          <w:tcPr>
            <w:tcW w:w="66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41,079</w:t>
            </w: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39,780</w:t>
            </w: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660" w:type="dxa"/>
            <w:vAlign w:val="bottom"/>
          </w:tcPr>
          <w:p>
            <w:pPr>
              <w:spacing w:after="0"/>
              <w:rPr>
                <w:sz w:val="18"/>
                <w:szCs w:val="18"/>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13,236</w:t>
            </w:r>
          </w:p>
        </w:tc>
        <w:tc>
          <w:tcPr>
            <w:tcW w:w="4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12,158</w:t>
            </w: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8"/>
              </w:rPr>
              <w:t>Treasury stock, 365,460,750 Class A common shares and 70,934,764 Class A Special common shares</w:t>
            </w:r>
          </w:p>
        </w:tc>
        <w:tc>
          <w:tcPr>
            <w:tcW w:w="66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(7,517)</w:t>
            </w: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(7,517)</w:t>
            </w:r>
          </w:p>
        </w:tc>
      </w:tr>
      <w:tr>
        <w:trPr>
          <w:trHeight w:val="216"/>
        </w:trPr>
        <w:tc>
          <w:tcPr>
            <w:tcW w:w="20" w:type="dxa"/>
            <w:vAlign w:val="bottom"/>
          </w:tcPr>
          <w:p>
            <w:pPr>
              <w:spacing w:after="0"/>
              <w:rPr>
                <w:sz w:val="18"/>
                <w:szCs w:val="18"/>
                <w:color w:val="auto"/>
              </w:rPr>
            </w:pPr>
          </w:p>
        </w:tc>
        <w:tc>
          <w:tcPr>
            <w:tcW w:w="85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6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(147)</w:t>
            </w:r>
          </w:p>
        </w:tc>
        <w:tc>
          <w:tcPr>
            <w:tcW w:w="4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r>
      <w:tr>
        <w:trPr>
          <w:trHeight w:val="210"/>
        </w:trPr>
        <w:tc>
          <w:tcPr>
            <w:tcW w:w="20" w:type="dxa"/>
            <w:vAlign w:val="bottom"/>
          </w:tcPr>
          <w:p>
            <w:pPr>
              <w:spacing w:after="0"/>
              <w:rPr>
                <w:sz w:val="18"/>
                <w:szCs w:val="18"/>
                <w:color w:val="auto"/>
              </w:rPr>
            </w:pPr>
          </w:p>
        </w:tc>
        <w:tc>
          <w:tcPr>
            <w:tcW w:w="8560" w:type="dxa"/>
            <w:vAlign w:val="bottom"/>
            <w:shd w:val="clear" w:color="auto" w:fill="E5E5E5"/>
          </w:tcPr>
          <w:p>
            <w:pPr>
              <w:spacing w:after="0"/>
              <w:rPr>
                <w:sz w:val="20"/>
                <w:szCs w:val="20"/>
                <w:color w:val="auto"/>
              </w:rPr>
            </w:pPr>
            <w:r>
              <w:rPr>
                <w:rFonts w:ascii="Arial" w:cs="Arial" w:eastAsia="Arial" w:hAnsi="Arial"/>
                <w:sz w:val="18"/>
                <w:szCs w:val="18"/>
                <w:color w:val="auto"/>
              </w:rPr>
              <w:t>Total Comcast Corporation shareholders’ equity</w:t>
            </w:r>
          </w:p>
        </w:tc>
        <w:tc>
          <w:tcPr>
            <w:tcW w:w="66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46,683</w:t>
            </w: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44,354</w:t>
            </w:r>
          </w:p>
        </w:tc>
      </w:tr>
      <w:tr>
        <w:trPr>
          <w:trHeight w:val="216"/>
        </w:trPr>
        <w:tc>
          <w:tcPr>
            <w:tcW w:w="20" w:type="dxa"/>
            <w:vAlign w:val="bottom"/>
          </w:tcPr>
          <w:p>
            <w:pPr>
              <w:spacing w:after="0"/>
              <w:rPr>
                <w:sz w:val="18"/>
                <w:szCs w:val="18"/>
                <w:color w:val="auto"/>
              </w:rPr>
            </w:pPr>
          </w:p>
        </w:tc>
        <w:tc>
          <w:tcPr>
            <w:tcW w:w="8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6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329</w:t>
            </w:r>
          </w:p>
        </w:tc>
        <w:tc>
          <w:tcPr>
            <w:tcW w:w="4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80</w:t>
            </w:r>
          </w:p>
        </w:tc>
      </w:tr>
      <w:tr>
        <w:trPr>
          <w:trHeight w:val="210"/>
        </w:trPr>
        <w:tc>
          <w:tcPr>
            <w:tcW w:w="20" w:type="dxa"/>
            <w:vAlign w:val="bottom"/>
          </w:tcPr>
          <w:p>
            <w:pPr>
              <w:spacing w:after="0"/>
              <w:rPr>
                <w:sz w:val="18"/>
                <w:szCs w:val="18"/>
                <w:color w:val="auto"/>
              </w:rPr>
            </w:pPr>
          </w:p>
        </w:tc>
        <w:tc>
          <w:tcPr>
            <w:tcW w:w="8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66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273"/>
              <w:spacing w:after="0"/>
              <w:rPr>
                <w:sz w:val="20"/>
                <w:szCs w:val="20"/>
                <w:color w:val="auto"/>
              </w:rPr>
            </w:pPr>
            <w:r>
              <w:rPr>
                <w:rFonts w:ascii="Arial" w:cs="Arial" w:eastAsia="Arial" w:hAnsi="Arial"/>
                <w:sz w:val="18"/>
                <w:szCs w:val="18"/>
                <w:color w:val="auto"/>
              </w:rPr>
              <w:t>47,012</w:t>
            </w:r>
          </w:p>
        </w:tc>
        <w:tc>
          <w:tcPr>
            <w:tcW w:w="4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44,434</w:t>
            </w:r>
          </w:p>
        </w:tc>
      </w:tr>
      <w:tr>
        <w:trPr>
          <w:trHeight w:val="217"/>
        </w:trPr>
        <w:tc>
          <w:tcPr>
            <w:tcW w:w="20" w:type="dxa"/>
            <w:vAlign w:val="bottom"/>
            <w:tcBorders>
              <w:bottom w:val="single" w:sz="8" w:color="auto"/>
            </w:tcBorders>
          </w:tcPr>
          <w:p>
            <w:pPr>
              <w:spacing w:after="0"/>
              <w:rPr>
                <w:sz w:val="18"/>
                <w:szCs w:val="18"/>
                <w:color w:val="auto"/>
              </w:rPr>
            </w:pPr>
          </w:p>
        </w:tc>
        <w:tc>
          <w:tcPr>
            <w:tcW w:w="8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66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b w:val="1"/>
                <w:bCs w:val="1"/>
                <w:color w:val="auto"/>
                <w:w w:val="95"/>
              </w:rPr>
              <w:t>156,827</w:t>
            </w:r>
          </w:p>
        </w:tc>
        <w:tc>
          <w:tcPr>
            <w:tcW w:w="46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92"/>
              </w:rPr>
              <w:t>118,534</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40" w:type="dxa"/>
            <w:vAlign w:val="bottom"/>
            <w:gridSpan w:val="3"/>
          </w:tcPr>
          <w:p>
            <w:pPr>
              <w:jc w:val="right"/>
              <w:ind w:right="533"/>
              <w:spacing w:after="0"/>
              <w:rPr>
                <w:sz w:val="20"/>
                <w:szCs w:val="20"/>
                <w:color w:val="auto"/>
              </w:rPr>
            </w:pPr>
            <w:r>
              <w:rPr>
                <w:rFonts w:ascii="Arial" w:cs="Arial" w:eastAsia="Arial" w:hAnsi="Arial"/>
                <w:sz w:val="14"/>
                <w:szCs w:val="14"/>
                <w:color w:val="auto"/>
                <w:w w:val="99"/>
              </w:rPr>
              <w:t>Three Months Ended</w:t>
            </w:r>
          </w:p>
        </w:tc>
        <w:tc>
          <w:tcPr>
            <w:tcW w:w="320" w:type="dxa"/>
            <w:vAlign w:val="bottom"/>
          </w:tcPr>
          <w:p>
            <w:pPr>
              <w:spacing w:after="0"/>
              <w:rPr>
                <w:sz w:val="14"/>
                <w:szCs w:val="14"/>
                <w:color w:val="auto"/>
              </w:rPr>
            </w:pPr>
          </w:p>
        </w:tc>
        <w:tc>
          <w:tcPr>
            <w:tcW w:w="1800" w:type="dxa"/>
            <w:vAlign w:val="bottom"/>
            <w:gridSpan w:val="3"/>
          </w:tcPr>
          <w:p>
            <w:pPr>
              <w:jc w:val="right"/>
              <w:ind w:right="373"/>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6800" w:type="dxa"/>
            <w:vAlign w:val="bottom"/>
            <w:gridSpan w:val="2"/>
            <w:vMerge w:val="restart"/>
          </w:tcPr>
          <w:p>
            <w:pPr>
              <w:spacing w:after="0"/>
              <w:rPr>
                <w:sz w:val="20"/>
                <w:szCs w:val="20"/>
                <w:color w:val="auto"/>
              </w:rPr>
            </w:pPr>
            <w:r>
              <w:rPr>
                <w:rFonts w:ascii="Arial" w:cs="Arial" w:eastAsia="Arial" w:hAnsi="Arial"/>
                <w:sz w:val="14"/>
                <w:szCs w:val="14"/>
                <w:color w:val="auto"/>
              </w:rPr>
              <w:t>(in millions, except per share data)</w:t>
            </w:r>
          </w:p>
        </w:tc>
        <w:tc>
          <w:tcPr>
            <w:tcW w:w="5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7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80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jc w:val="right"/>
              <w:ind w:right="395"/>
              <w:spacing w:after="0" w:line="142" w:lineRule="exact"/>
              <w:rPr>
                <w:sz w:val="20"/>
                <w:szCs w:val="20"/>
                <w:color w:val="auto"/>
              </w:rPr>
            </w:pPr>
            <w:r>
              <w:rPr>
                <w:rFonts w:ascii="Arial" w:cs="Arial" w:eastAsia="Arial" w:hAnsi="Arial"/>
                <w:sz w:val="14"/>
                <w:szCs w:val="14"/>
                <w:color w:val="auto"/>
              </w:rPr>
              <w:t>2011</w:t>
            </w:r>
          </w:p>
        </w:tc>
        <w:tc>
          <w:tcPr>
            <w:tcW w:w="340" w:type="dxa"/>
            <w:vAlign w:val="bottom"/>
          </w:tcPr>
          <w:p>
            <w:pPr>
              <w:spacing w:after="0"/>
              <w:rPr>
                <w:sz w:val="12"/>
                <w:szCs w:val="12"/>
                <w:color w:val="auto"/>
              </w:rPr>
            </w:pPr>
          </w:p>
        </w:tc>
        <w:tc>
          <w:tcPr>
            <w:tcW w:w="780" w:type="dxa"/>
            <w:vAlign w:val="bottom"/>
          </w:tcPr>
          <w:p>
            <w:pPr>
              <w:jc w:val="right"/>
              <w:ind w:right="373"/>
              <w:spacing w:after="0" w:line="142" w:lineRule="exact"/>
              <w:rPr>
                <w:sz w:val="20"/>
                <w:szCs w:val="20"/>
                <w:color w:val="auto"/>
              </w:rPr>
            </w:pPr>
            <w:r>
              <w:rPr>
                <w:rFonts w:ascii="Arial" w:cs="Arial" w:eastAsia="Arial" w:hAnsi="Arial"/>
                <w:sz w:val="14"/>
                <w:szCs w:val="14"/>
                <w:color w:val="auto"/>
                <w:w w:val="96"/>
              </w:rPr>
              <w:t>2010</w:t>
            </w:r>
          </w:p>
        </w:tc>
        <w:tc>
          <w:tcPr>
            <w:tcW w:w="320" w:type="dxa"/>
            <w:vAlign w:val="bottom"/>
          </w:tcPr>
          <w:p>
            <w:pPr>
              <w:spacing w:after="0"/>
              <w:rPr>
                <w:sz w:val="12"/>
                <w:szCs w:val="12"/>
                <w:color w:val="auto"/>
              </w:rPr>
            </w:pPr>
          </w:p>
        </w:tc>
        <w:tc>
          <w:tcPr>
            <w:tcW w:w="780" w:type="dxa"/>
            <w:vAlign w:val="bottom"/>
          </w:tcPr>
          <w:p>
            <w:pPr>
              <w:jc w:val="right"/>
              <w:ind w:right="355"/>
              <w:spacing w:after="0" w:line="142" w:lineRule="exact"/>
              <w:rPr>
                <w:sz w:val="20"/>
                <w:szCs w:val="20"/>
                <w:color w:val="auto"/>
              </w:rPr>
            </w:pPr>
            <w:r>
              <w:rPr>
                <w:rFonts w:ascii="Arial" w:cs="Arial" w:eastAsia="Arial" w:hAnsi="Arial"/>
                <w:sz w:val="14"/>
                <w:szCs w:val="14"/>
                <w:color w:val="auto"/>
              </w:rPr>
              <w:t>2011</w:t>
            </w:r>
          </w:p>
        </w:tc>
        <w:tc>
          <w:tcPr>
            <w:tcW w:w="420" w:type="dxa"/>
            <w:vAlign w:val="bottom"/>
          </w:tcPr>
          <w:p>
            <w:pPr>
              <w:spacing w:after="0"/>
              <w:rPr>
                <w:sz w:val="12"/>
                <w:szCs w:val="12"/>
                <w:color w:val="auto"/>
              </w:rPr>
            </w:pPr>
          </w:p>
        </w:tc>
        <w:tc>
          <w:tcPr>
            <w:tcW w:w="600" w:type="dxa"/>
            <w:vAlign w:val="bottom"/>
          </w:tcPr>
          <w:p>
            <w:pPr>
              <w:jc w:val="right"/>
              <w:ind w:right="233"/>
              <w:spacing w:after="0" w:line="142" w:lineRule="exact"/>
              <w:rPr>
                <w:sz w:val="20"/>
                <w:szCs w:val="20"/>
                <w:color w:val="auto"/>
              </w:rPr>
            </w:pPr>
            <w:r>
              <w:rPr>
                <w:rFonts w:ascii="Arial" w:cs="Arial" w:eastAsia="Arial" w:hAnsi="Arial"/>
                <w:sz w:val="14"/>
                <w:szCs w:val="14"/>
                <w:color w:val="auto"/>
                <w:w w:val="83"/>
              </w:rPr>
              <w:t>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w w:val="94"/>
              </w:rPr>
              <w:t>14,339</w:t>
            </w:r>
          </w:p>
        </w:tc>
        <w:tc>
          <w:tcPr>
            <w:tcW w:w="3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9,489</w:t>
            </w:r>
          </w:p>
        </w:tc>
        <w:tc>
          <w:tcPr>
            <w:tcW w:w="3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w w:val="87"/>
              </w:rPr>
              <w:t>40,800</w:t>
            </w:r>
          </w:p>
        </w:tc>
        <w:tc>
          <w:tcPr>
            <w:tcW w:w="420" w:type="dxa"/>
            <w:vAlign w:val="bottom"/>
            <w:tcBorders>
              <w:top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7"/>
              </w:rPr>
              <w:t>28,216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Costs and Expenses:</w:t>
            </w: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Operating costs and expenses</w:t>
            </w:r>
          </w:p>
        </w:tc>
        <w:tc>
          <w:tcPr>
            <w:tcW w:w="56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9,765</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5,911</w:t>
            </w: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w w:val="87"/>
              </w:rPr>
              <w:t>27,359</w:t>
            </w:r>
          </w:p>
        </w:tc>
        <w:tc>
          <w:tcPr>
            <w:tcW w:w="4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87"/>
              </w:rPr>
              <w:t>17,336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560" w:type="dxa"/>
            <w:vAlign w:val="bottom"/>
          </w:tcPr>
          <w:p>
            <w:pPr>
              <w:spacing w:after="0"/>
              <w:rPr>
                <w:sz w:val="18"/>
                <w:szCs w:val="18"/>
                <w:color w:val="auto"/>
              </w:rPr>
            </w:pPr>
          </w:p>
        </w:tc>
        <w:tc>
          <w:tcPr>
            <w:tcW w:w="820" w:type="dxa"/>
            <w:vAlign w:val="bottom"/>
          </w:tcPr>
          <w:p>
            <w:pPr>
              <w:jc w:val="right"/>
              <w:ind w:right="195"/>
              <w:spacing w:after="0"/>
              <w:rPr>
                <w:sz w:val="20"/>
                <w:szCs w:val="20"/>
                <w:color w:val="auto"/>
              </w:rPr>
            </w:pPr>
            <w:r>
              <w:rPr>
                <w:rFonts w:ascii="Arial" w:cs="Arial" w:eastAsia="Arial" w:hAnsi="Arial"/>
                <w:sz w:val="18"/>
                <w:szCs w:val="18"/>
                <w:color w:val="auto"/>
              </w:rPr>
              <w:t>1,540</w:t>
            </w:r>
          </w:p>
        </w:tc>
        <w:tc>
          <w:tcPr>
            <w:tcW w:w="340" w:type="dxa"/>
            <w:vAlign w:val="bottom"/>
          </w:tcPr>
          <w:p>
            <w:pPr>
              <w:spacing w:after="0"/>
              <w:rPr>
                <w:sz w:val="18"/>
                <w:szCs w:val="18"/>
                <w:color w:val="auto"/>
              </w:rPr>
            </w:pPr>
          </w:p>
        </w:tc>
        <w:tc>
          <w:tcPr>
            <w:tcW w:w="780" w:type="dxa"/>
            <w:vAlign w:val="bottom"/>
          </w:tcPr>
          <w:p>
            <w:pPr>
              <w:jc w:val="right"/>
              <w:ind w:right="213"/>
              <w:spacing w:after="0"/>
              <w:rPr>
                <w:sz w:val="20"/>
                <w:szCs w:val="20"/>
                <w:color w:val="auto"/>
              </w:rPr>
            </w:pPr>
            <w:r>
              <w:rPr>
                <w:rFonts w:ascii="Arial" w:cs="Arial" w:eastAsia="Arial" w:hAnsi="Arial"/>
                <w:sz w:val="18"/>
                <w:szCs w:val="18"/>
                <w:color w:val="auto"/>
              </w:rPr>
              <w:t>1,377</w:t>
            </w:r>
          </w:p>
        </w:tc>
        <w:tc>
          <w:tcPr>
            <w:tcW w:w="320" w:type="dxa"/>
            <w:vAlign w:val="bottom"/>
          </w:tcPr>
          <w:p>
            <w:pPr>
              <w:spacing w:after="0"/>
              <w:rPr>
                <w:sz w:val="18"/>
                <w:szCs w:val="18"/>
                <w:color w:val="auto"/>
              </w:rPr>
            </w:pPr>
          </w:p>
        </w:tc>
        <w:tc>
          <w:tcPr>
            <w:tcW w:w="780" w:type="dxa"/>
            <w:vAlign w:val="bottom"/>
          </w:tcPr>
          <w:p>
            <w:pPr>
              <w:jc w:val="right"/>
              <w:ind w:right="195"/>
              <w:spacing w:after="0"/>
              <w:rPr>
                <w:sz w:val="20"/>
                <w:szCs w:val="20"/>
                <w:color w:val="auto"/>
              </w:rPr>
            </w:pPr>
            <w:r>
              <w:rPr>
                <w:rFonts w:ascii="Arial" w:cs="Arial" w:eastAsia="Arial" w:hAnsi="Arial"/>
                <w:sz w:val="18"/>
                <w:szCs w:val="18"/>
                <w:color w:val="auto"/>
              </w:rPr>
              <w:t>4,504</w:t>
            </w:r>
          </w:p>
        </w:tc>
        <w:tc>
          <w:tcPr>
            <w:tcW w:w="4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4,167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56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rPr>
              <w:t>393</w:t>
            </w:r>
          </w:p>
        </w:tc>
        <w:tc>
          <w:tcPr>
            <w:tcW w:w="3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247</w:t>
            </w:r>
          </w:p>
        </w:tc>
        <w:tc>
          <w:tcPr>
            <w:tcW w:w="3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rPr>
              <w:t>1,134</w:t>
            </w:r>
          </w:p>
        </w:tc>
        <w:tc>
          <w:tcPr>
            <w:tcW w:w="4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w w:val="94"/>
              </w:rPr>
              <w:t>11,698</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7,535</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w w:val="87"/>
              </w:rPr>
              <w:t>32,997</w:t>
            </w:r>
          </w:p>
        </w:tc>
        <w:tc>
          <w:tcPr>
            <w:tcW w:w="4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87"/>
              </w:rPr>
              <w:t>22,249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income</w:t>
            </w:r>
          </w:p>
        </w:tc>
        <w:tc>
          <w:tcPr>
            <w:tcW w:w="56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2,641</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1,954</w:t>
            </w: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7,803</w:t>
            </w:r>
          </w:p>
        </w:tc>
        <w:tc>
          <w:tcPr>
            <w:tcW w:w="4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Other Income (Expense):</w:t>
            </w: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Interest expense</w:t>
            </w:r>
          </w:p>
        </w:tc>
        <w:tc>
          <w:tcPr>
            <w:tcW w:w="56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(637)</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(545)</w:t>
            </w: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w w:val="91"/>
              </w:rPr>
              <w:t>(1,863)</w:t>
            </w:r>
          </w:p>
        </w:tc>
        <w:tc>
          <w:tcPr>
            <w:tcW w:w="42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4"/>
              </w:rPr>
              <w:t>(1,612)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Investment income (loss), net</w:t>
            </w:r>
          </w:p>
        </w:tc>
        <w:tc>
          <w:tcPr>
            <w:tcW w:w="560" w:type="dxa"/>
            <w:vAlign w:val="bottom"/>
          </w:tcPr>
          <w:p>
            <w:pPr>
              <w:spacing w:after="0"/>
              <w:rPr>
                <w:sz w:val="18"/>
                <w:szCs w:val="18"/>
                <w:color w:val="auto"/>
              </w:rPr>
            </w:pPr>
          </w:p>
        </w:tc>
        <w:tc>
          <w:tcPr>
            <w:tcW w:w="820" w:type="dxa"/>
            <w:vAlign w:val="bottom"/>
          </w:tcPr>
          <w:p>
            <w:pPr>
              <w:jc w:val="right"/>
              <w:ind w:right="135"/>
              <w:spacing w:after="0"/>
              <w:rPr>
                <w:sz w:val="20"/>
                <w:szCs w:val="20"/>
                <w:color w:val="auto"/>
              </w:rPr>
            </w:pPr>
            <w:r>
              <w:rPr>
                <w:rFonts w:ascii="Arial" w:cs="Arial" w:eastAsia="Arial" w:hAnsi="Arial"/>
                <w:sz w:val="18"/>
                <w:szCs w:val="18"/>
                <w:color w:val="auto"/>
              </w:rPr>
              <w:t>(147)</w:t>
            </w:r>
          </w:p>
        </w:tc>
        <w:tc>
          <w:tcPr>
            <w:tcW w:w="340" w:type="dxa"/>
            <w:vAlign w:val="bottom"/>
          </w:tcPr>
          <w:p>
            <w:pPr>
              <w:spacing w:after="0"/>
              <w:rPr>
                <w:sz w:val="18"/>
                <w:szCs w:val="18"/>
                <w:color w:val="auto"/>
              </w:rPr>
            </w:pPr>
          </w:p>
        </w:tc>
        <w:tc>
          <w:tcPr>
            <w:tcW w:w="780" w:type="dxa"/>
            <w:vAlign w:val="bottom"/>
          </w:tcPr>
          <w:p>
            <w:pPr>
              <w:jc w:val="right"/>
              <w:ind w:right="213"/>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18"/>
                <w:szCs w:val="18"/>
                <w:color w:val="auto"/>
              </w:rPr>
            </w:pPr>
          </w:p>
        </w:tc>
        <w:tc>
          <w:tcPr>
            <w:tcW w:w="780" w:type="dxa"/>
            <w:vAlign w:val="bottom"/>
          </w:tcPr>
          <w:p>
            <w:pPr>
              <w:jc w:val="right"/>
              <w:ind w:right="195"/>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Equity in net income (losses) of investees, net</w:t>
            </w:r>
          </w:p>
        </w:tc>
        <w:tc>
          <w:tcPr>
            <w:tcW w:w="56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(40)</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(40)</w:t>
            </w: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(40)</w:t>
            </w:r>
          </w:p>
        </w:tc>
        <w:tc>
          <w:tcPr>
            <w:tcW w:w="42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income (expense), net</w:t>
            </w:r>
          </w:p>
        </w:tc>
        <w:tc>
          <w:tcPr>
            <w:tcW w:w="5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(12)</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(24)</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(82)</w:t>
            </w:r>
          </w:p>
        </w:tc>
        <w:tc>
          <w:tcPr>
            <w:tcW w:w="4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(836)</w:t>
            </w:r>
          </w:p>
        </w:tc>
        <w:tc>
          <w:tcPr>
            <w:tcW w:w="3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(500)</w:t>
            </w:r>
          </w:p>
        </w:tc>
        <w:tc>
          <w:tcPr>
            <w:tcW w:w="3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color w:val="auto"/>
                <w:w w:val="91"/>
              </w:rPr>
              <w:t>(1,982)</w:t>
            </w:r>
          </w:p>
        </w:tc>
        <w:tc>
          <w:tcPr>
            <w:tcW w:w="4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4"/>
              </w:rPr>
              <w:t>(1,569)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560" w:type="dxa"/>
            <w:vAlign w:val="bottom"/>
          </w:tcPr>
          <w:p>
            <w:pPr>
              <w:spacing w:after="0"/>
              <w:rPr>
                <w:sz w:val="18"/>
                <w:szCs w:val="18"/>
                <w:color w:val="auto"/>
              </w:rPr>
            </w:pPr>
          </w:p>
        </w:tc>
        <w:tc>
          <w:tcPr>
            <w:tcW w:w="820" w:type="dxa"/>
            <w:vAlign w:val="bottom"/>
          </w:tcPr>
          <w:p>
            <w:pPr>
              <w:jc w:val="right"/>
              <w:ind w:right="195"/>
              <w:spacing w:after="0"/>
              <w:rPr>
                <w:sz w:val="20"/>
                <w:szCs w:val="20"/>
                <w:color w:val="auto"/>
              </w:rPr>
            </w:pPr>
            <w:r>
              <w:rPr>
                <w:rFonts w:ascii="Arial" w:cs="Arial" w:eastAsia="Arial" w:hAnsi="Arial"/>
                <w:sz w:val="18"/>
                <w:szCs w:val="18"/>
                <w:color w:val="auto"/>
              </w:rPr>
              <w:t>1,805</w:t>
            </w:r>
          </w:p>
        </w:tc>
        <w:tc>
          <w:tcPr>
            <w:tcW w:w="340" w:type="dxa"/>
            <w:vAlign w:val="bottom"/>
          </w:tcPr>
          <w:p>
            <w:pPr>
              <w:spacing w:after="0"/>
              <w:rPr>
                <w:sz w:val="18"/>
                <w:szCs w:val="18"/>
                <w:color w:val="auto"/>
              </w:rPr>
            </w:pPr>
          </w:p>
        </w:tc>
        <w:tc>
          <w:tcPr>
            <w:tcW w:w="780" w:type="dxa"/>
            <w:vAlign w:val="bottom"/>
          </w:tcPr>
          <w:p>
            <w:pPr>
              <w:jc w:val="right"/>
              <w:ind w:right="213"/>
              <w:spacing w:after="0"/>
              <w:rPr>
                <w:sz w:val="20"/>
                <w:szCs w:val="20"/>
                <w:color w:val="auto"/>
              </w:rPr>
            </w:pPr>
            <w:r>
              <w:rPr>
                <w:rFonts w:ascii="Arial" w:cs="Arial" w:eastAsia="Arial" w:hAnsi="Arial"/>
                <w:sz w:val="18"/>
                <w:szCs w:val="18"/>
                <w:color w:val="auto"/>
              </w:rPr>
              <w:t>1,454</w:t>
            </w:r>
          </w:p>
        </w:tc>
        <w:tc>
          <w:tcPr>
            <w:tcW w:w="320" w:type="dxa"/>
            <w:vAlign w:val="bottom"/>
          </w:tcPr>
          <w:p>
            <w:pPr>
              <w:spacing w:after="0"/>
              <w:rPr>
                <w:sz w:val="18"/>
                <w:szCs w:val="18"/>
                <w:color w:val="auto"/>
              </w:rPr>
            </w:pPr>
          </w:p>
        </w:tc>
        <w:tc>
          <w:tcPr>
            <w:tcW w:w="780" w:type="dxa"/>
            <w:vAlign w:val="bottom"/>
          </w:tcPr>
          <w:p>
            <w:pPr>
              <w:jc w:val="right"/>
              <w:ind w:right="195"/>
              <w:spacing w:after="0"/>
              <w:rPr>
                <w:sz w:val="20"/>
                <w:szCs w:val="20"/>
                <w:color w:val="auto"/>
              </w:rPr>
            </w:pPr>
            <w:r>
              <w:rPr>
                <w:rFonts w:ascii="Arial" w:cs="Arial" w:eastAsia="Arial" w:hAnsi="Arial"/>
                <w:sz w:val="18"/>
                <w:szCs w:val="18"/>
                <w:color w:val="auto"/>
              </w:rPr>
              <w:t>5,821</w:t>
            </w:r>
          </w:p>
        </w:tc>
        <w:tc>
          <w:tcPr>
            <w:tcW w:w="4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4,398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56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(639)</w:t>
            </w:r>
          </w:p>
        </w:tc>
        <w:tc>
          <w:tcPr>
            <w:tcW w:w="3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(584)</w:t>
            </w:r>
          </w:p>
        </w:tc>
        <w:tc>
          <w:tcPr>
            <w:tcW w:w="3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color w:val="auto"/>
                <w:w w:val="91"/>
              </w:rPr>
              <w:t>(2,249)</w:t>
            </w:r>
          </w:p>
        </w:tc>
        <w:tc>
          <w:tcPr>
            <w:tcW w:w="4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4"/>
              </w:rPr>
              <w:t>(1,763)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Net income from consolidated operations</w:t>
            </w:r>
          </w:p>
        </w:tc>
        <w:tc>
          <w:tcPr>
            <w:tcW w:w="560" w:type="dxa"/>
            <w:vAlign w:val="bottom"/>
          </w:tcPr>
          <w:p>
            <w:pPr>
              <w:spacing w:after="0"/>
              <w:rPr>
                <w:sz w:val="18"/>
                <w:szCs w:val="18"/>
                <w:color w:val="auto"/>
              </w:rPr>
            </w:pPr>
          </w:p>
        </w:tc>
        <w:tc>
          <w:tcPr>
            <w:tcW w:w="820" w:type="dxa"/>
            <w:vAlign w:val="bottom"/>
          </w:tcPr>
          <w:p>
            <w:pPr>
              <w:jc w:val="right"/>
              <w:ind w:right="195"/>
              <w:spacing w:after="0"/>
              <w:rPr>
                <w:sz w:val="20"/>
                <w:szCs w:val="20"/>
                <w:color w:val="auto"/>
              </w:rPr>
            </w:pPr>
            <w:r>
              <w:rPr>
                <w:rFonts w:ascii="Arial" w:cs="Arial" w:eastAsia="Arial" w:hAnsi="Arial"/>
                <w:sz w:val="18"/>
                <w:szCs w:val="18"/>
                <w:color w:val="auto"/>
              </w:rPr>
              <w:t>1,166</w:t>
            </w:r>
          </w:p>
        </w:tc>
        <w:tc>
          <w:tcPr>
            <w:tcW w:w="340" w:type="dxa"/>
            <w:vAlign w:val="bottom"/>
          </w:tcPr>
          <w:p>
            <w:pPr>
              <w:spacing w:after="0"/>
              <w:rPr>
                <w:sz w:val="18"/>
                <w:szCs w:val="18"/>
                <w:color w:val="auto"/>
              </w:rPr>
            </w:pPr>
          </w:p>
        </w:tc>
        <w:tc>
          <w:tcPr>
            <w:tcW w:w="780" w:type="dxa"/>
            <w:vAlign w:val="bottom"/>
          </w:tcPr>
          <w:p>
            <w:pPr>
              <w:jc w:val="right"/>
              <w:ind w:right="213"/>
              <w:spacing w:after="0"/>
              <w:rPr>
                <w:sz w:val="20"/>
                <w:szCs w:val="20"/>
                <w:color w:val="auto"/>
              </w:rPr>
            </w:pPr>
            <w:r>
              <w:rPr>
                <w:rFonts w:ascii="Arial" w:cs="Arial" w:eastAsia="Arial" w:hAnsi="Arial"/>
                <w:sz w:val="18"/>
                <w:szCs w:val="18"/>
                <w:color w:val="auto"/>
              </w:rPr>
              <w:t>870</w:t>
            </w:r>
          </w:p>
        </w:tc>
        <w:tc>
          <w:tcPr>
            <w:tcW w:w="320" w:type="dxa"/>
            <w:vAlign w:val="bottom"/>
          </w:tcPr>
          <w:p>
            <w:pPr>
              <w:spacing w:after="0"/>
              <w:rPr>
                <w:sz w:val="18"/>
                <w:szCs w:val="18"/>
                <w:color w:val="auto"/>
              </w:rPr>
            </w:pPr>
          </w:p>
        </w:tc>
        <w:tc>
          <w:tcPr>
            <w:tcW w:w="780" w:type="dxa"/>
            <w:vAlign w:val="bottom"/>
          </w:tcPr>
          <w:p>
            <w:pPr>
              <w:jc w:val="right"/>
              <w:ind w:right="195"/>
              <w:spacing w:after="0"/>
              <w:rPr>
                <w:sz w:val="20"/>
                <w:szCs w:val="20"/>
                <w:color w:val="auto"/>
              </w:rPr>
            </w:pPr>
            <w:r>
              <w:rPr>
                <w:rFonts w:ascii="Arial" w:cs="Arial" w:eastAsia="Arial" w:hAnsi="Arial"/>
                <w:sz w:val="18"/>
                <w:szCs w:val="18"/>
                <w:color w:val="auto"/>
              </w:rPr>
              <w:t>3,572</w:t>
            </w:r>
          </w:p>
        </w:tc>
        <w:tc>
          <w:tcPr>
            <w:tcW w:w="4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2,635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56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(258)</w:t>
            </w:r>
          </w:p>
        </w:tc>
        <w:tc>
          <w:tcPr>
            <w:tcW w:w="3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(3)</w:t>
            </w:r>
          </w:p>
        </w:tc>
        <w:tc>
          <w:tcPr>
            <w:tcW w:w="3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color w:val="auto"/>
              </w:rPr>
              <w:t>(699)</w:t>
            </w:r>
          </w:p>
        </w:tc>
        <w:tc>
          <w:tcPr>
            <w:tcW w:w="4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b w:val="1"/>
                <w:bCs w:val="1"/>
                <w:color w:val="auto"/>
              </w:rPr>
              <w:t>908</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b w:val="1"/>
                <w:bCs w:val="1"/>
                <w:color w:val="auto"/>
              </w:rPr>
              <w:t>867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b w:val="1"/>
                <w:bCs w:val="1"/>
                <w:color w:val="auto"/>
              </w:rPr>
              <w:t>2,873</w:t>
            </w: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2,617</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w w:val="93"/>
              </w:rPr>
              <w:t>Basic earnings per common share attributable to Comcast Corporation shareholders</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E5E5E5"/>
          </w:tcPr>
          <w:p>
            <w:pPr>
              <w:jc w:val="right"/>
              <w:ind w:right="195"/>
              <w:spacing w:after="0"/>
              <w:rPr>
                <w:sz w:val="20"/>
                <w:szCs w:val="20"/>
                <w:color w:val="auto"/>
              </w:rPr>
            </w:pPr>
            <w:r>
              <w:rPr>
                <w:rFonts w:ascii="Arial" w:cs="Arial" w:eastAsia="Arial" w:hAnsi="Arial"/>
                <w:sz w:val="18"/>
                <w:szCs w:val="18"/>
                <w:b w:val="1"/>
                <w:bCs w:val="1"/>
                <w:color w:val="auto"/>
              </w:rPr>
              <w:t>0.33</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5E5E5"/>
          </w:tcPr>
          <w:p>
            <w:pPr>
              <w:jc w:val="right"/>
              <w:ind w:right="213"/>
              <w:spacing w:after="0"/>
              <w:rPr>
                <w:sz w:val="20"/>
                <w:szCs w:val="20"/>
                <w:color w:val="auto"/>
              </w:rPr>
            </w:pPr>
            <w:r>
              <w:rPr>
                <w:rFonts w:ascii="Arial" w:cs="Arial" w:eastAsia="Arial" w:hAnsi="Arial"/>
                <w:sz w:val="18"/>
                <w:szCs w:val="18"/>
                <w:b w:val="1"/>
                <w:bCs w:val="1"/>
                <w:color w:val="auto"/>
              </w:rPr>
              <w:t>0.31</w:t>
            </w:r>
          </w:p>
        </w:tc>
        <w:tc>
          <w:tcPr>
            <w:tcW w:w="3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5E5E5"/>
          </w:tcPr>
          <w:p>
            <w:pPr>
              <w:jc w:val="right"/>
              <w:ind w:right="195"/>
              <w:spacing w:after="0"/>
              <w:rPr>
                <w:sz w:val="20"/>
                <w:szCs w:val="20"/>
                <w:color w:val="auto"/>
              </w:rPr>
            </w:pPr>
            <w:r>
              <w:rPr>
                <w:rFonts w:ascii="Arial" w:cs="Arial" w:eastAsia="Arial" w:hAnsi="Arial"/>
                <w:sz w:val="18"/>
                <w:szCs w:val="18"/>
                <w:b w:val="1"/>
                <w:bCs w:val="1"/>
                <w:color w:val="auto"/>
              </w:rPr>
              <w:t>1.04</w:t>
            </w:r>
          </w:p>
        </w:tc>
        <w:tc>
          <w:tcPr>
            <w:tcW w:w="420" w:type="dxa"/>
            <w:vAlign w:val="bottom"/>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b w:val="1"/>
                <w:bCs w:val="1"/>
                <w:color w:val="auto"/>
                <w:w w:val="91"/>
              </w:rPr>
              <w:t>Diluted earnings per common share attributable to Comcast Corporation shareholders</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95"/>
              <w:spacing w:after="0"/>
              <w:rPr>
                <w:sz w:val="20"/>
                <w:szCs w:val="20"/>
                <w:color w:val="auto"/>
              </w:rPr>
            </w:pPr>
            <w:r>
              <w:rPr>
                <w:rFonts w:ascii="Arial" w:cs="Arial" w:eastAsia="Arial" w:hAnsi="Arial"/>
                <w:sz w:val="18"/>
                <w:szCs w:val="18"/>
                <w:b w:val="1"/>
                <w:bCs w:val="1"/>
                <w:color w:val="auto"/>
              </w:rPr>
              <w:t>0.33</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213"/>
              <w:spacing w:after="0"/>
              <w:rPr>
                <w:sz w:val="20"/>
                <w:szCs w:val="20"/>
                <w:color w:val="auto"/>
              </w:rPr>
            </w:pPr>
            <w:r>
              <w:rPr>
                <w:rFonts w:ascii="Arial" w:cs="Arial" w:eastAsia="Arial" w:hAnsi="Arial"/>
                <w:sz w:val="18"/>
                <w:szCs w:val="18"/>
                <w:b w:val="1"/>
                <w:bCs w:val="1"/>
                <w:color w:val="auto"/>
              </w:rPr>
              <w:t>0.31</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95"/>
              <w:spacing w:after="0"/>
              <w:rPr>
                <w:sz w:val="20"/>
                <w:szCs w:val="20"/>
                <w:color w:val="auto"/>
              </w:rPr>
            </w:pPr>
            <w:r>
              <w:rPr>
                <w:rFonts w:ascii="Arial" w:cs="Arial" w:eastAsia="Arial" w:hAnsi="Arial"/>
                <w:sz w:val="18"/>
                <w:szCs w:val="18"/>
                <w:b w:val="1"/>
                <w:bCs w:val="1"/>
                <w:color w:val="auto"/>
              </w:rPr>
              <w:t>1.03</w:t>
            </w:r>
          </w:p>
        </w:tc>
        <w:tc>
          <w:tcPr>
            <w:tcW w:w="42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13"/>
              <w:spacing w:after="0"/>
              <w:rPr>
                <w:sz w:val="20"/>
                <w:szCs w:val="20"/>
                <w:color w:val="auto"/>
              </w:rPr>
            </w:pPr>
            <w:r>
              <w:rPr>
                <w:rFonts w:ascii="Arial" w:cs="Arial" w:eastAsia="Arial" w:hAnsi="Arial"/>
                <w:sz w:val="18"/>
                <w:szCs w:val="18"/>
                <w:b w:val="1"/>
                <w:bCs w:val="1"/>
                <w:color w:val="auto"/>
              </w:rPr>
              <w:t>0.93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w w:val="88"/>
              </w:rPr>
              <w:t>Dividends declared per common share attributable to Comcast Corporation shareholders</w:t>
            </w: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b w:val="1"/>
                <w:bCs w:val="1"/>
                <w:color w:val="auto"/>
                <w:w w:val="94"/>
              </w:rPr>
              <w:t>0.1125</w:t>
            </w: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b w:val="1"/>
                <w:bCs w:val="1"/>
                <w:color w:val="auto"/>
                <w:w w:val="83"/>
              </w:rPr>
              <w:t>0.0945</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b w:val="1"/>
                <w:bCs w:val="1"/>
                <w:color w:val="auto"/>
                <w:w w:val="87"/>
              </w:rPr>
              <w:t>0.3375</w:t>
            </w:r>
          </w:p>
        </w:tc>
        <w:tc>
          <w:tcPr>
            <w:tcW w:w="42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7"/>
              </w:rPr>
              <w:t>0.2835</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80" w:type="dxa"/>
            <w:vAlign w:val="bottom"/>
            <w:gridSpan w:val="3"/>
          </w:tcPr>
          <w:p>
            <w:pPr>
              <w:jc w:val="right"/>
              <w:ind w:right="434"/>
              <w:spacing w:after="0"/>
              <w:rPr>
                <w:sz w:val="20"/>
                <w:szCs w:val="20"/>
                <w:color w:val="auto"/>
              </w:rPr>
            </w:pPr>
            <w:r>
              <w:rPr>
                <w:rFonts w:ascii="Arial" w:cs="Arial" w:eastAsia="Arial" w:hAnsi="Arial"/>
                <w:sz w:val="14"/>
                <w:szCs w:val="14"/>
                <w:color w:val="auto"/>
                <w:w w:val="94"/>
              </w:rPr>
              <w:t>Three Months Ended</w:t>
            </w:r>
          </w:p>
        </w:tc>
        <w:tc>
          <w:tcPr>
            <w:tcW w:w="1920" w:type="dxa"/>
            <w:vAlign w:val="bottom"/>
            <w:gridSpan w:val="2"/>
          </w:tcPr>
          <w:p>
            <w:pPr>
              <w:jc w:val="right"/>
              <w:ind w:right="274"/>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72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7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2"/>
          </w:tcPr>
          <w:p>
            <w:pPr>
              <w:jc w:val="right"/>
              <w:ind w:right="454"/>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720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37"/>
              <w:spacing w:after="0" w:line="142" w:lineRule="exact"/>
              <w:rPr>
                <w:sz w:val="20"/>
                <w:szCs w:val="20"/>
                <w:color w:val="auto"/>
              </w:rPr>
            </w:pPr>
            <w:r>
              <w:rPr>
                <w:rFonts w:ascii="Arial" w:cs="Arial" w:eastAsia="Arial" w:hAnsi="Arial"/>
                <w:sz w:val="14"/>
                <w:szCs w:val="14"/>
                <w:color w:val="auto"/>
                <w:w w:val="89"/>
              </w:rPr>
              <w:t>2011</w:t>
            </w: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color w:val="auto"/>
                <w:w w:val="83"/>
              </w:rPr>
              <w:t>2010</w:t>
            </w:r>
          </w:p>
        </w:tc>
        <w:tc>
          <w:tcPr>
            <w:tcW w:w="1040" w:type="dxa"/>
            <w:vAlign w:val="bottom"/>
            <w:tcBorders>
              <w:bottom w:val="single" w:sz="8" w:color="auto"/>
            </w:tcBorders>
          </w:tcPr>
          <w:p>
            <w:pPr>
              <w:jc w:val="right"/>
              <w:ind w:right="337"/>
              <w:spacing w:after="0" w:line="142" w:lineRule="exact"/>
              <w:rPr>
                <w:sz w:val="20"/>
                <w:szCs w:val="20"/>
                <w:color w:val="auto"/>
              </w:rPr>
            </w:pPr>
            <w:r>
              <w:rPr>
                <w:rFonts w:ascii="Arial" w:cs="Arial" w:eastAsia="Arial" w:hAnsi="Arial"/>
                <w:sz w:val="14"/>
                <w:szCs w:val="14"/>
                <w:color w:val="auto"/>
              </w:rPr>
              <w:t>2011</w:t>
            </w:r>
          </w:p>
        </w:tc>
        <w:tc>
          <w:tcPr>
            <w:tcW w:w="88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210"/>
        </w:trPr>
        <w:tc>
          <w:tcPr>
            <w:tcW w:w="7200" w:type="dxa"/>
            <w:vAlign w:val="bottom"/>
            <w:shd w:val="clear" w:color="auto" w:fill="E5E5E5"/>
          </w:tcPr>
          <w:p>
            <w:pPr>
              <w:spacing w:after="0"/>
              <w:rPr>
                <w:sz w:val="20"/>
                <w:szCs w:val="20"/>
                <w:color w:val="auto"/>
              </w:rPr>
            </w:pPr>
            <w:r>
              <w:rPr>
                <w:rFonts w:ascii="Arial" w:cs="Arial" w:eastAsia="Arial" w:hAnsi="Arial"/>
                <w:sz w:val="18"/>
                <w:szCs w:val="18"/>
                <w:color w:val="auto"/>
              </w:rPr>
              <w:t>Net income from consolidated operations</w:t>
            </w: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97"/>
              <w:spacing w:after="0"/>
              <w:rPr>
                <w:sz w:val="20"/>
                <w:szCs w:val="20"/>
                <w:color w:val="auto"/>
              </w:rPr>
            </w:pPr>
            <w:r>
              <w:rPr>
                <w:rFonts w:ascii="Arial" w:cs="Arial" w:eastAsia="Arial" w:hAnsi="Arial"/>
                <w:sz w:val="18"/>
                <w:szCs w:val="18"/>
                <w:color w:val="auto"/>
                <w:w w:val="93"/>
              </w:rPr>
              <w:t>1,166</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870</w:t>
            </w:r>
          </w:p>
        </w:tc>
        <w:tc>
          <w:tcPr>
            <w:tcW w:w="1040" w:type="dxa"/>
            <w:vAlign w:val="bottom"/>
            <w:shd w:val="clear" w:color="auto" w:fill="E5E5E5"/>
          </w:tcPr>
          <w:p>
            <w:pPr>
              <w:jc w:val="right"/>
              <w:ind w:right="197"/>
              <w:spacing w:after="0"/>
              <w:rPr>
                <w:sz w:val="20"/>
                <w:szCs w:val="20"/>
                <w:color w:val="auto"/>
              </w:rPr>
            </w:pPr>
            <w:r>
              <w:rPr>
                <w:rFonts w:ascii="Arial" w:cs="Arial" w:eastAsia="Arial" w:hAnsi="Arial"/>
                <w:sz w:val="18"/>
                <w:szCs w:val="18"/>
                <w:color w:val="auto"/>
              </w:rPr>
              <w:t>$ 3,572</w:t>
            </w:r>
          </w:p>
        </w:tc>
        <w:tc>
          <w:tcPr>
            <w:tcW w:w="8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$ 2,635</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w w:val="92"/>
              </w:rPr>
              <w:t>Unrealized gains (losses) on marketable securities, net of deferred taxes of $—, $—, $(3) and $—</w:t>
            </w:r>
          </w:p>
        </w:tc>
        <w:tc>
          <w:tcPr>
            <w:tcW w:w="520" w:type="dxa"/>
            <w:vAlign w:val="bottom"/>
          </w:tcPr>
          <w:p>
            <w:pPr>
              <w:spacing w:after="0"/>
              <w:rPr>
                <w:sz w:val="18"/>
                <w:szCs w:val="18"/>
                <w:color w:val="auto"/>
              </w:rPr>
            </w:pPr>
          </w:p>
        </w:tc>
        <w:tc>
          <w:tcPr>
            <w:tcW w:w="720" w:type="dxa"/>
            <w:vAlign w:val="bottom"/>
          </w:tcPr>
          <w:p>
            <w:pPr>
              <w:jc w:val="right"/>
              <w:ind w:right="197"/>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00" w:type="dxa"/>
            <w:vAlign w:val="bottom"/>
          </w:tcPr>
          <w:p>
            <w:pPr>
              <w:jc w:val="right"/>
              <w:ind w:right="214"/>
              <w:spacing w:after="0"/>
              <w:rPr>
                <w:sz w:val="20"/>
                <w:szCs w:val="20"/>
                <w:color w:val="auto"/>
              </w:rPr>
            </w:pPr>
            <w:r>
              <w:rPr>
                <w:rFonts w:ascii="Arial" w:cs="Arial" w:eastAsia="Arial" w:hAnsi="Arial"/>
                <w:sz w:val="18"/>
                <w:szCs w:val="18"/>
                <w:color w:val="auto"/>
              </w:rPr>
              <w:t>1</w:t>
            </w:r>
          </w:p>
        </w:tc>
        <w:tc>
          <w:tcPr>
            <w:tcW w:w="1040" w:type="dxa"/>
            <w:vAlign w:val="bottom"/>
          </w:tcPr>
          <w:p>
            <w:pPr>
              <w:jc w:val="right"/>
              <w:ind w:right="197"/>
              <w:spacing w:after="0"/>
              <w:rPr>
                <w:sz w:val="20"/>
                <w:szCs w:val="20"/>
                <w:color w:val="auto"/>
              </w:rPr>
            </w:pPr>
            <w:r>
              <w:rPr>
                <w:rFonts w:ascii="Arial" w:cs="Arial" w:eastAsia="Arial" w:hAnsi="Arial"/>
                <w:sz w:val="18"/>
                <w:szCs w:val="18"/>
                <w:color w:val="auto"/>
              </w:rPr>
              <w:t>5</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200" w:type="dxa"/>
            <w:vAlign w:val="bottom"/>
            <w:shd w:val="clear" w:color="auto" w:fill="E5E5E5"/>
          </w:tcPr>
          <w:p>
            <w:pPr>
              <w:spacing w:after="0"/>
              <w:rPr>
                <w:sz w:val="20"/>
                <w:szCs w:val="20"/>
                <w:color w:val="auto"/>
              </w:rPr>
            </w:pPr>
            <w:r>
              <w:rPr>
                <w:rFonts w:ascii="Arial" w:cs="Arial" w:eastAsia="Arial" w:hAnsi="Arial"/>
                <w:sz w:val="18"/>
                <w:szCs w:val="18"/>
                <w:color w:val="auto"/>
                <w:w w:val="97"/>
              </w:rPr>
              <w:t>Deferred gains (losses) on cash flow hedges, net of deferred taxes of $35, $21, $33 and $45</w:t>
            </w:r>
          </w:p>
        </w:tc>
        <w:tc>
          <w:tcPr>
            <w:tcW w:w="5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(59)</w:t>
            </w:r>
          </w:p>
        </w:tc>
        <w:tc>
          <w:tcPr>
            <w:tcW w:w="3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(37)</w:t>
            </w:r>
          </w:p>
        </w:tc>
        <w:tc>
          <w:tcPr>
            <w:tcW w:w="104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(57)</w:t>
            </w: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Amounts reclassified to net income:</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E5E5E5"/>
          </w:tcPr>
          <w:p>
            <w:pPr>
              <w:ind w:left="440"/>
              <w:spacing w:after="0"/>
              <w:rPr>
                <w:sz w:val="20"/>
                <w:szCs w:val="20"/>
                <w:color w:val="auto"/>
              </w:rPr>
            </w:pPr>
            <w:r>
              <w:rPr>
                <w:rFonts w:ascii="Arial" w:cs="Arial" w:eastAsia="Arial" w:hAnsi="Arial"/>
                <w:sz w:val="18"/>
                <w:szCs w:val="18"/>
                <w:color w:val="auto"/>
                <w:w w:val="89"/>
              </w:rPr>
              <w:t>Realized (gains) losses on marketable securities, net of deferred taxes of $—, $—, $5 and $—</w:t>
            </w:r>
          </w:p>
        </w:tc>
        <w:tc>
          <w:tcPr>
            <w:tcW w:w="5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7"/>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w:t>
            </w:r>
          </w:p>
        </w:tc>
        <w:tc>
          <w:tcPr>
            <w:tcW w:w="104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(9)</w:t>
            </w:r>
          </w:p>
        </w:tc>
        <w:tc>
          <w:tcPr>
            <w:tcW w:w="8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w w:val="89"/>
              </w:rPr>
              <w:t>Realized (gains) losses on cash flow hedges, net of deferred taxes of $(13), $(1), $(7) and $(4)</w:t>
            </w:r>
          </w:p>
        </w:tc>
        <w:tc>
          <w:tcPr>
            <w:tcW w:w="520" w:type="dxa"/>
            <w:vAlign w:val="bottom"/>
          </w:tcPr>
          <w:p>
            <w:pPr>
              <w:spacing w:after="0"/>
              <w:rPr>
                <w:sz w:val="18"/>
                <w:szCs w:val="18"/>
                <w:color w:val="auto"/>
              </w:rPr>
            </w:pPr>
          </w:p>
        </w:tc>
        <w:tc>
          <w:tcPr>
            <w:tcW w:w="720" w:type="dxa"/>
            <w:vAlign w:val="bottom"/>
          </w:tcPr>
          <w:p>
            <w:pPr>
              <w:jc w:val="right"/>
              <w:ind w:right="197"/>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18"/>
                <w:szCs w:val="18"/>
                <w:color w:val="auto"/>
              </w:rPr>
            </w:pPr>
          </w:p>
        </w:tc>
        <w:tc>
          <w:tcPr>
            <w:tcW w:w="700" w:type="dxa"/>
            <w:vAlign w:val="bottom"/>
          </w:tcPr>
          <w:p>
            <w:pPr>
              <w:jc w:val="right"/>
              <w:ind w:right="214"/>
              <w:spacing w:after="0"/>
              <w:rPr>
                <w:sz w:val="20"/>
                <w:szCs w:val="20"/>
                <w:color w:val="auto"/>
              </w:rPr>
            </w:pPr>
            <w:r>
              <w:rPr>
                <w:rFonts w:ascii="Arial" w:cs="Arial" w:eastAsia="Arial" w:hAnsi="Arial"/>
                <w:sz w:val="18"/>
                <w:szCs w:val="18"/>
                <w:color w:val="auto"/>
              </w:rPr>
              <w:t>2</w:t>
            </w:r>
          </w:p>
        </w:tc>
        <w:tc>
          <w:tcPr>
            <w:tcW w:w="1040" w:type="dxa"/>
            <w:vAlign w:val="bottom"/>
          </w:tcPr>
          <w:p>
            <w:pPr>
              <w:jc w:val="right"/>
              <w:ind w:right="197"/>
              <w:spacing w:after="0"/>
              <w:rPr>
                <w:sz w:val="20"/>
                <w:szCs w:val="20"/>
                <w:color w:val="auto"/>
              </w:rPr>
            </w:pPr>
            <w:r>
              <w:rPr>
                <w:rFonts w:ascii="Arial" w:cs="Arial" w:eastAsia="Arial" w:hAnsi="Arial"/>
                <w:sz w:val="18"/>
                <w:szCs w:val="18"/>
                <w:color w:val="auto"/>
              </w:rPr>
              <w:t>13</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7200" w:type="dxa"/>
            <w:vAlign w:val="bottom"/>
            <w:shd w:val="clear" w:color="auto" w:fill="E5E5E5"/>
          </w:tcPr>
          <w:p>
            <w:pPr>
              <w:spacing w:after="0"/>
              <w:rPr>
                <w:sz w:val="20"/>
                <w:szCs w:val="20"/>
                <w:color w:val="auto"/>
              </w:rPr>
            </w:pPr>
            <w:r>
              <w:rPr>
                <w:rFonts w:ascii="Arial" w:cs="Arial" w:eastAsia="Arial" w:hAnsi="Arial"/>
                <w:sz w:val="18"/>
                <w:szCs w:val="18"/>
                <w:color w:val="auto"/>
              </w:rPr>
              <w:t>Employee benefit obligations, net of deferred taxes of $—, $—, $(1) and $—</w:t>
            </w:r>
          </w:p>
        </w:tc>
        <w:tc>
          <w:tcPr>
            <w:tcW w:w="5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(3)</w:t>
            </w:r>
          </w:p>
        </w:tc>
        <w:tc>
          <w:tcPr>
            <w:tcW w:w="3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w:t>
            </w:r>
          </w:p>
        </w:tc>
        <w:tc>
          <w:tcPr>
            <w:tcW w:w="104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(4)</w:t>
            </w:r>
          </w:p>
        </w:tc>
        <w:tc>
          <w:tcPr>
            <w:tcW w:w="8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Currency translation adjustments</w:t>
            </w:r>
          </w:p>
        </w:tc>
        <w:tc>
          <w:tcPr>
            <w:tcW w:w="5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(9)</w:t>
            </w: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4</w:t>
            </w:r>
          </w:p>
        </w:tc>
        <w:tc>
          <w:tcPr>
            <w:tcW w:w="104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(2)</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200" w:type="dxa"/>
            <w:vAlign w:val="bottom"/>
            <w:shd w:val="clear" w:color="auto" w:fill="E5E5E5"/>
          </w:tcPr>
          <w:p>
            <w:pPr>
              <w:spacing w:after="0"/>
              <w:rPr>
                <w:sz w:val="20"/>
                <w:szCs w:val="20"/>
                <w:color w:val="auto"/>
              </w:rPr>
            </w:pPr>
            <w:r>
              <w:rPr>
                <w:rFonts w:ascii="Arial" w:cs="Arial" w:eastAsia="Arial" w:hAnsi="Arial"/>
                <w:sz w:val="18"/>
                <w:szCs w:val="18"/>
                <w:color w:val="auto"/>
              </w:rPr>
              <w:t>Comprehensive income</w:t>
            </w:r>
          </w:p>
        </w:tc>
        <w:tc>
          <w:tcPr>
            <w:tcW w:w="5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7"/>
              <w:spacing w:after="0"/>
              <w:rPr>
                <w:sz w:val="20"/>
                <w:szCs w:val="20"/>
                <w:color w:val="auto"/>
              </w:rPr>
            </w:pPr>
            <w:r>
              <w:rPr>
                <w:rFonts w:ascii="Arial" w:cs="Arial" w:eastAsia="Arial" w:hAnsi="Arial"/>
                <w:sz w:val="18"/>
                <w:szCs w:val="18"/>
                <w:color w:val="auto"/>
                <w:w w:val="93"/>
              </w:rPr>
              <w:t>1,118</w:t>
            </w:r>
          </w:p>
        </w:tc>
        <w:tc>
          <w:tcPr>
            <w:tcW w:w="3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840</w:t>
            </w:r>
          </w:p>
        </w:tc>
        <w:tc>
          <w:tcPr>
            <w:tcW w:w="1040" w:type="dxa"/>
            <w:vAlign w:val="bottom"/>
            <w:shd w:val="clear" w:color="auto" w:fill="E5E5E5"/>
          </w:tcPr>
          <w:p>
            <w:pPr>
              <w:jc w:val="right"/>
              <w:ind w:right="197"/>
              <w:spacing w:after="0"/>
              <w:rPr>
                <w:sz w:val="20"/>
                <w:szCs w:val="20"/>
                <w:color w:val="auto"/>
              </w:rPr>
            </w:pPr>
            <w:r>
              <w:rPr>
                <w:rFonts w:ascii="Arial" w:cs="Arial" w:eastAsia="Arial" w:hAnsi="Arial"/>
                <w:sz w:val="18"/>
                <w:szCs w:val="18"/>
                <w:color w:val="auto"/>
              </w:rPr>
              <w:t>3,518</w:t>
            </w:r>
          </w:p>
        </w:tc>
        <w:tc>
          <w:tcPr>
            <w:tcW w:w="8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2,565</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520" w:type="dxa"/>
            <w:vAlign w:val="bottom"/>
          </w:tcPr>
          <w:p>
            <w:pPr>
              <w:spacing w:after="0"/>
              <w:rPr>
                <w:sz w:val="18"/>
                <w:szCs w:val="18"/>
                <w:color w:val="auto"/>
              </w:rPr>
            </w:pPr>
          </w:p>
        </w:tc>
        <w:tc>
          <w:tcPr>
            <w:tcW w:w="720" w:type="dxa"/>
            <w:vAlign w:val="bottom"/>
          </w:tcPr>
          <w:p>
            <w:pPr>
              <w:jc w:val="right"/>
              <w:ind w:right="137"/>
              <w:spacing w:after="0"/>
              <w:rPr>
                <w:sz w:val="20"/>
                <w:szCs w:val="20"/>
                <w:color w:val="auto"/>
              </w:rPr>
            </w:pPr>
            <w:r>
              <w:rPr>
                <w:rFonts w:ascii="Arial" w:cs="Arial" w:eastAsia="Arial" w:hAnsi="Arial"/>
                <w:sz w:val="18"/>
                <w:szCs w:val="18"/>
                <w:color w:val="auto"/>
              </w:rPr>
              <w:t>(258)</w:t>
            </w:r>
          </w:p>
        </w:tc>
        <w:tc>
          <w:tcPr>
            <w:tcW w:w="360" w:type="dxa"/>
            <w:vAlign w:val="bottom"/>
          </w:tcPr>
          <w:p>
            <w:pPr>
              <w:spacing w:after="0"/>
              <w:rPr>
                <w:sz w:val="18"/>
                <w:szCs w:val="18"/>
                <w:color w:val="auto"/>
              </w:rPr>
            </w:pPr>
          </w:p>
        </w:tc>
        <w:tc>
          <w:tcPr>
            <w:tcW w:w="700" w:type="dxa"/>
            <w:vAlign w:val="bottom"/>
          </w:tcPr>
          <w:p>
            <w:pPr>
              <w:jc w:val="right"/>
              <w:ind w:right="154"/>
              <w:spacing w:after="0"/>
              <w:rPr>
                <w:sz w:val="20"/>
                <w:szCs w:val="20"/>
                <w:color w:val="auto"/>
              </w:rPr>
            </w:pPr>
            <w:r>
              <w:rPr>
                <w:rFonts w:ascii="Arial" w:cs="Arial" w:eastAsia="Arial" w:hAnsi="Arial"/>
                <w:sz w:val="18"/>
                <w:szCs w:val="18"/>
                <w:color w:val="auto"/>
              </w:rPr>
              <w:t>(3)</w:t>
            </w:r>
          </w:p>
        </w:tc>
        <w:tc>
          <w:tcPr>
            <w:tcW w:w="1040" w:type="dxa"/>
            <w:vAlign w:val="bottom"/>
          </w:tcPr>
          <w:p>
            <w:pPr>
              <w:jc w:val="right"/>
              <w:ind w:right="137"/>
              <w:spacing w:after="0"/>
              <w:rPr>
                <w:sz w:val="20"/>
                <w:szCs w:val="20"/>
                <w:color w:val="auto"/>
              </w:rPr>
            </w:pPr>
            <w:r>
              <w:rPr>
                <w:rFonts w:ascii="Arial" w:cs="Arial" w:eastAsia="Arial" w:hAnsi="Arial"/>
                <w:sz w:val="18"/>
                <w:szCs w:val="18"/>
                <w:color w:val="auto"/>
              </w:rPr>
              <w:t>(699)</w:t>
            </w: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72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comprehensive (income) loss attributable to noncontrolling interests</w:t>
            </w:r>
          </w:p>
        </w:tc>
        <w:tc>
          <w:tcPr>
            <w:tcW w:w="5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97"/>
              <w:spacing w:after="0"/>
              <w:rPr>
                <w:sz w:val="20"/>
                <w:szCs w:val="20"/>
                <w:color w:val="auto"/>
              </w:rPr>
            </w:pPr>
            <w:r>
              <w:rPr>
                <w:rFonts w:ascii="Arial" w:cs="Arial" w:eastAsia="Arial" w:hAnsi="Arial"/>
                <w:sz w:val="18"/>
                <w:szCs w:val="18"/>
                <w:color w:val="auto"/>
              </w:rPr>
              <w:t>6</w:t>
            </w:r>
          </w:p>
        </w:tc>
        <w:tc>
          <w:tcPr>
            <w:tcW w:w="3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E5E5E5"/>
          </w:tcPr>
          <w:p>
            <w:pPr>
              <w:jc w:val="right"/>
              <w:ind w:right="197"/>
              <w:spacing w:after="0"/>
              <w:rPr>
                <w:sz w:val="20"/>
                <w:szCs w:val="20"/>
                <w:color w:val="auto"/>
              </w:rPr>
            </w:pPr>
            <w:r>
              <w:rPr>
                <w:rFonts w:ascii="Arial" w:cs="Arial" w:eastAsia="Arial" w:hAnsi="Arial"/>
                <w:sz w:val="18"/>
                <w:szCs w:val="18"/>
                <w:color w:val="auto"/>
              </w:rPr>
              <w:t>6</w:t>
            </w:r>
          </w:p>
        </w:tc>
        <w:tc>
          <w:tcPr>
            <w:tcW w:w="8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7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Comprehensive income attributable to Comcast Corporation</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b w:val="1"/>
                <w:bCs w:val="1"/>
                <w:color w:val="auto"/>
              </w:rPr>
              <w:t>866</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rPr>
              <w:t>837</w:t>
            </w:r>
          </w:p>
        </w:tc>
        <w:tc>
          <w:tcPr>
            <w:tcW w:w="104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b w:val="1"/>
                <w:bCs w:val="1"/>
                <w:color w:val="auto"/>
              </w:rPr>
              <w:t>$ 2,825</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$ 2,547</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80" w:type="dxa"/>
            <w:vAlign w:val="bottom"/>
            <w:gridSpan w:val="3"/>
          </w:tcPr>
          <w:p>
            <w:pPr>
              <w:jc w:val="right"/>
              <w:ind w:right="473"/>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88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80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color w:val="auto"/>
              </w:rPr>
              <w:t>2011</w:t>
            </w:r>
          </w:p>
        </w:tc>
        <w:tc>
          <w:tcPr>
            <w:tcW w:w="4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color w:val="auto"/>
                <w:w w:val="96"/>
              </w:rPr>
              <w:t>2010</w:t>
            </w:r>
          </w:p>
        </w:tc>
        <w:tc>
          <w:tcPr>
            <w:tcW w:w="0" w:type="dxa"/>
            <w:vAlign w:val="bottom"/>
          </w:tcPr>
          <w:p>
            <w:pPr>
              <w:spacing w:after="0"/>
              <w:rPr>
                <w:sz w:val="1"/>
                <w:szCs w:val="1"/>
                <w:color w:val="auto"/>
              </w:rPr>
            </w:pPr>
          </w:p>
        </w:tc>
      </w:tr>
      <w:tr>
        <w:trPr>
          <w:trHeight w:val="210"/>
        </w:trPr>
        <w:tc>
          <w:tcPr>
            <w:tcW w:w="88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b w:val="1"/>
                <w:bCs w:val="1"/>
                <w:color w:val="auto"/>
                <w:w w:val="94"/>
              </w:rPr>
              <w:t>10,206</w:t>
            </w: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7,732</w:t>
            </w:r>
          </w:p>
        </w:tc>
        <w:tc>
          <w:tcPr>
            <w:tcW w:w="0" w:type="dxa"/>
            <w:vAlign w:val="bottom"/>
          </w:tcPr>
          <w:p>
            <w:pPr>
              <w:spacing w:after="0"/>
              <w:rPr>
                <w:sz w:val="1"/>
                <w:szCs w:val="1"/>
                <w:color w:val="auto"/>
              </w:rPr>
            </w:pPr>
          </w:p>
        </w:tc>
      </w:tr>
      <w:tr>
        <w:trPr>
          <w:trHeight w:val="210"/>
        </w:trPr>
        <w:tc>
          <w:tcPr>
            <w:tcW w:w="88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Capital expenditures</w:t>
            </w:r>
          </w:p>
        </w:tc>
        <w:tc>
          <w:tcPr>
            <w:tcW w:w="64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15"/>
              <w:spacing w:after="0"/>
              <w:rPr>
                <w:sz w:val="20"/>
                <w:szCs w:val="20"/>
                <w:color w:val="auto"/>
              </w:rPr>
            </w:pPr>
            <w:r>
              <w:rPr>
                <w:rFonts w:ascii="Arial" w:cs="Arial" w:eastAsia="Arial" w:hAnsi="Arial"/>
                <w:sz w:val="18"/>
                <w:szCs w:val="18"/>
                <w:color w:val="auto"/>
              </w:rPr>
              <w:t>(3,785)</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(3,429)</w:t>
            </w:r>
          </w:p>
        </w:tc>
        <w:tc>
          <w:tcPr>
            <w:tcW w:w="0" w:type="dxa"/>
            <w:vAlign w:val="bottom"/>
          </w:tcPr>
          <w:p>
            <w:pPr>
              <w:spacing w:after="0"/>
              <w:rPr>
                <w:sz w:val="1"/>
                <w:szCs w:val="1"/>
                <w:color w:val="auto"/>
              </w:rPr>
            </w:pPr>
          </w:p>
        </w:tc>
      </w:tr>
      <w:tr>
        <w:trPr>
          <w:trHeight w:val="216"/>
        </w:trPr>
        <w:tc>
          <w:tcPr>
            <w:tcW w:w="8800" w:type="dxa"/>
            <w:vAlign w:val="bottom"/>
          </w:tcPr>
          <w:p>
            <w:pPr>
              <w:ind w:left="440"/>
              <w:spacing w:after="0"/>
              <w:rPr>
                <w:sz w:val="20"/>
                <w:szCs w:val="20"/>
                <w:color w:val="auto"/>
              </w:rPr>
            </w:pPr>
            <w:r>
              <w:rPr>
                <w:rFonts w:ascii="Arial" w:cs="Arial" w:eastAsia="Arial" w:hAnsi="Arial"/>
                <w:sz w:val="18"/>
                <w:szCs w:val="18"/>
                <w:color w:val="auto"/>
              </w:rPr>
              <w:t>Cash paid for intangible assets</w:t>
            </w:r>
          </w:p>
        </w:tc>
        <w:tc>
          <w:tcPr>
            <w:tcW w:w="640" w:type="dxa"/>
            <w:vAlign w:val="bottom"/>
          </w:tcPr>
          <w:p>
            <w:pPr>
              <w:spacing w:after="0"/>
              <w:rPr>
                <w:sz w:val="18"/>
                <w:szCs w:val="18"/>
                <w:color w:val="auto"/>
              </w:rPr>
            </w:pPr>
          </w:p>
        </w:tc>
        <w:tc>
          <w:tcPr>
            <w:tcW w:w="900" w:type="dxa"/>
            <w:vAlign w:val="bottom"/>
          </w:tcPr>
          <w:p>
            <w:pPr>
              <w:jc w:val="right"/>
              <w:ind w:right="215"/>
              <w:spacing w:after="0"/>
              <w:rPr>
                <w:sz w:val="20"/>
                <w:szCs w:val="20"/>
                <w:color w:val="auto"/>
              </w:rPr>
            </w:pPr>
            <w:r>
              <w:rPr>
                <w:rFonts w:ascii="Arial" w:cs="Arial" w:eastAsia="Arial" w:hAnsi="Arial"/>
                <w:sz w:val="18"/>
                <w:szCs w:val="18"/>
                <w:color w:val="auto"/>
              </w:rPr>
              <w:t>(505)</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88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Acquisitions, net of cash acquired</w:t>
            </w:r>
          </w:p>
        </w:tc>
        <w:tc>
          <w:tcPr>
            <w:tcW w:w="64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15"/>
              <w:spacing w:after="0"/>
              <w:rPr>
                <w:sz w:val="20"/>
                <w:szCs w:val="20"/>
                <w:color w:val="auto"/>
              </w:rPr>
            </w:pPr>
            <w:r>
              <w:rPr>
                <w:rFonts w:ascii="Arial" w:cs="Arial" w:eastAsia="Arial" w:hAnsi="Arial"/>
                <w:sz w:val="18"/>
                <w:szCs w:val="18"/>
                <w:color w:val="auto"/>
              </w:rPr>
              <w:t>(6,407)</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8800" w:type="dxa"/>
            <w:vAlign w:val="bottom"/>
          </w:tcPr>
          <w:p>
            <w:pPr>
              <w:ind w:left="440"/>
              <w:spacing w:after="0"/>
              <w:rPr>
                <w:sz w:val="20"/>
                <w:szCs w:val="20"/>
                <w:color w:val="auto"/>
              </w:rPr>
            </w:pPr>
            <w:r>
              <w:rPr>
                <w:rFonts w:ascii="Arial" w:cs="Arial" w:eastAsia="Arial" w:hAnsi="Arial"/>
                <w:sz w:val="18"/>
                <w:szCs w:val="18"/>
                <w:color w:val="auto"/>
              </w:rPr>
              <w:t>Proceeds from sales of investments</w:t>
            </w:r>
          </w:p>
        </w:tc>
        <w:tc>
          <w:tcPr>
            <w:tcW w:w="640" w:type="dxa"/>
            <w:vAlign w:val="bottom"/>
          </w:tcPr>
          <w:p>
            <w:pPr>
              <w:spacing w:after="0"/>
              <w:rPr>
                <w:sz w:val="18"/>
                <w:szCs w:val="18"/>
                <w:color w:val="auto"/>
              </w:rPr>
            </w:pPr>
          </w:p>
        </w:tc>
        <w:tc>
          <w:tcPr>
            <w:tcW w:w="900" w:type="dxa"/>
            <w:vAlign w:val="bottom"/>
          </w:tcPr>
          <w:p>
            <w:pPr>
              <w:jc w:val="right"/>
              <w:ind w:right="275"/>
              <w:spacing w:after="0"/>
              <w:rPr>
                <w:sz w:val="20"/>
                <w:szCs w:val="20"/>
                <w:color w:val="auto"/>
              </w:rPr>
            </w:pPr>
            <w:r>
              <w:rPr>
                <w:rFonts w:ascii="Arial" w:cs="Arial" w:eastAsia="Arial" w:hAnsi="Arial"/>
                <w:sz w:val="18"/>
                <w:szCs w:val="18"/>
                <w:color w:val="auto"/>
              </w:rPr>
              <w:t>154</w:t>
            </w:r>
          </w:p>
        </w:tc>
        <w:tc>
          <w:tcPr>
            <w:tcW w:w="44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88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Purchases of investments</w:t>
            </w:r>
          </w:p>
        </w:tc>
        <w:tc>
          <w:tcPr>
            <w:tcW w:w="64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15"/>
              <w:spacing w:after="0"/>
              <w:rPr>
                <w:sz w:val="20"/>
                <w:szCs w:val="20"/>
                <w:color w:val="auto"/>
              </w:rPr>
            </w:pPr>
            <w:r>
              <w:rPr>
                <w:rFonts w:ascii="Arial" w:cs="Arial" w:eastAsia="Arial" w:hAnsi="Arial"/>
                <w:sz w:val="18"/>
                <w:szCs w:val="18"/>
                <w:color w:val="auto"/>
              </w:rPr>
              <w:t>(85)</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88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6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(33)</w:t>
            </w: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0"/>
        </w:trPr>
        <w:tc>
          <w:tcPr>
            <w:tcW w:w="88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64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b w:val="1"/>
                <w:bCs w:val="1"/>
                <w:color w:val="auto"/>
                <w:w w:val="86"/>
              </w:rPr>
              <w:t>(10,661)</w:t>
            </w:r>
          </w:p>
        </w:tc>
        <w:tc>
          <w:tcPr>
            <w:tcW w:w="4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(3,868)</w:t>
            </w:r>
          </w:p>
        </w:tc>
        <w:tc>
          <w:tcPr>
            <w:tcW w:w="0" w:type="dxa"/>
            <w:vAlign w:val="bottom"/>
          </w:tcPr>
          <w:p>
            <w:pPr>
              <w:spacing w:after="0"/>
              <w:rPr>
                <w:sz w:val="1"/>
                <w:szCs w:val="1"/>
                <w:color w:val="auto"/>
              </w:rPr>
            </w:pPr>
          </w:p>
        </w:tc>
      </w:tr>
      <w:tr>
        <w:trPr>
          <w:trHeight w:val="210"/>
        </w:trPr>
        <w:tc>
          <w:tcPr>
            <w:tcW w:w="88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Proceeds from (repayments of) short-term borrowings, net</w:t>
            </w:r>
          </w:p>
        </w:tc>
        <w:tc>
          <w:tcPr>
            <w:tcW w:w="64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1,642</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tcPr>
          <w:p>
            <w:pPr>
              <w:ind w:left="440"/>
              <w:spacing w:after="0"/>
              <w:rPr>
                <w:sz w:val="20"/>
                <w:szCs w:val="20"/>
                <w:color w:val="auto"/>
              </w:rPr>
            </w:pPr>
            <w:r>
              <w:rPr>
                <w:rFonts w:ascii="Arial" w:cs="Arial" w:eastAsia="Arial" w:hAnsi="Arial"/>
                <w:sz w:val="18"/>
                <w:szCs w:val="18"/>
                <w:color w:val="auto"/>
              </w:rPr>
              <w:t>Proceeds from borrowings</w:t>
            </w:r>
          </w:p>
        </w:tc>
        <w:tc>
          <w:tcPr>
            <w:tcW w:w="640" w:type="dxa"/>
            <w:vAlign w:val="bottom"/>
          </w:tcPr>
          <w:p>
            <w:pPr>
              <w:spacing w:after="0"/>
              <w:rPr>
                <w:sz w:val="18"/>
                <w:szCs w:val="18"/>
                <w:color w:val="auto"/>
              </w:rPr>
            </w:pPr>
          </w:p>
        </w:tc>
        <w:tc>
          <w:tcPr>
            <w:tcW w:w="90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r>
        <w:trPr>
          <w:trHeight w:val="216"/>
        </w:trPr>
        <w:tc>
          <w:tcPr>
            <w:tcW w:w="88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Repurchases and repayments of debt</w:t>
            </w:r>
          </w:p>
        </w:tc>
        <w:tc>
          <w:tcPr>
            <w:tcW w:w="64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15"/>
              <w:spacing w:after="0"/>
              <w:rPr>
                <w:sz w:val="20"/>
                <w:szCs w:val="20"/>
                <w:color w:val="auto"/>
              </w:rPr>
            </w:pPr>
            <w:r>
              <w:rPr>
                <w:rFonts w:ascii="Arial" w:cs="Arial" w:eastAsia="Arial" w:hAnsi="Arial"/>
                <w:sz w:val="18"/>
                <w:szCs w:val="18"/>
                <w:color w:val="auto"/>
              </w:rPr>
              <w:t>(2,813)</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8800" w:type="dxa"/>
            <w:vAlign w:val="bottom"/>
          </w:tcPr>
          <w:p>
            <w:pPr>
              <w:ind w:left="440"/>
              <w:spacing w:after="0"/>
              <w:rPr>
                <w:sz w:val="20"/>
                <w:szCs w:val="20"/>
                <w:color w:val="auto"/>
              </w:rPr>
            </w:pPr>
            <w:r>
              <w:rPr>
                <w:rFonts w:ascii="Arial" w:cs="Arial" w:eastAsia="Arial" w:hAnsi="Arial"/>
                <w:sz w:val="18"/>
                <w:szCs w:val="18"/>
                <w:color w:val="auto"/>
              </w:rPr>
              <w:t>Repurchases and retirements of common stock</w:t>
            </w:r>
          </w:p>
        </w:tc>
        <w:tc>
          <w:tcPr>
            <w:tcW w:w="640" w:type="dxa"/>
            <w:vAlign w:val="bottom"/>
          </w:tcPr>
          <w:p>
            <w:pPr>
              <w:spacing w:after="0"/>
              <w:rPr>
                <w:sz w:val="18"/>
                <w:szCs w:val="18"/>
                <w:color w:val="auto"/>
              </w:rPr>
            </w:pPr>
          </w:p>
        </w:tc>
        <w:tc>
          <w:tcPr>
            <w:tcW w:w="900" w:type="dxa"/>
            <w:vAlign w:val="bottom"/>
          </w:tcPr>
          <w:p>
            <w:pPr>
              <w:jc w:val="right"/>
              <w:ind w:right="215"/>
              <w:spacing w:after="0"/>
              <w:rPr>
                <w:sz w:val="20"/>
                <w:szCs w:val="20"/>
                <w:color w:val="auto"/>
              </w:rPr>
            </w:pPr>
            <w:r>
              <w:rPr>
                <w:rFonts w:ascii="Arial" w:cs="Arial" w:eastAsia="Arial" w:hAnsi="Arial"/>
                <w:sz w:val="18"/>
                <w:szCs w:val="18"/>
                <w:color w:val="auto"/>
              </w:rPr>
              <w:t>(1,650)</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16"/>
        </w:trPr>
        <w:tc>
          <w:tcPr>
            <w:tcW w:w="88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Dividends paid</w:t>
            </w:r>
          </w:p>
        </w:tc>
        <w:tc>
          <w:tcPr>
            <w:tcW w:w="64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15"/>
              <w:spacing w:after="0"/>
              <w:rPr>
                <w:sz w:val="20"/>
                <w:szCs w:val="20"/>
                <w:color w:val="auto"/>
              </w:rPr>
            </w:pPr>
            <w:r>
              <w:rPr>
                <w:rFonts w:ascii="Arial" w:cs="Arial" w:eastAsia="Arial" w:hAnsi="Arial"/>
                <w:sz w:val="18"/>
                <w:szCs w:val="18"/>
                <w:color w:val="auto"/>
              </w:rPr>
              <w:t>(881)</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8800" w:type="dxa"/>
            <w:vAlign w:val="bottom"/>
          </w:tcPr>
          <w:p>
            <w:pPr>
              <w:ind w:left="440"/>
              <w:spacing w:after="0"/>
              <w:rPr>
                <w:sz w:val="20"/>
                <w:szCs w:val="20"/>
                <w:color w:val="auto"/>
              </w:rPr>
            </w:pPr>
            <w:r>
              <w:rPr>
                <w:rFonts w:ascii="Arial" w:cs="Arial" w:eastAsia="Arial" w:hAnsi="Arial"/>
                <w:sz w:val="18"/>
                <w:szCs w:val="18"/>
                <w:color w:val="auto"/>
              </w:rPr>
              <w:t>Distributions to noncontrolling interests</w:t>
            </w:r>
          </w:p>
        </w:tc>
        <w:tc>
          <w:tcPr>
            <w:tcW w:w="640" w:type="dxa"/>
            <w:vAlign w:val="bottom"/>
          </w:tcPr>
          <w:p>
            <w:pPr>
              <w:spacing w:after="0"/>
              <w:rPr>
                <w:sz w:val="18"/>
                <w:szCs w:val="18"/>
                <w:color w:val="auto"/>
              </w:rPr>
            </w:pPr>
          </w:p>
        </w:tc>
        <w:tc>
          <w:tcPr>
            <w:tcW w:w="900" w:type="dxa"/>
            <w:vAlign w:val="bottom"/>
          </w:tcPr>
          <w:p>
            <w:pPr>
              <w:jc w:val="right"/>
              <w:ind w:right="215"/>
              <w:spacing w:after="0"/>
              <w:rPr>
                <w:sz w:val="20"/>
                <w:szCs w:val="20"/>
                <w:color w:val="auto"/>
              </w:rPr>
            </w:pPr>
            <w:r>
              <w:rPr>
                <w:rFonts w:ascii="Arial" w:cs="Arial" w:eastAsia="Arial" w:hAnsi="Arial"/>
                <w:sz w:val="18"/>
                <w:szCs w:val="18"/>
                <w:color w:val="auto"/>
              </w:rPr>
              <w:t>(237)</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880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64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rPr>
              <w:t>216</w:t>
            </w:r>
          </w:p>
        </w:tc>
        <w:tc>
          <w:tcPr>
            <w:tcW w:w="4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8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6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b w:val="1"/>
                <w:bCs w:val="1"/>
                <w:color w:val="auto"/>
              </w:rPr>
              <w:t>(3,723)</w:t>
            </w: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10"/>
        </w:trPr>
        <w:tc>
          <w:tcPr>
            <w:tcW w:w="8800" w:type="dxa"/>
            <w:vAlign w:val="bottom"/>
            <w:shd w:val="clear" w:color="auto" w:fill="E5E5E5"/>
          </w:tcPr>
          <w:p>
            <w:pPr>
              <w:spacing w:after="0"/>
              <w:rPr>
                <w:sz w:val="20"/>
                <w:szCs w:val="20"/>
                <w:color w:val="auto"/>
              </w:rPr>
            </w:pPr>
            <w:r>
              <w:rPr>
                <w:rFonts w:ascii="Arial" w:cs="Arial" w:eastAsia="Arial" w:hAnsi="Arial"/>
                <w:sz w:val="18"/>
                <w:szCs w:val="18"/>
                <w:color w:val="auto"/>
              </w:rPr>
              <w:t>Increase (decrease) in cash and cash equivalents</w:t>
            </w:r>
          </w:p>
        </w:tc>
        <w:tc>
          <w:tcPr>
            <w:tcW w:w="64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15"/>
              <w:spacing w:after="0"/>
              <w:rPr>
                <w:sz w:val="20"/>
                <w:szCs w:val="20"/>
                <w:color w:val="auto"/>
              </w:rPr>
            </w:pPr>
            <w:r>
              <w:rPr>
                <w:rFonts w:ascii="Arial" w:cs="Arial" w:eastAsia="Arial" w:hAnsi="Arial"/>
                <w:sz w:val="18"/>
                <w:szCs w:val="18"/>
                <w:color w:val="auto"/>
              </w:rPr>
              <w:t>(4,178)</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3,871</w:t>
            </w:r>
          </w:p>
        </w:tc>
        <w:tc>
          <w:tcPr>
            <w:tcW w:w="0" w:type="dxa"/>
            <w:vAlign w:val="bottom"/>
          </w:tcPr>
          <w:p>
            <w:pPr>
              <w:spacing w:after="0"/>
              <w:rPr>
                <w:sz w:val="1"/>
                <w:szCs w:val="1"/>
                <w:color w:val="auto"/>
              </w:rPr>
            </w:pPr>
          </w:p>
        </w:tc>
      </w:tr>
      <w:tr>
        <w:trPr>
          <w:trHeight w:val="216"/>
        </w:trPr>
        <w:tc>
          <w:tcPr>
            <w:tcW w:w="8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6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5,984</w:t>
            </w: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7"/>
        </w:trPr>
        <w:tc>
          <w:tcPr>
            <w:tcW w:w="88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b w:val="1"/>
                <w:bCs w:val="1"/>
                <w:color w:val="auto"/>
              </w:rPr>
              <w:t>1,806</w:t>
            </w: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4,542</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940" w:type="dxa"/>
            <w:vAlign w:val="bottom"/>
            <w:gridSpan w:val="3"/>
          </w:tcPr>
          <w:p>
            <w:pPr>
              <w:ind w:left="160"/>
              <w:spacing w:after="0"/>
              <w:rPr>
                <w:sz w:val="20"/>
                <w:szCs w:val="20"/>
                <w:color w:val="auto"/>
              </w:rPr>
            </w:pPr>
            <w:r>
              <w:rPr>
                <w:rFonts w:ascii="Arial" w:cs="Arial" w:eastAsia="Arial" w:hAnsi="Arial"/>
                <w:sz w:val="14"/>
                <w:szCs w:val="14"/>
                <w:color w:val="auto"/>
                <w:w w:val="95"/>
              </w:rPr>
              <w:t>Redeemable</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color w:val="auto"/>
                <w:w w:val="87"/>
              </w:rPr>
              <w:t>Common Stock</w:t>
            </w: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left="1"/>
              <w:spacing w:after="0"/>
              <w:rPr>
                <w:sz w:val="20"/>
                <w:szCs w:val="20"/>
                <w:color w:val="auto"/>
              </w:rPr>
            </w:pPr>
            <w:r>
              <w:rPr>
                <w:rFonts w:ascii="Arial" w:cs="Arial" w:eastAsia="Arial" w:hAnsi="Arial"/>
                <w:sz w:val="14"/>
                <w:szCs w:val="14"/>
                <w:color w:val="auto"/>
                <w:w w:val="88"/>
              </w:rPr>
              <w:t>Accumulated</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gridSpan w:val="2"/>
          </w:tcPr>
          <w:p>
            <w:pPr>
              <w:jc w:val="center"/>
              <w:ind w:right="200"/>
              <w:spacing w:after="0" w:line="129" w:lineRule="exact"/>
              <w:rPr>
                <w:sz w:val="20"/>
                <w:szCs w:val="20"/>
                <w:color w:val="auto"/>
              </w:rPr>
            </w:pPr>
            <w:r>
              <w:rPr>
                <w:rFonts w:ascii="Arial" w:cs="Arial" w:eastAsia="Arial" w:hAnsi="Arial"/>
                <w:sz w:val="14"/>
                <w:szCs w:val="14"/>
                <w:color w:val="auto"/>
                <w:w w:val="92"/>
              </w:rPr>
              <w:t>Non-</w:t>
            </w:r>
          </w:p>
        </w:tc>
        <w:tc>
          <w:tcPr>
            <w:tcW w:w="26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vMerge w:val="continue"/>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40" w:type="dxa"/>
            <w:vAlign w:val="bottom"/>
            <w:gridSpan w:val="2"/>
          </w:tcPr>
          <w:p>
            <w:pPr>
              <w:jc w:val="center"/>
              <w:spacing w:after="0" w:line="129" w:lineRule="exact"/>
              <w:rPr>
                <w:sz w:val="20"/>
                <w:szCs w:val="20"/>
                <w:color w:val="auto"/>
              </w:rPr>
            </w:pPr>
            <w:r>
              <w:rPr>
                <w:rFonts w:ascii="Arial" w:cs="Arial" w:eastAsia="Arial" w:hAnsi="Arial"/>
                <w:sz w:val="14"/>
                <w:szCs w:val="14"/>
                <w:color w:val="auto"/>
                <w:w w:val="94"/>
              </w:rPr>
              <w:t>Additional</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spacing w:after="0" w:line="129" w:lineRule="exact"/>
              <w:rPr>
                <w:sz w:val="20"/>
                <w:szCs w:val="20"/>
                <w:color w:val="auto"/>
              </w:rPr>
            </w:pPr>
            <w:r>
              <w:rPr>
                <w:rFonts w:ascii="Arial" w:cs="Arial" w:eastAsia="Arial" w:hAnsi="Arial"/>
                <w:sz w:val="14"/>
                <w:szCs w:val="14"/>
                <w:color w:val="auto"/>
                <w:w w:val="86"/>
              </w:rPr>
              <w:t>Treasury</w:t>
            </w:r>
          </w:p>
        </w:tc>
        <w:tc>
          <w:tcPr>
            <w:tcW w:w="340" w:type="dxa"/>
            <w:vAlign w:val="bottom"/>
          </w:tcPr>
          <w:p>
            <w:pPr>
              <w:spacing w:after="0"/>
              <w:rPr>
                <w:sz w:val="11"/>
                <w:szCs w:val="11"/>
                <w:color w:val="auto"/>
              </w:rPr>
            </w:pPr>
          </w:p>
        </w:tc>
        <w:tc>
          <w:tcPr>
            <w:tcW w:w="780" w:type="dxa"/>
            <w:vAlign w:val="bottom"/>
            <w:gridSpan w:val="2"/>
          </w:tcPr>
          <w:p>
            <w:pPr>
              <w:jc w:val="center"/>
              <w:ind w:right="280"/>
              <w:spacing w:after="0" w:line="129" w:lineRule="exact"/>
              <w:rPr>
                <w:sz w:val="20"/>
                <w:szCs w:val="20"/>
                <w:color w:val="auto"/>
              </w:rPr>
            </w:pPr>
            <w:r>
              <w:rPr>
                <w:rFonts w:ascii="Arial" w:cs="Arial" w:eastAsia="Arial" w:hAnsi="Arial"/>
                <w:sz w:val="14"/>
                <w:szCs w:val="14"/>
                <w:color w:val="auto"/>
                <w:w w:val="85"/>
              </w:rPr>
              <w:t>Other</w:t>
            </w:r>
          </w:p>
        </w:tc>
        <w:tc>
          <w:tcPr>
            <w:tcW w:w="280" w:type="dxa"/>
            <w:vAlign w:val="bottom"/>
          </w:tcPr>
          <w:p>
            <w:pPr>
              <w:spacing w:after="0"/>
              <w:rPr>
                <w:sz w:val="11"/>
                <w:szCs w:val="11"/>
                <w:color w:val="auto"/>
              </w:rPr>
            </w:pPr>
          </w:p>
        </w:tc>
        <w:tc>
          <w:tcPr>
            <w:tcW w:w="580" w:type="dxa"/>
            <w:vAlign w:val="bottom"/>
            <w:gridSpan w:val="2"/>
          </w:tcPr>
          <w:p>
            <w:pPr>
              <w:jc w:val="right"/>
              <w:ind w:right="260"/>
              <w:spacing w:after="0" w:line="129" w:lineRule="exact"/>
              <w:rPr>
                <w:sz w:val="20"/>
                <w:szCs w:val="20"/>
                <w:color w:val="auto"/>
              </w:rPr>
            </w:pPr>
            <w:r>
              <w:rPr>
                <w:rFonts w:ascii="Arial" w:cs="Arial" w:eastAsia="Arial" w:hAnsi="Arial"/>
                <w:sz w:val="14"/>
                <w:szCs w:val="14"/>
                <w:color w:val="auto"/>
                <w:w w:val="98"/>
              </w:rPr>
              <w:t>Non-</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0"/>
              </w:rPr>
              <w:t>controlling</w:t>
            </w:r>
          </w:p>
        </w:tc>
        <w:tc>
          <w:tcPr>
            <w:tcW w:w="26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Paid-In</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Retained</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6"/>
              </w:rPr>
              <w:t>Stock at</w:t>
            </w:r>
          </w:p>
        </w:tc>
        <w:tc>
          <w:tcPr>
            <w:tcW w:w="1120" w:type="dxa"/>
            <w:vAlign w:val="bottom"/>
            <w:gridSpan w:val="3"/>
          </w:tcPr>
          <w:p>
            <w:pPr>
              <w:ind w:left="160"/>
              <w:spacing w:after="0" w:line="149" w:lineRule="exact"/>
              <w:rPr>
                <w:sz w:val="20"/>
                <w:szCs w:val="20"/>
                <w:color w:val="auto"/>
              </w:rPr>
            </w:pPr>
            <w:r>
              <w:rPr>
                <w:rFonts w:ascii="Arial" w:cs="Arial" w:eastAsia="Arial" w:hAnsi="Arial"/>
                <w:sz w:val="14"/>
                <w:szCs w:val="14"/>
                <w:color w:val="auto"/>
                <w:w w:val="95"/>
              </w:rPr>
              <w:t>Comprehensive</w:t>
            </w:r>
          </w:p>
        </w:tc>
        <w:tc>
          <w:tcPr>
            <w:tcW w:w="86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controlling</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3"/>
        </w:trPr>
        <w:tc>
          <w:tcPr>
            <w:tcW w:w="3040" w:type="dxa"/>
            <w:vAlign w:val="bottom"/>
          </w:tcPr>
          <w:p>
            <w:pPr>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5"/>
                <w:szCs w:val="15"/>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Interests</w:t>
            </w:r>
          </w:p>
        </w:tc>
        <w:tc>
          <w:tcPr>
            <w:tcW w:w="260" w:type="dxa"/>
            <w:vAlign w:val="bottom"/>
            <w:tcBorders>
              <w:right w:val="single" w:sz="8" w:color="auto"/>
            </w:tcBorders>
          </w:tcPr>
          <w:p>
            <w:pPr>
              <w:spacing w:after="0"/>
              <w:rPr>
                <w:sz w:val="15"/>
                <w:szCs w:val="15"/>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color w:val="auto"/>
              </w:rPr>
              <w:t>A</w:t>
            </w:r>
          </w:p>
        </w:tc>
        <w:tc>
          <w:tcPr>
            <w:tcW w:w="920" w:type="dxa"/>
            <w:vAlign w:val="bottom"/>
            <w:gridSpan w:val="2"/>
          </w:tcPr>
          <w:p>
            <w:pPr>
              <w:ind w:left="180"/>
              <w:spacing w:after="0"/>
              <w:rPr>
                <w:sz w:val="20"/>
                <w:szCs w:val="20"/>
                <w:color w:val="auto"/>
              </w:rPr>
            </w:pPr>
            <w:r>
              <w:rPr>
                <w:rFonts w:ascii="Arial" w:cs="Arial" w:eastAsia="Arial" w:hAnsi="Arial"/>
                <w:sz w:val="14"/>
                <w:szCs w:val="14"/>
                <w:color w:val="auto"/>
              </w:rPr>
              <w:t>A Special</w:t>
            </w:r>
          </w:p>
        </w:tc>
        <w:tc>
          <w:tcPr>
            <w:tcW w:w="460" w:type="dxa"/>
            <w:vAlign w:val="bottom"/>
          </w:tcPr>
          <w:p>
            <w:pPr>
              <w:jc w:val="center"/>
              <w:spacing w:after="0"/>
              <w:rPr>
                <w:sz w:val="20"/>
                <w:szCs w:val="20"/>
                <w:color w:val="auto"/>
              </w:rPr>
            </w:pPr>
            <w:r>
              <w:rPr>
                <w:rFonts w:ascii="Arial" w:cs="Arial" w:eastAsia="Arial" w:hAnsi="Arial"/>
                <w:sz w:val="14"/>
                <w:szCs w:val="14"/>
                <w:color w:val="auto"/>
                <w:w w:val="85"/>
              </w:rPr>
              <w:t>B</w:t>
            </w:r>
          </w:p>
        </w:tc>
        <w:tc>
          <w:tcPr>
            <w:tcW w:w="840" w:type="dxa"/>
            <w:vAlign w:val="bottom"/>
            <w:gridSpan w:val="2"/>
          </w:tcPr>
          <w:p>
            <w:pPr>
              <w:jc w:val="center"/>
              <w:spacing w:after="0"/>
              <w:rPr>
                <w:sz w:val="20"/>
                <w:szCs w:val="20"/>
                <w:color w:val="auto"/>
              </w:rPr>
            </w:pPr>
            <w:r>
              <w:rPr>
                <w:rFonts w:ascii="Arial" w:cs="Arial" w:eastAsia="Arial" w:hAnsi="Arial"/>
                <w:sz w:val="14"/>
                <w:szCs w:val="14"/>
                <w:color w:val="auto"/>
                <w:w w:val="91"/>
              </w:rPr>
              <w:t>Capital</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Earnings</w:t>
            </w:r>
          </w:p>
        </w:tc>
        <w:tc>
          <w:tcPr>
            <w:tcW w:w="800" w:type="dxa"/>
            <w:vAlign w:val="bottom"/>
            <w:gridSpan w:val="2"/>
          </w:tcPr>
          <w:p>
            <w:pPr>
              <w:jc w:val="center"/>
              <w:spacing w:after="0"/>
              <w:rPr>
                <w:sz w:val="20"/>
                <w:szCs w:val="20"/>
                <w:color w:val="auto"/>
              </w:rPr>
            </w:pPr>
            <w:r>
              <w:rPr>
                <w:rFonts w:ascii="Arial" w:cs="Arial" w:eastAsia="Arial" w:hAnsi="Arial"/>
                <w:sz w:val="14"/>
                <w:szCs w:val="14"/>
                <w:color w:val="auto"/>
                <w:w w:val="83"/>
              </w:rPr>
              <w:t>Cost</w:t>
            </w:r>
          </w:p>
        </w:tc>
        <w:tc>
          <w:tcPr>
            <w:tcW w:w="1120" w:type="dxa"/>
            <w:vAlign w:val="bottom"/>
            <w:gridSpan w:val="3"/>
          </w:tcPr>
          <w:p>
            <w:pPr>
              <w:jc w:val="center"/>
              <w:spacing w:after="0"/>
              <w:rPr>
                <w:sz w:val="20"/>
                <w:szCs w:val="20"/>
                <w:color w:val="auto"/>
              </w:rPr>
            </w:pPr>
            <w:r>
              <w:rPr>
                <w:rFonts w:ascii="Arial" w:cs="Arial" w:eastAsia="Arial" w:hAnsi="Arial"/>
                <w:sz w:val="14"/>
                <w:szCs w:val="14"/>
                <w:color w:val="auto"/>
                <w:w w:val="87"/>
              </w:rPr>
              <w:t>Income (Loss)</w:t>
            </w:r>
          </w:p>
        </w:tc>
        <w:tc>
          <w:tcPr>
            <w:tcW w:w="860" w:type="dxa"/>
            <w:vAlign w:val="bottom"/>
            <w:gridSpan w:val="3"/>
          </w:tcPr>
          <w:p>
            <w:pPr>
              <w:ind w:left="240"/>
              <w:spacing w:after="0"/>
              <w:rPr>
                <w:sz w:val="20"/>
                <w:szCs w:val="20"/>
                <w:color w:val="auto"/>
              </w:rPr>
            </w:pPr>
            <w:r>
              <w:rPr>
                <w:rFonts w:ascii="Arial" w:cs="Arial" w:eastAsia="Arial" w:hAnsi="Arial"/>
                <w:sz w:val="14"/>
                <w:szCs w:val="14"/>
                <w:color w:val="auto"/>
              </w:rPr>
              <w:t>Interests</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10"/>
        </w:trPr>
        <w:tc>
          <w:tcPr>
            <w:tcW w:w="30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Balance, January 1, 2010</w:t>
            </w:r>
          </w:p>
        </w:tc>
        <w:tc>
          <w:tcPr>
            <w:tcW w:w="260" w:type="dxa"/>
            <w:vAlign w:val="bottom"/>
            <w:tcBorders>
              <w:top w:val="single" w:sz="8" w:color="auto"/>
            </w:tcBorders>
            <w:shd w:val="clear" w:color="auto" w:fill="E5E5E5"/>
          </w:tcPr>
          <w:p>
            <w:pPr>
              <w:ind w:left="16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top w:val="single" w:sz="8" w:color="E5E5E5"/>
            </w:tcBorders>
            <w:shd w:val="clear" w:color="auto" w:fill="E5E5E5"/>
          </w:tcPr>
          <w:p>
            <w:pPr>
              <w:spacing w:after="0"/>
              <w:rPr>
                <w:sz w:val="18"/>
                <w:szCs w:val="18"/>
                <w:color w:val="auto"/>
              </w:rPr>
            </w:pPr>
          </w:p>
        </w:tc>
        <w:tc>
          <w:tcPr>
            <w:tcW w:w="260" w:type="dxa"/>
            <w:vAlign w:val="bottom"/>
            <w:tcBorders>
              <w:top w:val="single" w:sz="8" w:color="auto"/>
              <w:right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$24</w:t>
            </w:r>
          </w:p>
        </w:tc>
        <w:tc>
          <w:tcPr>
            <w:tcW w:w="420" w:type="dxa"/>
            <w:vAlign w:val="bottom"/>
            <w:tcBorders>
              <w:top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8</w:t>
            </w:r>
          </w:p>
        </w:tc>
        <w:tc>
          <w:tcPr>
            <w:tcW w:w="460" w:type="dxa"/>
            <w:vAlign w:val="bottom"/>
            <w:tcBorders>
              <w:top w:val="single" w:sz="8" w:color="auto"/>
            </w:tcBorders>
            <w:shd w:val="clear" w:color="auto" w:fill="E5E5E5"/>
          </w:tcPr>
          <w:p>
            <w:pPr>
              <w:jc w:val="center"/>
              <w:spacing w:after="0"/>
              <w:rPr>
                <w:sz w:val="20"/>
                <w:szCs w:val="20"/>
                <w:color w:val="auto"/>
              </w:rPr>
            </w:pPr>
            <w:r>
              <w:rPr>
                <w:rFonts w:ascii="Arial" w:cs="Arial" w:eastAsia="Arial" w:hAnsi="Arial"/>
                <w:sz w:val="18"/>
                <w:szCs w:val="18"/>
                <w:color w:val="auto"/>
                <w:w w:val="96"/>
              </w:rPr>
              <w:t>$ —</w:t>
            </w:r>
          </w:p>
        </w:tc>
        <w:tc>
          <w:tcPr>
            <w:tcW w:w="720" w:type="dxa"/>
            <w:vAlign w:val="bottom"/>
            <w:tcBorders>
              <w:top w:val="single" w:sz="8" w:color="auto"/>
            </w:tcBorders>
            <w:shd w:val="clear" w:color="auto" w:fill="E5E5E5"/>
          </w:tcPr>
          <w:p>
            <w:pPr>
              <w:jc w:val="center"/>
              <w:ind w:left="56"/>
              <w:spacing w:after="0"/>
              <w:rPr>
                <w:sz w:val="20"/>
                <w:szCs w:val="20"/>
                <w:color w:val="auto"/>
              </w:rPr>
            </w:pPr>
            <w:r>
              <w:rPr>
                <w:rFonts w:ascii="Arial" w:cs="Arial" w:eastAsia="Arial" w:hAnsi="Arial"/>
                <w:sz w:val="18"/>
                <w:szCs w:val="18"/>
                <w:color w:val="auto"/>
                <w:w w:val="89"/>
              </w:rPr>
              <w:t>$40,247</w:t>
            </w:r>
          </w:p>
        </w:tc>
        <w:tc>
          <w:tcPr>
            <w:tcW w:w="120" w:type="dxa"/>
            <w:vAlign w:val="bottom"/>
            <w:tcBorders>
              <w:top w:val="single" w:sz="8" w:color="E5E5E5"/>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$10,005</w:t>
            </w:r>
          </w:p>
        </w:tc>
        <w:tc>
          <w:tcPr>
            <w:tcW w:w="120" w:type="dxa"/>
            <w:vAlign w:val="bottom"/>
            <w:tcBorders>
              <w:top w:val="single" w:sz="8" w:color="E5E5E5"/>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ind w:left="140"/>
              <w:spacing w:after="0"/>
              <w:rPr>
                <w:sz w:val="20"/>
                <w:szCs w:val="20"/>
                <w:color w:val="auto"/>
              </w:rPr>
            </w:pPr>
            <w:r>
              <w:rPr>
                <w:rFonts w:ascii="Arial" w:cs="Arial" w:eastAsia="Arial" w:hAnsi="Arial"/>
                <w:sz w:val="18"/>
                <w:szCs w:val="18"/>
                <w:color w:val="auto"/>
                <w:w w:val="80"/>
              </w:rPr>
              <w:t>$(7,517)</w:t>
            </w:r>
          </w:p>
        </w:tc>
        <w:tc>
          <w:tcPr>
            <w:tcW w:w="100" w:type="dxa"/>
            <w:vAlign w:val="bottom"/>
            <w:tcBorders>
              <w:top w:val="single" w:sz="8" w:color="E5E5E5"/>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E5E5E5"/>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ind w:left="16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top w:val="single" w:sz="8" w:color="E5E5E5"/>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$42,811</w:t>
            </w:r>
          </w:p>
        </w:tc>
        <w:tc>
          <w:tcPr>
            <w:tcW w:w="100" w:type="dxa"/>
            <w:vAlign w:val="bottom"/>
            <w:tcBorders>
              <w:top w:val="single" w:sz="8" w:color="E5E5E5"/>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Stock compensation plans</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160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8"/>
        </w:trPr>
        <w:tc>
          <w:tcPr>
            <w:tcW w:w="3040" w:type="dxa"/>
            <w:vAlign w:val="bottom"/>
            <w:shd w:val="clear" w:color="auto" w:fill="E5E5E5"/>
          </w:tcPr>
          <w:p>
            <w:pPr>
              <w:spacing w:after="0"/>
              <w:rPr>
                <w:sz w:val="20"/>
                <w:szCs w:val="20"/>
                <w:color w:val="auto"/>
              </w:rPr>
            </w:pPr>
            <w:r>
              <w:rPr>
                <w:rFonts w:ascii="Arial" w:cs="Arial" w:eastAsia="Arial" w:hAnsi="Arial"/>
                <w:sz w:val="18"/>
                <w:szCs w:val="18"/>
                <w:color w:val="auto"/>
                <w:w w:val="91"/>
              </w:rPr>
              <w:t>Repurchases and retirements of common</w:t>
            </w:r>
          </w:p>
        </w:tc>
        <w:tc>
          <w:tcPr>
            <w:tcW w:w="2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260" w:type="dxa"/>
            <w:vAlign w:val="bottom"/>
            <w:tcBorders>
              <w:right w:val="single" w:sz="8" w:color="auto"/>
            </w:tcBorders>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040" w:type="dxa"/>
            <w:vAlign w:val="bottom"/>
            <w:shd w:val="clear" w:color="auto" w:fill="E5E5E5"/>
          </w:tcPr>
          <w:p>
            <w:pPr>
              <w:ind w:left="220"/>
              <w:spacing w:after="0"/>
              <w:rPr>
                <w:sz w:val="20"/>
                <w:szCs w:val="20"/>
                <w:color w:val="auto"/>
              </w:rPr>
            </w:pPr>
            <w:r>
              <w:rPr>
                <w:rFonts w:ascii="Arial" w:cs="Arial" w:eastAsia="Arial" w:hAnsi="Arial"/>
                <w:sz w:val="18"/>
                <w:szCs w:val="18"/>
                <w:color w:val="auto"/>
              </w:rPr>
              <w:t>stock</w:t>
            </w:r>
          </w:p>
        </w:tc>
        <w:tc>
          <w:tcPr>
            <w:tcW w:w="260" w:type="dxa"/>
            <w:vAlign w:val="bottom"/>
            <w:shd w:val="clear" w:color="auto" w:fill="E5E5E5"/>
          </w:tcPr>
          <w:p>
            <w:pPr>
              <w:spacing w:after="0"/>
              <w:rPr>
                <w:sz w:val="19"/>
                <w:szCs w:val="19"/>
                <w:color w:val="auto"/>
              </w:rPr>
            </w:pPr>
          </w:p>
        </w:tc>
        <w:tc>
          <w:tcPr>
            <w:tcW w:w="58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260" w:type="dxa"/>
            <w:vAlign w:val="bottom"/>
            <w:tcBorders>
              <w:right w:val="single" w:sz="8" w:color="auto"/>
            </w:tcBorders>
            <w:shd w:val="clear" w:color="auto" w:fill="E5E5E5"/>
          </w:tcPr>
          <w:p>
            <w:pPr>
              <w:spacing w:after="0"/>
              <w:rPr>
                <w:sz w:val="19"/>
                <w:szCs w:val="19"/>
                <w:color w:val="auto"/>
              </w:rPr>
            </w:pPr>
          </w:p>
        </w:tc>
        <w:tc>
          <w:tcPr>
            <w:tcW w:w="480" w:type="dxa"/>
            <w:vAlign w:val="bottom"/>
            <w:shd w:val="clear" w:color="auto" w:fill="E5E5E5"/>
          </w:tcPr>
          <w:p>
            <w:pPr>
              <w:spacing w:after="0"/>
              <w:rPr>
                <w:sz w:val="19"/>
                <w:szCs w:val="19"/>
                <w:color w:val="auto"/>
              </w:rPr>
            </w:pPr>
          </w:p>
        </w:tc>
        <w:tc>
          <w:tcPr>
            <w:tcW w:w="420" w:type="dxa"/>
            <w:vAlign w:val="bottom"/>
            <w:shd w:val="clear" w:color="auto" w:fill="E5E5E5"/>
          </w:tcPr>
          <w:p>
            <w:pPr>
              <w:spacing w:after="0"/>
              <w:rPr>
                <w:sz w:val="19"/>
                <w:szCs w:val="19"/>
                <w:color w:val="auto"/>
              </w:rPr>
            </w:pPr>
          </w:p>
        </w:tc>
        <w:tc>
          <w:tcPr>
            <w:tcW w:w="50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84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(603)</w:t>
            </w:r>
          </w:p>
        </w:tc>
        <w:tc>
          <w:tcPr>
            <w:tcW w:w="84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(297)</w:t>
            </w:r>
          </w:p>
        </w:tc>
        <w:tc>
          <w:tcPr>
            <w:tcW w:w="70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68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48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8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3040" w:type="dxa"/>
            <w:vAlign w:val="bottom"/>
            <w:shd w:val="clear" w:color="auto" w:fill="E5E5E5"/>
          </w:tcPr>
          <w:p>
            <w:pPr>
              <w:spacing w:after="0"/>
              <w:rPr>
                <w:sz w:val="20"/>
                <w:szCs w:val="20"/>
                <w:color w:val="auto"/>
              </w:rPr>
            </w:pPr>
            <w:r>
              <w:rPr>
                <w:rFonts w:ascii="Arial" w:cs="Arial" w:eastAsia="Arial" w:hAnsi="Arial"/>
                <w:sz w:val="18"/>
                <w:szCs w:val="18"/>
                <w:color w:val="auto"/>
              </w:rPr>
              <w:t>Dividends declared</w:t>
            </w:r>
          </w:p>
        </w:tc>
        <w:tc>
          <w:tcPr>
            <w:tcW w:w="2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260" w:type="dxa"/>
            <w:vAlign w:val="bottom"/>
            <w:tcBorders>
              <w:right w:val="single" w:sz="8" w:color="auto"/>
            </w:tcBorders>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84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(796)</w:t>
            </w:r>
          </w:p>
        </w:tc>
        <w:tc>
          <w:tcPr>
            <w:tcW w:w="70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8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8"/>
        </w:trPr>
        <w:tc>
          <w:tcPr>
            <w:tcW w:w="3040" w:type="dxa"/>
            <w:vAlign w:val="bottom"/>
            <w:shd w:val="clear" w:color="auto" w:fill="E5E5E5"/>
          </w:tcPr>
          <w:p>
            <w:pPr>
              <w:spacing w:after="0"/>
              <w:rPr>
                <w:sz w:val="20"/>
                <w:szCs w:val="20"/>
                <w:color w:val="auto"/>
              </w:rPr>
            </w:pPr>
            <w:r>
              <w:rPr>
                <w:rFonts w:ascii="Arial" w:cs="Arial" w:eastAsia="Arial" w:hAnsi="Arial"/>
                <w:sz w:val="18"/>
                <w:szCs w:val="18"/>
                <w:color w:val="auto"/>
                <w:w w:val="96"/>
              </w:rPr>
              <w:t>Sale (purchase) of subsidiary shares to</w:t>
            </w:r>
          </w:p>
        </w:tc>
        <w:tc>
          <w:tcPr>
            <w:tcW w:w="2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260" w:type="dxa"/>
            <w:vAlign w:val="bottom"/>
            <w:tcBorders>
              <w:right w:val="single" w:sz="8" w:color="auto"/>
            </w:tcBorders>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040" w:type="dxa"/>
            <w:vAlign w:val="bottom"/>
            <w:shd w:val="clear" w:color="auto" w:fill="E5E5E5"/>
          </w:tcPr>
          <w:p>
            <w:pPr>
              <w:ind w:left="220"/>
              <w:spacing w:after="0"/>
              <w:rPr>
                <w:sz w:val="20"/>
                <w:szCs w:val="20"/>
                <w:color w:val="auto"/>
              </w:rPr>
            </w:pPr>
            <w:r>
              <w:rPr>
                <w:rFonts w:ascii="Arial" w:cs="Arial" w:eastAsia="Arial" w:hAnsi="Arial"/>
                <w:sz w:val="18"/>
                <w:szCs w:val="18"/>
                <w:color w:val="auto"/>
              </w:rPr>
              <w:t>(from) noncontrolling interests, net</w:t>
            </w:r>
          </w:p>
        </w:tc>
        <w:tc>
          <w:tcPr>
            <w:tcW w:w="260" w:type="dxa"/>
            <w:vAlign w:val="bottom"/>
            <w:shd w:val="clear" w:color="auto" w:fill="E5E5E5"/>
          </w:tcPr>
          <w:p>
            <w:pPr>
              <w:spacing w:after="0"/>
              <w:rPr>
                <w:sz w:val="19"/>
                <w:szCs w:val="19"/>
                <w:color w:val="auto"/>
              </w:rPr>
            </w:pPr>
          </w:p>
        </w:tc>
        <w:tc>
          <w:tcPr>
            <w:tcW w:w="68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(20)</w:t>
            </w:r>
          </w:p>
        </w:tc>
        <w:tc>
          <w:tcPr>
            <w:tcW w:w="260" w:type="dxa"/>
            <w:vAlign w:val="bottom"/>
            <w:tcBorders>
              <w:right w:val="single" w:sz="8" w:color="auto"/>
            </w:tcBorders>
            <w:shd w:val="clear" w:color="auto" w:fill="E5E5E5"/>
          </w:tcPr>
          <w:p>
            <w:pPr>
              <w:spacing w:after="0"/>
              <w:rPr>
                <w:sz w:val="19"/>
                <w:szCs w:val="19"/>
                <w:color w:val="auto"/>
              </w:rPr>
            </w:pPr>
          </w:p>
        </w:tc>
        <w:tc>
          <w:tcPr>
            <w:tcW w:w="480" w:type="dxa"/>
            <w:vAlign w:val="bottom"/>
            <w:shd w:val="clear" w:color="auto" w:fill="E5E5E5"/>
          </w:tcPr>
          <w:p>
            <w:pPr>
              <w:spacing w:after="0"/>
              <w:rPr>
                <w:sz w:val="19"/>
                <w:szCs w:val="19"/>
                <w:color w:val="auto"/>
              </w:rPr>
            </w:pPr>
          </w:p>
        </w:tc>
        <w:tc>
          <w:tcPr>
            <w:tcW w:w="420" w:type="dxa"/>
            <w:vAlign w:val="bottom"/>
            <w:shd w:val="clear" w:color="auto" w:fill="E5E5E5"/>
          </w:tcPr>
          <w:p>
            <w:pPr>
              <w:spacing w:after="0"/>
              <w:rPr>
                <w:sz w:val="19"/>
                <w:szCs w:val="19"/>
                <w:color w:val="auto"/>
              </w:rPr>
            </w:pPr>
          </w:p>
        </w:tc>
        <w:tc>
          <w:tcPr>
            <w:tcW w:w="50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84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11</w:t>
            </w:r>
          </w:p>
        </w:tc>
        <w:tc>
          <w:tcPr>
            <w:tcW w:w="72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70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68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48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8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8"/>
        </w:trPr>
        <w:tc>
          <w:tcPr>
            <w:tcW w:w="3040" w:type="dxa"/>
            <w:vAlign w:val="bottom"/>
          </w:tcPr>
          <w:p>
            <w:pPr>
              <w:spacing w:after="0"/>
              <w:rPr>
                <w:sz w:val="20"/>
                <w:szCs w:val="20"/>
                <w:color w:val="auto"/>
              </w:rPr>
            </w:pPr>
            <w:r>
              <w:rPr>
                <w:rFonts w:ascii="Arial" w:cs="Arial" w:eastAsia="Arial" w:hAnsi="Arial"/>
                <w:sz w:val="18"/>
                <w:szCs w:val="18"/>
                <w:color w:val="auto"/>
              </w:rPr>
              <w:t>Contributions from (distributions to)</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40" w:type="dxa"/>
            <w:vAlign w:val="bottom"/>
          </w:tcPr>
          <w:p>
            <w:pPr>
              <w:ind w:left="22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8"/>
        </w:trPr>
        <w:tc>
          <w:tcPr>
            <w:tcW w:w="30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auto"/>
              <w:right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spacing w:after="0"/>
              <w:rPr>
                <w:sz w:val="18"/>
                <w:szCs w:val="18"/>
                <w:color w:val="auto"/>
              </w:rPr>
            </w:pPr>
          </w:p>
        </w:tc>
        <w:tc>
          <w:tcPr>
            <w:tcW w:w="1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2,617</w:t>
            </w:r>
          </w:p>
        </w:tc>
        <w:tc>
          <w:tcPr>
            <w:tcW w:w="700" w:type="dxa"/>
            <w:vAlign w:val="bottom"/>
            <w:tcBorders>
              <w:bottom w:val="single" w:sz="8" w:color="auto"/>
            </w:tcBorders>
            <w:shd w:val="clear" w:color="auto" w:fill="E5E5E5"/>
          </w:tcPr>
          <w:p>
            <w:pPr>
              <w:spacing w:after="0"/>
              <w:rPr>
                <w:sz w:val="18"/>
                <w:szCs w:val="18"/>
                <w:color w:val="auto"/>
              </w:rPr>
            </w:pPr>
          </w:p>
        </w:tc>
        <w:tc>
          <w:tcPr>
            <w:tcW w:w="10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100" w:type="dxa"/>
            <w:vAlign w:val="bottom"/>
            <w:tcBorders>
              <w:bottom w:val="single" w:sz="8" w:color="auto"/>
            </w:tcBorders>
            <w:shd w:val="clear" w:color="auto" w:fill="E5E5E5"/>
          </w:tcPr>
          <w:p>
            <w:pPr>
              <w:spacing w:after="0"/>
              <w:rPr>
                <w:sz w:val="18"/>
                <w:szCs w:val="18"/>
                <w:color w:val="auto"/>
              </w:rPr>
            </w:pPr>
          </w:p>
        </w:tc>
        <w:tc>
          <w:tcPr>
            <w:tcW w:w="28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2,637</w:t>
            </w:r>
          </w:p>
        </w:tc>
        <w:tc>
          <w:tcPr>
            <w:tcW w:w="0" w:type="dxa"/>
            <w:vAlign w:val="bottom"/>
          </w:tcPr>
          <w:p>
            <w:pPr>
              <w:spacing w:after="0"/>
              <w:rPr>
                <w:sz w:val="1"/>
                <w:szCs w:val="1"/>
                <w:color w:val="auto"/>
              </w:rPr>
            </w:pPr>
          </w:p>
        </w:tc>
      </w:tr>
      <w:tr>
        <w:trPr>
          <w:trHeight w:val="217"/>
        </w:trPr>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September 30, 2010</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144</w:t>
            </w:r>
          </w:p>
        </w:tc>
        <w:tc>
          <w:tcPr>
            <w:tcW w:w="260" w:type="dxa"/>
            <w:vAlign w:val="bottom"/>
            <w:tcBorders>
              <w:bottom w:val="single" w:sz="8" w:color="auto"/>
              <w:right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4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8</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 —</w:t>
            </w:r>
          </w:p>
        </w:tc>
        <w:tc>
          <w:tcPr>
            <w:tcW w:w="8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$39,860</w:t>
            </w:r>
          </w:p>
        </w:tc>
        <w:tc>
          <w:tcPr>
            <w:tcW w:w="8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w w:val="99"/>
              </w:rPr>
              <w:t>$ 11,525</w:t>
            </w:r>
          </w:p>
        </w:tc>
        <w:tc>
          <w:tcPr>
            <w:tcW w:w="8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w w:val="95"/>
              </w:rPr>
              <w:t>$(7,517)</w:t>
            </w:r>
          </w:p>
        </w:tc>
        <w:tc>
          <w:tcPr>
            <w:tcW w:w="3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(116)</w:t>
            </w: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$43,868</w:t>
            </w:r>
          </w:p>
        </w:tc>
        <w:tc>
          <w:tcPr>
            <w:tcW w:w="0" w:type="dxa"/>
            <w:vAlign w:val="bottom"/>
          </w:tcPr>
          <w:p>
            <w:pPr>
              <w:spacing w:after="0"/>
              <w:rPr>
                <w:sz w:val="1"/>
                <w:szCs w:val="1"/>
                <w:color w:val="auto"/>
              </w:rPr>
            </w:pPr>
          </w:p>
        </w:tc>
      </w:tr>
      <w:tr>
        <w:trPr>
          <w:trHeight w:val="216"/>
        </w:trPr>
        <w:tc>
          <w:tcPr>
            <w:tcW w:w="3040" w:type="dxa"/>
            <w:vAlign w:val="bottom"/>
            <w:shd w:val="clear" w:color="auto" w:fill="E5E5E5"/>
          </w:tcPr>
          <w:p>
            <w:pPr>
              <w:spacing w:after="0"/>
              <w:rPr>
                <w:sz w:val="20"/>
                <w:szCs w:val="20"/>
                <w:color w:val="auto"/>
              </w:rPr>
            </w:pPr>
            <w:r>
              <w:rPr>
                <w:rFonts w:ascii="Arial" w:cs="Arial" w:eastAsia="Arial" w:hAnsi="Arial"/>
                <w:sz w:val="18"/>
                <w:szCs w:val="18"/>
                <w:color w:val="auto"/>
              </w:rPr>
              <w:t>Balance, January 1, 2011</w:t>
            </w:r>
          </w:p>
        </w:tc>
        <w:tc>
          <w:tcPr>
            <w:tcW w:w="260" w:type="dxa"/>
            <w:vAlign w:val="bottom"/>
            <w:shd w:val="clear" w:color="auto" w:fill="E5E5E5"/>
          </w:tcPr>
          <w:p>
            <w:pPr>
              <w:ind w:left="16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143</w:t>
            </w:r>
          </w:p>
        </w:tc>
        <w:tc>
          <w:tcPr>
            <w:tcW w:w="260" w:type="dxa"/>
            <w:vAlign w:val="bottom"/>
            <w:tcBorders>
              <w:right w:val="single" w:sz="8" w:color="auto"/>
            </w:tcBorders>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w:t>
            </w:r>
          </w:p>
        </w:tc>
        <w:tc>
          <w:tcPr>
            <w:tcW w:w="420" w:type="dxa"/>
            <w:vAlign w:val="bottom"/>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8</w:t>
            </w:r>
          </w:p>
        </w:tc>
        <w:tc>
          <w:tcPr>
            <w:tcW w:w="46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6"/>
              </w:rPr>
              <w:t>$ —</w:t>
            </w:r>
          </w:p>
        </w:tc>
        <w:tc>
          <w:tcPr>
            <w:tcW w:w="84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$39,780</w:t>
            </w:r>
          </w:p>
        </w:tc>
        <w:tc>
          <w:tcPr>
            <w:tcW w:w="84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$12,158</w:t>
            </w:r>
          </w:p>
        </w:tc>
        <w:tc>
          <w:tcPr>
            <w:tcW w:w="800" w:type="dxa"/>
            <w:vAlign w:val="bottom"/>
            <w:gridSpan w:val="2"/>
            <w:shd w:val="clear" w:color="auto" w:fill="E5E5E5"/>
          </w:tcPr>
          <w:p>
            <w:pPr>
              <w:ind w:left="140"/>
              <w:spacing w:after="0"/>
              <w:rPr>
                <w:sz w:val="20"/>
                <w:szCs w:val="20"/>
                <w:color w:val="auto"/>
              </w:rPr>
            </w:pPr>
            <w:r>
              <w:rPr>
                <w:rFonts w:ascii="Arial" w:cs="Arial" w:eastAsia="Arial" w:hAnsi="Arial"/>
                <w:sz w:val="18"/>
                <w:szCs w:val="18"/>
                <w:color w:val="auto"/>
                <w:w w:val="95"/>
              </w:rPr>
              <w:t>$(7,517)</w:t>
            </w:r>
          </w:p>
        </w:tc>
        <w:tc>
          <w:tcPr>
            <w:tcW w:w="340" w:type="dxa"/>
            <w:vAlign w:val="bottom"/>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(99)</w:t>
            </w:r>
          </w:p>
        </w:tc>
        <w:tc>
          <w:tcPr>
            <w:tcW w:w="280" w:type="dxa"/>
            <w:vAlign w:val="bottom"/>
            <w:shd w:val="clear" w:color="auto" w:fill="E5E5E5"/>
          </w:tcPr>
          <w:p>
            <w:pPr>
              <w:ind w:left="16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E5E5E5"/>
          </w:tcPr>
          <w:p>
            <w:pPr>
              <w:spacing w:after="0"/>
              <w:rPr>
                <w:sz w:val="18"/>
                <w:szCs w:val="18"/>
                <w:color w:val="auto"/>
              </w:rPr>
            </w:pPr>
          </w:p>
        </w:tc>
        <w:tc>
          <w:tcPr>
            <w:tcW w:w="8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$44,434</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Stock compensation plans</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414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8"/>
        </w:trPr>
        <w:tc>
          <w:tcPr>
            <w:tcW w:w="3040" w:type="dxa"/>
            <w:vAlign w:val="bottom"/>
            <w:shd w:val="clear" w:color="auto" w:fill="E5E5E5"/>
          </w:tcPr>
          <w:p>
            <w:pPr>
              <w:spacing w:after="0"/>
              <w:rPr>
                <w:sz w:val="20"/>
                <w:szCs w:val="20"/>
                <w:color w:val="auto"/>
              </w:rPr>
            </w:pPr>
            <w:r>
              <w:rPr>
                <w:rFonts w:ascii="Arial" w:cs="Arial" w:eastAsia="Arial" w:hAnsi="Arial"/>
                <w:sz w:val="18"/>
                <w:szCs w:val="18"/>
                <w:color w:val="auto"/>
                <w:w w:val="91"/>
              </w:rPr>
              <w:t>Repurchases and retirements of common</w:t>
            </w:r>
          </w:p>
        </w:tc>
        <w:tc>
          <w:tcPr>
            <w:tcW w:w="2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260" w:type="dxa"/>
            <w:vAlign w:val="bottom"/>
            <w:tcBorders>
              <w:right w:val="single" w:sz="8" w:color="auto"/>
            </w:tcBorders>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040" w:type="dxa"/>
            <w:vAlign w:val="bottom"/>
            <w:shd w:val="clear" w:color="auto" w:fill="E5E5E5"/>
          </w:tcPr>
          <w:p>
            <w:pPr>
              <w:ind w:left="220"/>
              <w:spacing w:after="0"/>
              <w:rPr>
                <w:sz w:val="20"/>
                <w:szCs w:val="20"/>
                <w:color w:val="auto"/>
              </w:rPr>
            </w:pPr>
            <w:r>
              <w:rPr>
                <w:rFonts w:ascii="Arial" w:cs="Arial" w:eastAsia="Arial" w:hAnsi="Arial"/>
                <w:sz w:val="18"/>
                <w:szCs w:val="18"/>
                <w:color w:val="auto"/>
              </w:rPr>
              <w:t>stock</w:t>
            </w:r>
          </w:p>
        </w:tc>
        <w:tc>
          <w:tcPr>
            <w:tcW w:w="260" w:type="dxa"/>
            <w:vAlign w:val="bottom"/>
            <w:shd w:val="clear" w:color="auto" w:fill="E5E5E5"/>
          </w:tcPr>
          <w:p>
            <w:pPr>
              <w:spacing w:after="0"/>
              <w:rPr>
                <w:sz w:val="19"/>
                <w:szCs w:val="19"/>
                <w:color w:val="auto"/>
              </w:rPr>
            </w:pPr>
          </w:p>
        </w:tc>
        <w:tc>
          <w:tcPr>
            <w:tcW w:w="58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260" w:type="dxa"/>
            <w:vAlign w:val="bottom"/>
            <w:tcBorders>
              <w:right w:val="single" w:sz="8" w:color="auto"/>
            </w:tcBorders>
            <w:shd w:val="clear" w:color="auto" w:fill="E5E5E5"/>
          </w:tcPr>
          <w:p>
            <w:pPr>
              <w:spacing w:after="0"/>
              <w:rPr>
                <w:sz w:val="19"/>
                <w:szCs w:val="19"/>
                <w:color w:val="auto"/>
              </w:rPr>
            </w:pPr>
          </w:p>
        </w:tc>
        <w:tc>
          <w:tcPr>
            <w:tcW w:w="480" w:type="dxa"/>
            <w:vAlign w:val="bottom"/>
            <w:shd w:val="clear" w:color="auto" w:fill="E5E5E5"/>
          </w:tcPr>
          <w:p>
            <w:pPr>
              <w:spacing w:after="0"/>
              <w:rPr>
                <w:sz w:val="19"/>
                <w:szCs w:val="19"/>
                <w:color w:val="auto"/>
              </w:rPr>
            </w:pPr>
          </w:p>
        </w:tc>
        <w:tc>
          <w:tcPr>
            <w:tcW w:w="420" w:type="dxa"/>
            <w:vAlign w:val="bottom"/>
            <w:shd w:val="clear" w:color="auto" w:fill="E5E5E5"/>
          </w:tcPr>
          <w:p>
            <w:pPr>
              <w:spacing w:after="0"/>
              <w:rPr>
                <w:sz w:val="19"/>
                <w:szCs w:val="19"/>
                <w:color w:val="auto"/>
              </w:rPr>
            </w:pPr>
          </w:p>
        </w:tc>
        <w:tc>
          <w:tcPr>
            <w:tcW w:w="50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(1)</w:t>
            </w:r>
          </w:p>
        </w:tc>
        <w:tc>
          <w:tcPr>
            <w:tcW w:w="460" w:type="dxa"/>
            <w:vAlign w:val="bottom"/>
            <w:shd w:val="clear" w:color="auto" w:fill="E5E5E5"/>
          </w:tcPr>
          <w:p>
            <w:pPr>
              <w:spacing w:after="0"/>
              <w:rPr>
                <w:sz w:val="19"/>
                <w:szCs w:val="19"/>
                <w:color w:val="auto"/>
              </w:rPr>
            </w:pPr>
          </w:p>
        </w:tc>
        <w:tc>
          <w:tcPr>
            <w:tcW w:w="84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(822)</w:t>
            </w:r>
          </w:p>
        </w:tc>
        <w:tc>
          <w:tcPr>
            <w:tcW w:w="84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(827)</w:t>
            </w:r>
          </w:p>
        </w:tc>
        <w:tc>
          <w:tcPr>
            <w:tcW w:w="70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68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48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8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040" w:type="dxa"/>
            <w:vAlign w:val="bottom"/>
            <w:shd w:val="clear" w:color="auto" w:fill="E5E5E5"/>
          </w:tcPr>
          <w:p>
            <w:pPr>
              <w:spacing w:after="0"/>
              <w:rPr>
                <w:sz w:val="20"/>
                <w:szCs w:val="20"/>
                <w:color w:val="auto"/>
              </w:rPr>
            </w:pPr>
            <w:r>
              <w:rPr>
                <w:rFonts w:ascii="Arial" w:cs="Arial" w:eastAsia="Arial" w:hAnsi="Arial"/>
                <w:sz w:val="18"/>
                <w:szCs w:val="18"/>
                <w:color w:val="auto"/>
              </w:rPr>
              <w:t>Dividends declared</w:t>
            </w:r>
          </w:p>
        </w:tc>
        <w:tc>
          <w:tcPr>
            <w:tcW w:w="2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260" w:type="dxa"/>
            <w:vAlign w:val="bottom"/>
            <w:tcBorders>
              <w:right w:val="single" w:sz="8" w:color="auto"/>
            </w:tcBorders>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84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(928)</w:t>
            </w:r>
          </w:p>
        </w:tc>
        <w:tc>
          <w:tcPr>
            <w:tcW w:w="70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8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26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3040" w:type="dxa"/>
            <w:vAlign w:val="bottom"/>
            <w:shd w:val="clear" w:color="auto" w:fill="E5E5E5"/>
          </w:tcPr>
          <w:p>
            <w:pPr>
              <w:spacing w:after="0"/>
              <w:rPr>
                <w:sz w:val="20"/>
                <w:szCs w:val="20"/>
                <w:color w:val="auto"/>
              </w:rPr>
            </w:pPr>
            <w:r>
              <w:rPr>
                <w:rFonts w:ascii="Arial" w:cs="Arial" w:eastAsia="Arial" w:hAnsi="Arial"/>
                <w:sz w:val="18"/>
                <w:szCs w:val="18"/>
                <w:color w:val="auto"/>
              </w:rPr>
              <w:t>NBCUniversal transaction</w:t>
            </w:r>
          </w:p>
        </w:tc>
        <w:tc>
          <w:tcPr>
            <w:tcW w:w="260" w:type="dxa"/>
            <w:vAlign w:val="bottom"/>
            <w:shd w:val="clear" w:color="auto" w:fill="E5E5E5"/>
          </w:tcPr>
          <w:p>
            <w:pPr>
              <w:spacing w:after="0"/>
              <w:rPr>
                <w:sz w:val="18"/>
                <w:szCs w:val="18"/>
                <w:color w:val="auto"/>
              </w:rPr>
            </w:pPr>
          </w:p>
        </w:tc>
        <w:tc>
          <w:tcPr>
            <w:tcW w:w="68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15,192</w:t>
            </w:r>
          </w:p>
        </w:tc>
        <w:tc>
          <w:tcPr>
            <w:tcW w:w="260" w:type="dxa"/>
            <w:vAlign w:val="bottom"/>
            <w:tcBorders>
              <w:right w:val="single" w:sz="8" w:color="auto"/>
            </w:tcBorders>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84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1,612</w:t>
            </w:r>
          </w:p>
        </w:tc>
        <w:tc>
          <w:tcPr>
            <w:tcW w:w="7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58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211</w:t>
            </w:r>
          </w:p>
        </w:tc>
        <w:tc>
          <w:tcPr>
            <w:tcW w:w="8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08"/>
        </w:trPr>
        <w:tc>
          <w:tcPr>
            <w:tcW w:w="3040" w:type="dxa"/>
            <w:vAlign w:val="bottom"/>
          </w:tcPr>
          <w:p>
            <w:pPr>
              <w:spacing w:after="0"/>
              <w:rPr>
                <w:sz w:val="20"/>
                <w:szCs w:val="20"/>
                <w:color w:val="auto"/>
              </w:rPr>
            </w:pPr>
            <w:r>
              <w:rPr>
                <w:rFonts w:ascii="Arial" w:cs="Arial" w:eastAsia="Arial" w:hAnsi="Arial"/>
                <w:sz w:val="18"/>
                <w:szCs w:val="18"/>
                <w:color w:val="auto"/>
              </w:rPr>
              <w:t>Issuance of subsidiary</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40" w:type="dxa"/>
            <w:vAlign w:val="bottom"/>
          </w:tcPr>
          <w:p>
            <w:pPr>
              <w:ind w:left="220"/>
              <w:spacing w:after="0"/>
              <w:rPr>
                <w:sz w:val="20"/>
                <w:szCs w:val="20"/>
                <w:color w:val="auto"/>
              </w:rPr>
            </w:pPr>
            <w:r>
              <w:rPr>
                <w:rFonts w:ascii="Arial" w:cs="Arial" w:eastAsia="Arial" w:hAnsi="Arial"/>
                <w:sz w:val="18"/>
                <w:szCs w:val="18"/>
                <w:color w:val="auto"/>
              </w:rPr>
              <w:t>shares to noncontrolling interests</w:t>
            </w:r>
          </w:p>
        </w:tc>
        <w:tc>
          <w:tcPr>
            <w:tcW w:w="26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26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0"/>
        </w:trPr>
        <w:tc>
          <w:tcPr>
            <w:tcW w:w="3040" w:type="dxa"/>
            <w:vAlign w:val="bottom"/>
            <w:shd w:val="clear" w:color="auto" w:fill="E5E5E5"/>
          </w:tcPr>
          <w:p>
            <w:pPr>
              <w:spacing w:after="0"/>
              <w:rPr>
                <w:sz w:val="20"/>
                <w:szCs w:val="20"/>
                <w:color w:val="auto"/>
              </w:rPr>
            </w:pPr>
            <w:r>
              <w:rPr>
                <w:rFonts w:ascii="Arial" w:cs="Arial" w:eastAsia="Arial" w:hAnsi="Arial"/>
                <w:sz w:val="18"/>
                <w:szCs w:val="18"/>
                <w:color w:val="auto"/>
              </w:rPr>
              <w:t>Contributions from (distributions to)</w:t>
            </w:r>
          </w:p>
        </w:tc>
        <w:tc>
          <w:tcPr>
            <w:tcW w:w="2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260" w:type="dxa"/>
            <w:vAlign w:val="bottom"/>
            <w:tcBorders>
              <w:right w:val="single" w:sz="8" w:color="auto"/>
            </w:tcBorders>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040" w:type="dxa"/>
            <w:vAlign w:val="bottom"/>
            <w:shd w:val="clear" w:color="auto" w:fill="E5E5E5"/>
          </w:tcPr>
          <w:p>
            <w:pPr>
              <w:ind w:left="220"/>
              <w:spacing w:after="0"/>
              <w:rPr>
                <w:sz w:val="20"/>
                <w:szCs w:val="20"/>
                <w:color w:val="auto"/>
              </w:rPr>
            </w:pPr>
            <w:r>
              <w:rPr>
                <w:rFonts w:ascii="Arial" w:cs="Arial" w:eastAsia="Arial" w:hAnsi="Arial"/>
                <w:sz w:val="18"/>
                <w:szCs w:val="18"/>
                <w:color w:val="auto"/>
              </w:rPr>
              <w:t>noncontrolling interests</w:t>
            </w:r>
          </w:p>
        </w:tc>
        <w:tc>
          <w:tcPr>
            <w:tcW w:w="260" w:type="dxa"/>
            <w:vAlign w:val="bottom"/>
            <w:shd w:val="clear" w:color="auto" w:fill="E5E5E5"/>
          </w:tcPr>
          <w:p>
            <w:pPr>
              <w:spacing w:after="0"/>
              <w:rPr>
                <w:sz w:val="19"/>
                <w:szCs w:val="19"/>
                <w:color w:val="auto"/>
              </w:rPr>
            </w:pPr>
          </w:p>
        </w:tc>
        <w:tc>
          <w:tcPr>
            <w:tcW w:w="68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(177)</w:t>
            </w:r>
          </w:p>
        </w:tc>
        <w:tc>
          <w:tcPr>
            <w:tcW w:w="260" w:type="dxa"/>
            <w:vAlign w:val="bottom"/>
            <w:tcBorders>
              <w:right w:val="single" w:sz="8" w:color="auto"/>
            </w:tcBorders>
            <w:shd w:val="clear" w:color="auto" w:fill="E5E5E5"/>
          </w:tcPr>
          <w:p>
            <w:pPr>
              <w:spacing w:after="0"/>
              <w:rPr>
                <w:sz w:val="19"/>
                <w:szCs w:val="19"/>
                <w:color w:val="auto"/>
              </w:rPr>
            </w:pPr>
          </w:p>
        </w:tc>
        <w:tc>
          <w:tcPr>
            <w:tcW w:w="480" w:type="dxa"/>
            <w:vAlign w:val="bottom"/>
            <w:shd w:val="clear" w:color="auto" w:fill="E5E5E5"/>
          </w:tcPr>
          <w:p>
            <w:pPr>
              <w:spacing w:after="0"/>
              <w:rPr>
                <w:sz w:val="19"/>
                <w:szCs w:val="19"/>
                <w:color w:val="auto"/>
              </w:rPr>
            </w:pPr>
          </w:p>
        </w:tc>
        <w:tc>
          <w:tcPr>
            <w:tcW w:w="420" w:type="dxa"/>
            <w:vAlign w:val="bottom"/>
            <w:shd w:val="clear" w:color="auto" w:fill="E5E5E5"/>
          </w:tcPr>
          <w:p>
            <w:pPr>
              <w:spacing w:after="0"/>
              <w:rPr>
                <w:sz w:val="19"/>
                <w:szCs w:val="19"/>
                <w:color w:val="auto"/>
              </w:rPr>
            </w:pPr>
          </w:p>
        </w:tc>
        <w:tc>
          <w:tcPr>
            <w:tcW w:w="50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72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72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70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68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58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(112)</w:t>
            </w:r>
          </w:p>
        </w:tc>
        <w:tc>
          <w:tcPr>
            <w:tcW w:w="8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592</w:t>
            </w:r>
          </w:p>
        </w:tc>
        <w:tc>
          <w:tcPr>
            <w:tcW w:w="260" w:type="dxa"/>
            <w:vAlign w:val="bottom"/>
            <w:tcBorders>
              <w:bottom w:val="single" w:sz="8" w:color="auto"/>
              <w:right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2,873</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17"/>
        </w:trPr>
        <w:tc>
          <w:tcPr>
            <w:tcW w:w="30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Balance, September 30, 2011</w:t>
            </w:r>
          </w:p>
        </w:tc>
        <w:tc>
          <w:tcPr>
            <w:tcW w:w="2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15,827</w:t>
            </w:r>
          </w:p>
        </w:tc>
        <w:tc>
          <w:tcPr>
            <w:tcW w:w="260" w:type="dxa"/>
            <w:vAlign w:val="bottom"/>
            <w:tcBorders>
              <w:bottom w:val="single" w:sz="8" w:color="auto"/>
              <w:right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$25</w:t>
            </w:r>
          </w:p>
        </w:tc>
        <w:tc>
          <w:tcPr>
            <w:tcW w:w="42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rPr>
              <w:t>7</w:t>
            </w:r>
          </w:p>
        </w:tc>
        <w:tc>
          <w:tcPr>
            <w:tcW w:w="46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8"/>
                <w:szCs w:val="18"/>
                <w:b w:val="1"/>
                <w:bCs w:val="1"/>
                <w:color w:val="auto"/>
                <w:w w:val="96"/>
              </w:rPr>
              <w:t>$ —</w:t>
            </w:r>
          </w:p>
        </w:tc>
        <w:tc>
          <w:tcPr>
            <w:tcW w:w="840" w:type="dxa"/>
            <w:vAlign w:val="bottom"/>
            <w:tcBorders>
              <w:bottom w:val="single" w:sz="8" w:color="auto"/>
            </w:tcBorders>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$41,079</w:t>
            </w:r>
          </w:p>
        </w:tc>
        <w:tc>
          <w:tcPr>
            <w:tcW w:w="840" w:type="dxa"/>
            <w:vAlign w:val="bottom"/>
            <w:tcBorders>
              <w:bottom w:val="single" w:sz="8" w:color="auto"/>
            </w:tcBorders>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$13,236</w:t>
            </w:r>
          </w:p>
        </w:tc>
        <w:tc>
          <w:tcPr>
            <w:tcW w:w="800" w:type="dxa"/>
            <w:vAlign w:val="bottom"/>
            <w:tcBorders>
              <w:bottom w:val="single" w:sz="8" w:color="auto"/>
            </w:tcBorders>
            <w:gridSpan w:val="2"/>
            <w:shd w:val="clear" w:color="auto" w:fill="E5E5E5"/>
          </w:tcPr>
          <w:p>
            <w:pPr>
              <w:ind w:left="140"/>
              <w:spacing w:after="0"/>
              <w:rPr>
                <w:sz w:val="20"/>
                <w:szCs w:val="20"/>
                <w:color w:val="auto"/>
              </w:rPr>
            </w:pPr>
            <w:r>
              <w:rPr>
                <w:rFonts w:ascii="Arial" w:cs="Arial" w:eastAsia="Arial" w:hAnsi="Arial"/>
                <w:sz w:val="18"/>
                <w:szCs w:val="18"/>
                <w:b w:val="1"/>
                <w:bCs w:val="1"/>
                <w:color w:val="auto"/>
                <w:w w:val="95"/>
              </w:rPr>
              <w:t>$(7,517)</w:t>
            </w:r>
          </w:p>
        </w:tc>
        <w:tc>
          <w:tcPr>
            <w:tcW w:w="34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gridSpan w:val="2"/>
            <w:shd w:val="clear" w:color="auto" w:fill="E5E5E5"/>
          </w:tcPr>
          <w:p>
            <w:pPr>
              <w:jc w:val="right"/>
              <w:ind w:right="40"/>
              <w:spacing w:after="0"/>
              <w:rPr>
                <w:sz w:val="20"/>
                <w:szCs w:val="20"/>
                <w:color w:val="auto"/>
              </w:rPr>
            </w:pPr>
            <w:r>
              <w:rPr>
                <w:rFonts w:ascii="Arial" w:cs="Arial" w:eastAsia="Arial" w:hAnsi="Arial"/>
                <w:sz w:val="18"/>
                <w:szCs w:val="18"/>
                <w:b w:val="1"/>
                <w:bCs w:val="1"/>
                <w:color w:val="auto"/>
              </w:rPr>
              <w:t>(147)</w:t>
            </w:r>
          </w:p>
        </w:tc>
        <w:tc>
          <w:tcPr>
            <w:tcW w:w="28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329</w:t>
            </w:r>
          </w:p>
        </w:tc>
        <w:tc>
          <w:tcPr>
            <w:tcW w:w="10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$47,012</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right="4380"/>
        <w:spacing w:after="0" w:line="261"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prepared these unaudited condensed consolidated financial statements based on Securities and Exchange Commission (“SEC”) rules that permit reduced disclosure for interim periods. These financial statements include all adjustments that are necessary for a fair presentation of our consolidated results of operations, financial condition and cash flows for the periods shown, including normal, recurring accruals and other items. We also evaluated events or transactions that occurred after the balance sheet date through the issuance date of these condensed consolidated financial statements to determine if financial statement recognition or additional disclosure is required. The consolidated results of operations for the interim periods presented are not necessarily indicative of results for the full year.</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annual consolidated financial statements for the preceding fiscal year as filed with the SEC.</w:t>
      </w:r>
    </w:p>
    <w:p>
      <w:pPr>
        <w:spacing w:after="0" w:line="4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On January 28, 2011, we closed our transaction with General Electric Company (“GE”) in which we acquired control of the businesses of NBC Universal, Inc. (now named NBCUniversal Media, LLC (“NBCUniversal”)), a leading media and entertainment company that develops, produces and distributes entertainment, news and information, sports, and other content to global audiences. NBCUniversal’s results of operations from January 29, 2011 through September 30, 2011 are included in our consolidated results of operations. See Note 4 for additional information on the transaction.</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Summary of Significant Accounting Policies</w:t>
      </w:r>
    </w:p>
    <w:p>
      <w:pPr>
        <w:spacing w:after="0" w:line="82" w:lineRule="exact"/>
        <w:rPr>
          <w:sz w:val="20"/>
          <w:szCs w:val="20"/>
          <w:color w:val="auto"/>
        </w:rPr>
      </w:pPr>
    </w:p>
    <w:p>
      <w:pPr>
        <w:ind w:right="1480"/>
        <w:spacing w:after="0" w:line="352" w:lineRule="auto"/>
        <w:rPr>
          <w:sz w:val="20"/>
          <w:szCs w:val="20"/>
          <w:color w:val="auto"/>
        </w:rPr>
      </w:pPr>
      <w:r>
        <w:rPr>
          <w:rFonts w:ascii="Arial" w:cs="Arial" w:eastAsia="Arial" w:hAnsi="Arial"/>
          <w:sz w:val="18"/>
          <w:szCs w:val="18"/>
          <w:color w:val="auto"/>
        </w:rPr>
        <w:t xml:space="preserve">The accounting policies described below became significant to our business as a result of the NBCUniversal transaction on January 28, 2011. </w:t>
      </w:r>
      <w:r>
        <w:rPr>
          <w:rFonts w:ascii="Arial" w:cs="Arial" w:eastAsia="Arial" w:hAnsi="Arial"/>
          <w:sz w:val="18"/>
          <w:szCs w:val="18"/>
          <w:b w:val="1"/>
          <w:bCs w:val="1"/>
          <w:color w:val="auto"/>
        </w:rPr>
        <w:t>Use of Estimates</w:t>
      </w:r>
    </w:p>
    <w:p>
      <w:pPr>
        <w:spacing w:after="0" w:line="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connection with the NBCUniversal transaction, we have performed a preliminary allocation of purchase price to the assets and liabilities of the businesses acquired using preliminary estimates. The estimates are subject to change as discussed in Note 4. Estimates are also used when accounting for various items, including impairment of capitalized film and television costs, amortization of owned and acquired programming, participation and residual payments, and DVD and Blu-ray disc (together, “DVDs”) returns and customer incentives. Actual results could differ from those estimates.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and Television Costs</w:t>
      </w:r>
    </w:p>
    <w:p>
      <w:pPr>
        <w:spacing w:after="0" w:line="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capitalize film and television production costs, including direct costs, production overhead, print costs, development costs and interest. We amortize capitalized film and television production costs, as well as accrue costs associated with participation and residual payments, on an individual production basis using the ratio of the current period’s actual revenue to the estimated total remaining gross revenue from all sources, which is referred to as ultimate revenue. Estimates of total revenue and total costs are based on anticipated release patterns, public acceptance and historical results for similar productions. We state unamortized film and television costs at the lower of unamortized cost or fair value. We do not capitalize costs related to film exploitation, which are primarily costs associated with the marketing and distribution of film and television programming.</w:t>
      </w:r>
    </w:p>
    <w:p>
      <w:pPr>
        <w:spacing w:after="0" w:line="2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state acquired film and television libraries at the lower of unamortized cost or fair value. In determining the estimated lives and method of amortization, we generally use the method and the life that most closely follow the undiscounted cash flows over the estimated life of the asset.</w:t>
      </w:r>
    </w:p>
    <w:p>
      <w:pPr>
        <w:spacing w:after="0" w:line="3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capitalize the costs to license programming content, including rights to multiyear live-event sports programming, at the earlier of when the programming is acquired or when the license period begins and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content is available for use. We amortize capitalized programming costs as the associated programs are broadcast. We amortize multiyear, live-event sports programming rights using the ratio of the current period’s actual direct revenue to the estimated total remaining direct revenue or based on the terms of the contract.</w:t>
      </w:r>
    </w:p>
    <w:p>
      <w:pPr>
        <w:spacing w:after="0" w:line="4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state the cost of acquired programming at the lower of unamortized cost or net realizable value on a program by program, package, channel or daypart basis. A daypart is defined as an aggregation of programs broadcast during a particular time of day or programs of a similar type. Acquired programming used by our cable programming networks is tested on a channel basis for impairment, whereas the programming for the NBC and Telemundo broadcast networks is tested on a daypart basis. If we determine that the estimates of future cash flows are insufficient or if there is no plan to broadcast certain programming, we will recognize an impairment charge to other operating costs and expenses.</w:t>
      </w:r>
    </w:p>
    <w:p>
      <w:pPr>
        <w:spacing w:after="0" w:line="21"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We enter into arrangements with third parties to jointly finance and distribute certain of our film productions. These arrangements, which are referred to as cofinancing arrangements, can take various forms. In most cases, the form of the arrangement involves the grant of an economic interest in a film to a third-party investor. The number of investors and the terms of these arrangements can also vary, although in most cases an investor assumes the full risk for the portion of the film acquired in these arrangements. We account for our proceeds under these arrangements as a reduction to our capitalized film costs. In these arrangements, the investor owns an undivided copyright interest in the film and, therefore, in each period we record either a charge or benefit to operating costs and expenses to reflect the estimate of the third-party investor’s interest in the profit or loss of the film. The estimate of the third-party investor’s interest in the profit or loss of a film is determined by reference to the ratio of actual revenue earned to date in relation to the ultimate revenue expected to be recognized over a film’s useful life.</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See Note 5 for additional information on our film and television costs.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recognize revenue from the theatrical distribution of films when films are exhibited. We recognize revenue from the licensing of film and television productions when the content is available for use by the licensee, and when certain other conditions are met. When license fees are contracted as part cash and part advertising time, we recognize the advertising time component when the advertising units are aired. We recognize revenue from home entertainment units, net of estimated returns and customer incentives, on the date that units are delivered to and made available for sale by retailers.</w:t>
      </w:r>
    </w:p>
    <w:p>
      <w:pPr>
        <w:spacing w:after="0" w:line="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revenue from advance theme park ticket sales when the tickets are used. For nonexpiring, multiday or annual passes, we recognize revenue over the period of benefit based on estimated usage patterns that are derived from historical experience. We recognize revenue from corporate sponsors at the theme parks over the period of the applicable contract.</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enter into nonmonetary exchanges of advertising units for other advertising units, products or services. Advertising units exchanged for advertising units are recorded at the fair value of advertising units provided and recognized when aired. Advertising units exchanged for products or services are recorded at the fair value of the goods or services received or advertising units provided. Advertising units provided are recognized when aired, and costs are recognized in the period the products or services are used.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Functional currencies are determined based on entity-specific economic and management indicators. We translate the assets and liabilities of our foreign subsidiaries where the functional currency is the local currency, primarily the euro and the British pound, into U.S. dollars at the exchange rate in effect at the balance sheet date. We translate revenue and expenses using average exchange rates prevailing during the period. The related translation adjustments are recorded as a component of accumulated other comprehensive income (loss).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Reclassifications have been made to the prior year’s condensed consolidated balance sheet to programming rights, other current assets, film and television costs, other intangible assets, net and other noncurrent assets, net to adjust to classifications used in the current period as a result of the acquisition of the NBCUniversal businesses.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Earnings Per Share</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Basic earnings per common share attributable to Comcast Corporation shareholders (“basic EPS”) is computed by dividing net income attributable to Comcast Corporation by the weighted-average number of common shares outstanding during the period.</w:t>
      </w:r>
    </w:p>
    <w:p>
      <w:pPr>
        <w:spacing w:after="0" w:line="3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potentially dilutive securities include potential common shares related to our stock options and our restricted share units (“RSUs”). Diluted earnings per common share attributable to Comcast Corporation shareholders (“diluted EPS”) considers the impact of potentially dilutive securities using the treasury stock method. Diluted EPS excludes the impact of potential common shares related to our stock options in periods in which the option exercise price is greater than the average market price of our Class A common stock or our Class A Special common stock, as applicable.</w:t>
      </w:r>
    </w:p>
    <w:p>
      <w:pPr>
        <w:spacing w:after="0" w:line="1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Diluted EPS for the three and nine months ended September 30, 2011 excludes 54 million and 45 million, respectively, of potential common shares related to our share-based compensation plans, because the inclusion of the potential common shares would have had an antidilutive effect. For the three and nine months ended September 30, 2010, diluted EPS excluded 178 million and 189 million, respectively, of potential common shares.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Diluted EPS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right"/>
              <w:ind w:right="196"/>
              <w:spacing w:after="0"/>
              <w:rPr>
                <w:sz w:val="20"/>
                <w:szCs w:val="20"/>
                <w:color w:val="auto"/>
              </w:rPr>
            </w:pPr>
            <w:r>
              <w:rPr>
                <w:rFonts w:ascii="Arial" w:cs="Arial" w:eastAsia="Arial" w:hAnsi="Arial"/>
                <w:sz w:val="14"/>
                <w:szCs w:val="14"/>
                <w:color w:val="auto"/>
                <w:w w:val="92"/>
              </w:rPr>
              <w:t>Three Months Ended September 30</w:t>
            </w:r>
          </w:p>
        </w:tc>
        <w:tc>
          <w:tcPr>
            <w:tcW w:w="9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80"/>
              <w:spacing w:after="0" w:line="142" w:lineRule="exact"/>
              <w:rPr>
                <w:sz w:val="20"/>
                <w:szCs w:val="20"/>
                <w:color w:val="auto"/>
              </w:rPr>
            </w:pPr>
            <w:r>
              <w:rPr>
                <w:rFonts w:ascii="Arial" w:cs="Arial" w:eastAsia="Arial" w:hAnsi="Arial"/>
                <w:sz w:val="14"/>
                <w:szCs w:val="14"/>
                <w:color w:val="auto"/>
              </w:rPr>
              <w:t>2011</w:t>
            </w:r>
          </w:p>
        </w:tc>
        <w:tc>
          <w:tcPr>
            <w:tcW w:w="5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20"/>
              <w:spacing w:after="0" w:line="142" w:lineRule="exact"/>
              <w:rPr>
                <w:sz w:val="20"/>
                <w:szCs w:val="20"/>
                <w:color w:val="auto"/>
              </w:rPr>
            </w:pPr>
            <w:r>
              <w:rPr>
                <w:rFonts w:ascii="Arial" w:cs="Arial" w:eastAsia="Arial" w:hAnsi="Arial"/>
                <w:sz w:val="14"/>
                <w:szCs w:val="14"/>
                <w:color w:val="auto"/>
              </w:rPr>
              <w:t>2010</w:t>
            </w:r>
          </w:p>
        </w:tc>
        <w:tc>
          <w:tcPr>
            <w:tcW w:w="4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960" w:type="dxa"/>
            <w:vAlign w:val="bottom"/>
          </w:tcPr>
          <w:p>
            <w:pPr>
              <w:spacing w:after="0"/>
              <w:rPr>
                <w:sz w:val="11"/>
                <w:szCs w:val="11"/>
                <w:color w:val="auto"/>
              </w:rPr>
            </w:pPr>
          </w:p>
        </w:tc>
        <w:tc>
          <w:tcPr>
            <w:tcW w:w="1360" w:type="dxa"/>
            <w:vAlign w:val="bottom"/>
            <w:gridSpan w:val="2"/>
          </w:tcPr>
          <w:p>
            <w:pPr>
              <w:jc w:val="center"/>
              <w:ind w:left="105"/>
              <w:spacing w:after="0" w:line="131" w:lineRule="exact"/>
              <w:rPr>
                <w:sz w:val="20"/>
                <w:szCs w:val="20"/>
                <w:color w:val="auto"/>
              </w:rPr>
            </w:pPr>
            <w:r>
              <w:rPr>
                <w:rFonts w:ascii="Arial" w:cs="Arial" w:eastAsia="Arial" w:hAnsi="Arial"/>
                <w:sz w:val="14"/>
                <w:szCs w:val="14"/>
                <w:color w:val="auto"/>
                <w:w w:val="86"/>
              </w:rPr>
              <w:t>Net Income</w:t>
            </w: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2"/>
          </w:tcPr>
          <w:p>
            <w:pPr>
              <w:jc w:val="center"/>
              <w:ind w:left="25"/>
              <w:spacing w:after="0" w:line="131" w:lineRule="exact"/>
              <w:rPr>
                <w:sz w:val="20"/>
                <w:szCs w:val="20"/>
                <w:color w:val="auto"/>
              </w:rPr>
            </w:pPr>
            <w:r>
              <w:rPr>
                <w:rFonts w:ascii="Arial" w:cs="Arial" w:eastAsia="Arial" w:hAnsi="Arial"/>
                <w:sz w:val="14"/>
                <w:szCs w:val="14"/>
                <w:color w:val="auto"/>
                <w:w w:val="86"/>
              </w:rPr>
              <w:t>Net Income</w:t>
            </w:r>
          </w:p>
        </w:tc>
        <w:tc>
          <w:tcPr>
            <w:tcW w:w="9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360" w:type="dxa"/>
            <w:vAlign w:val="bottom"/>
            <w:gridSpan w:val="2"/>
          </w:tcPr>
          <w:p>
            <w:pPr>
              <w:jc w:val="center"/>
              <w:ind w:left="105"/>
              <w:spacing w:after="0" w:line="149" w:lineRule="exact"/>
              <w:rPr>
                <w:sz w:val="20"/>
                <w:szCs w:val="20"/>
                <w:color w:val="auto"/>
              </w:rPr>
            </w:pPr>
            <w:r>
              <w:rPr>
                <w:rFonts w:ascii="Arial" w:cs="Arial" w:eastAsia="Arial" w:hAnsi="Arial"/>
                <w:sz w:val="14"/>
                <w:szCs w:val="14"/>
                <w:color w:val="auto"/>
                <w:w w:val="90"/>
              </w:rPr>
              <w:t>Attributable to</w:t>
            </w: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80" w:type="dxa"/>
            <w:vAlign w:val="bottom"/>
            <w:gridSpan w:val="2"/>
          </w:tcPr>
          <w:p>
            <w:pPr>
              <w:jc w:val="center"/>
              <w:ind w:left="25"/>
              <w:spacing w:after="0" w:line="149" w:lineRule="exact"/>
              <w:rPr>
                <w:sz w:val="20"/>
                <w:szCs w:val="20"/>
                <w:color w:val="auto"/>
              </w:rPr>
            </w:pPr>
            <w:r>
              <w:rPr>
                <w:rFonts w:ascii="Arial" w:cs="Arial" w:eastAsia="Arial" w:hAnsi="Arial"/>
                <w:sz w:val="14"/>
                <w:szCs w:val="14"/>
                <w:color w:val="auto"/>
                <w:w w:val="90"/>
              </w:rPr>
              <w:t>Attributable to</w:t>
            </w: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jc w:val="center"/>
              <w:ind w:right="236"/>
              <w:spacing w:after="0" w:line="149" w:lineRule="exact"/>
              <w:rPr>
                <w:sz w:val="20"/>
                <w:szCs w:val="20"/>
                <w:color w:val="auto"/>
              </w:rPr>
            </w:pPr>
            <w:r>
              <w:rPr>
                <w:rFonts w:ascii="Arial" w:cs="Arial" w:eastAsia="Arial" w:hAnsi="Arial"/>
                <w:sz w:val="14"/>
                <w:szCs w:val="14"/>
                <w:color w:val="auto"/>
                <w:w w:val="83"/>
              </w:rPr>
              <w:t>Comcast</w:t>
            </w:r>
          </w:p>
        </w:tc>
        <w:tc>
          <w:tcPr>
            <w:tcW w:w="880" w:type="dxa"/>
            <w:vAlign w:val="bottom"/>
          </w:tcPr>
          <w:p>
            <w:pPr>
              <w:spacing w:after="0"/>
              <w:rPr>
                <w:sz w:val="12"/>
                <w:szCs w:val="12"/>
                <w:color w:val="auto"/>
              </w:rPr>
            </w:pPr>
          </w:p>
        </w:tc>
        <w:tc>
          <w:tcPr>
            <w:tcW w:w="108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Per Share</w:t>
            </w:r>
          </w:p>
        </w:tc>
        <w:tc>
          <w:tcPr>
            <w:tcW w:w="420" w:type="dxa"/>
            <w:vAlign w:val="bottom"/>
          </w:tcPr>
          <w:p>
            <w:pPr>
              <w:spacing w:after="0"/>
              <w:rPr>
                <w:sz w:val="12"/>
                <w:szCs w:val="12"/>
                <w:color w:val="auto"/>
              </w:rPr>
            </w:pPr>
          </w:p>
        </w:tc>
        <w:tc>
          <w:tcPr>
            <w:tcW w:w="860" w:type="dxa"/>
            <w:vAlign w:val="bottom"/>
          </w:tcPr>
          <w:p>
            <w:pPr>
              <w:jc w:val="center"/>
              <w:ind w:right="236"/>
              <w:spacing w:after="0" w:line="149" w:lineRule="exact"/>
              <w:rPr>
                <w:sz w:val="20"/>
                <w:szCs w:val="20"/>
                <w:color w:val="auto"/>
              </w:rPr>
            </w:pPr>
            <w:r>
              <w:rPr>
                <w:rFonts w:ascii="Arial" w:cs="Arial" w:eastAsia="Arial" w:hAnsi="Arial"/>
                <w:sz w:val="14"/>
                <w:szCs w:val="14"/>
                <w:color w:val="auto"/>
                <w:w w:val="83"/>
              </w:rPr>
              <w:t>Comcast</w:t>
            </w:r>
          </w:p>
        </w:tc>
        <w:tc>
          <w:tcPr>
            <w:tcW w:w="920" w:type="dxa"/>
            <w:vAlign w:val="bottom"/>
          </w:tcPr>
          <w:p>
            <w:pPr>
              <w:spacing w:after="0"/>
              <w:rPr>
                <w:sz w:val="12"/>
                <w:szCs w:val="12"/>
                <w:color w:val="auto"/>
              </w:rPr>
            </w:pPr>
          </w:p>
        </w:tc>
        <w:tc>
          <w:tcPr>
            <w:tcW w:w="9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Per Share</w:t>
            </w:r>
          </w:p>
        </w:tc>
        <w:tc>
          <w:tcPr>
            <w:tcW w:w="0" w:type="dxa"/>
            <w:vAlign w:val="bottom"/>
          </w:tcPr>
          <w:p>
            <w:pPr>
              <w:spacing w:after="0"/>
              <w:rPr>
                <w:sz w:val="1"/>
                <w:szCs w:val="1"/>
                <w:color w:val="auto"/>
              </w:rPr>
            </w:pPr>
          </w:p>
        </w:tc>
      </w:tr>
      <w:tr>
        <w:trPr>
          <w:trHeight w:val="159"/>
        </w:trPr>
        <w:tc>
          <w:tcPr>
            <w:tcW w:w="49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 except per share data)</w:t>
            </w:r>
          </w:p>
        </w:tc>
        <w:tc>
          <w:tcPr>
            <w:tcW w:w="1360" w:type="dxa"/>
            <w:vAlign w:val="bottom"/>
            <w:tcBorders>
              <w:bottom w:val="single" w:sz="8" w:color="auto"/>
            </w:tcBorders>
            <w:gridSpan w:val="2"/>
          </w:tcPr>
          <w:p>
            <w:pPr>
              <w:jc w:val="center"/>
              <w:ind w:left="105"/>
              <w:spacing w:after="0" w:line="159" w:lineRule="exact"/>
              <w:rPr>
                <w:sz w:val="20"/>
                <w:szCs w:val="20"/>
                <w:color w:val="auto"/>
              </w:rPr>
            </w:pPr>
            <w:r>
              <w:rPr>
                <w:rFonts w:ascii="Arial" w:cs="Arial" w:eastAsia="Arial" w:hAnsi="Arial"/>
                <w:sz w:val="14"/>
                <w:szCs w:val="14"/>
                <w:color w:val="auto"/>
                <w:w w:val="90"/>
              </w:rPr>
              <w:t>Corporation</w:t>
            </w:r>
          </w:p>
        </w:tc>
        <w:tc>
          <w:tcPr>
            <w:tcW w:w="880" w:type="dxa"/>
            <w:vAlign w:val="bottom"/>
            <w:tcBorders>
              <w:bottom w:val="single" w:sz="8" w:color="auto"/>
            </w:tcBorders>
          </w:tcPr>
          <w:p>
            <w:pPr>
              <w:jc w:val="right"/>
              <w:ind w:right="100"/>
              <w:spacing w:after="0" w:line="159" w:lineRule="exact"/>
              <w:rPr>
                <w:sz w:val="20"/>
                <w:szCs w:val="20"/>
                <w:color w:val="auto"/>
              </w:rPr>
            </w:pPr>
            <w:r>
              <w:rPr>
                <w:rFonts w:ascii="Arial" w:cs="Arial" w:eastAsia="Arial" w:hAnsi="Arial"/>
                <w:sz w:val="14"/>
                <w:szCs w:val="14"/>
                <w:color w:val="auto"/>
              </w:rPr>
              <w:t>Shares</w:t>
            </w:r>
          </w:p>
        </w:tc>
        <w:tc>
          <w:tcPr>
            <w:tcW w:w="1080" w:type="dxa"/>
            <w:vAlign w:val="bottom"/>
            <w:tcBorders>
              <w:bottom w:val="single" w:sz="8" w:color="auto"/>
            </w:tcBorders>
            <w:gridSpan w:val="2"/>
          </w:tcPr>
          <w:p>
            <w:pPr>
              <w:jc w:val="right"/>
              <w:ind w:right="152"/>
              <w:spacing w:after="0" w:line="159" w:lineRule="exact"/>
              <w:rPr>
                <w:sz w:val="20"/>
                <w:szCs w:val="20"/>
                <w:color w:val="auto"/>
              </w:rPr>
            </w:pPr>
            <w:r>
              <w:rPr>
                <w:rFonts w:ascii="Arial" w:cs="Arial" w:eastAsia="Arial" w:hAnsi="Arial"/>
                <w:sz w:val="14"/>
                <w:szCs w:val="14"/>
                <w:color w:val="auto"/>
              </w:rPr>
              <w:t>Amount</w:t>
            </w:r>
          </w:p>
        </w:tc>
        <w:tc>
          <w:tcPr>
            <w:tcW w:w="1280" w:type="dxa"/>
            <w:vAlign w:val="bottom"/>
            <w:tcBorders>
              <w:bottom w:val="single" w:sz="8" w:color="auto"/>
            </w:tcBorders>
            <w:gridSpan w:val="2"/>
          </w:tcPr>
          <w:p>
            <w:pPr>
              <w:jc w:val="center"/>
              <w:ind w:left="25"/>
              <w:spacing w:after="0" w:line="159" w:lineRule="exact"/>
              <w:rPr>
                <w:sz w:val="20"/>
                <w:szCs w:val="20"/>
                <w:color w:val="auto"/>
              </w:rPr>
            </w:pPr>
            <w:r>
              <w:rPr>
                <w:rFonts w:ascii="Arial" w:cs="Arial" w:eastAsia="Arial" w:hAnsi="Arial"/>
                <w:sz w:val="14"/>
                <w:szCs w:val="14"/>
                <w:color w:val="auto"/>
                <w:w w:val="90"/>
              </w:rPr>
              <w:t>Corporation</w:t>
            </w:r>
          </w:p>
        </w:tc>
        <w:tc>
          <w:tcPr>
            <w:tcW w:w="920" w:type="dxa"/>
            <w:vAlign w:val="bottom"/>
            <w:tcBorders>
              <w:bottom w:val="single" w:sz="8" w:color="auto"/>
            </w:tcBorders>
          </w:tcPr>
          <w:p>
            <w:pPr>
              <w:jc w:val="right"/>
              <w:ind w:right="140"/>
              <w:spacing w:after="0" w:line="159" w:lineRule="exact"/>
              <w:rPr>
                <w:sz w:val="20"/>
                <w:szCs w:val="20"/>
                <w:color w:val="auto"/>
              </w:rPr>
            </w:pPr>
            <w:r>
              <w:rPr>
                <w:rFonts w:ascii="Arial" w:cs="Arial" w:eastAsia="Arial" w:hAnsi="Arial"/>
                <w:sz w:val="14"/>
                <w:szCs w:val="14"/>
                <w:color w:val="auto"/>
              </w:rPr>
              <w:t>Shares</w:t>
            </w:r>
          </w:p>
        </w:tc>
        <w:tc>
          <w:tcPr>
            <w:tcW w:w="940" w:type="dxa"/>
            <w:vAlign w:val="bottom"/>
            <w:tcBorders>
              <w:bottom w:val="single" w:sz="8" w:color="auto"/>
            </w:tcBorders>
            <w:gridSpan w:val="2"/>
          </w:tcPr>
          <w:p>
            <w:pPr>
              <w:jc w:val="right"/>
              <w:ind w:right="52"/>
              <w:spacing w:after="0" w:line="159" w:lineRule="exact"/>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10"/>
        </w:trPr>
        <w:tc>
          <w:tcPr>
            <w:tcW w:w="4960" w:type="dxa"/>
            <w:vAlign w:val="bottom"/>
            <w:shd w:val="clear" w:color="auto" w:fill="E5E5E5"/>
          </w:tcPr>
          <w:p>
            <w:pPr>
              <w:spacing w:after="0"/>
              <w:rPr>
                <w:sz w:val="20"/>
                <w:szCs w:val="20"/>
                <w:color w:val="auto"/>
              </w:rPr>
            </w:pPr>
            <w:r>
              <w:rPr>
                <w:rFonts w:ascii="Arial" w:cs="Arial" w:eastAsia="Arial" w:hAnsi="Arial"/>
                <w:sz w:val="18"/>
                <w:szCs w:val="18"/>
                <w:color w:val="auto"/>
              </w:rPr>
              <w:t>Basic EPS attributable to Comcast Corporation shareholders</w:t>
            </w: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908</w:t>
            </w:r>
          </w:p>
        </w:tc>
        <w:tc>
          <w:tcPr>
            <w:tcW w:w="880" w:type="dxa"/>
            <w:vAlign w:val="bottom"/>
            <w:shd w:val="clear" w:color="auto" w:fill="E5E5E5"/>
          </w:tcPr>
          <w:p>
            <w:pPr>
              <w:jc w:val="right"/>
              <w:ind w:right="40"/>
              <w:spacing w:after="0"/>
              <w:rPr>
                <w:sz w:val="20"/>
                <w:szCs w:val="20"/>
                <w:color w:val="auto"/>
              </w:rPr>
            </w:pPr>
            <w:r>
              <w:rPr>
                <w:rFonts w:ascii="Arial" w:cs="Arial" w:eastAsia="Arial" w:hAnsi="Arial"/>
                <w:sz w:val="18"/>
                <w:szCs w:val="18"/>
                <w:color w:val="auto"/>
              </w:rPr>
              <w:t>2,739</w:t>
            </w:r>
          </w:p>
        </w:tc>
        <w:tc>
          <w:tcPr>
            <w:tcW w:w="520" w:type="dxa"/>
            <w:vAlign w:val="bottom"/>
            <w:shd w:val="clear" w:color="auto" w:fill="E5E5E5"/>
          </w:tcPr>
          <w:p>
            <w:pPr>
              <w:jc w:val="right"/>
              <w:ind w:right="4"/>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96"/>
              </w:rPr>
              <w:t>0.33</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867</w:t>
            </w:r>
          </w:p>
        </w:tc>
        <w:tc>
          <w:tcPr>
            <w:tcW w:w="920" w:type="dxa"/>
            <w:vAlign w:val="bottom"/>
            <w:shd w:val="clear" w:color="auto" w:fill="E5E5E5"/>
          </w:tcPr>
          <w:p>
            <w:pPr>
              <w:jc w:val="right"/>
              <w:ind w:right="80"/>
              <w:spacing w:after="0"/>
              <w:rPr>
                <w:sz w:val="20"/>
                <w:szCs w:val="20"/>
                <w:color w:val="auto"/>
              </w:rPr>
            </w:pPr>
            <w:r>
              <w:rPr>
                <w:rFonts w:ascii="Arial" w:cs="Arial" w:eastAsia="Arial" w:hAnsi="Arial"/>
                <w:sz w:val="18"/>
                <w:szCs w:val="18"/>
                <w:color w:val="auto"/>
              </w:rPr>
              <w:t>2,802</w:t>
            </w:r>
          </w:p>
        </w:tc>
        <w:tc>
          <w:tcPr>
            <w:tcW w:w="480" w:type="dxa"/>
            <w:vAlign w:val="bottom"/>
            <w:shd w:val="clear" w:color="auto" w:fill="E5E5E5"/>
          </w:tcPr>
          <w:p>
            <w:pPr>
              <w:jc w:val="right"/>
              <w:ind w:right="2"/>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96"/>
              </w:rPr>
              <w:t>0.31</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w w:val="89"/>
              </w:rPr>
              <w:t>Assumed exercise or issuance of shares relating to stock plans</w:t>
            </w:r>
          </w:p>
        </w:tc>
        <w:tc>
          <w:tcPr>
            <w:tcW w:w="50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40"/>
              <w:spacing w:after="0"/>
              <w:rPr>
                <w:sz w:val="20"/>
                <w:szCs w:val="20"/>
                <w:color w:val="auto"/>
              </w:rPr>
            </w:pPr>
            <w:r>
              <w:rPr>
                <w:rFonts w:ascii="Arial" w:cs="Arial" w:eastAsia="Arial" w:hAnsi="Arial"/>
                <w:sz w:val="18"/>
                <w:szCs w:val="18"/>
                <w:color w:val="auto"/>
              </w:rPr>
              <w:t>22</w:t>
            </w:r>
          </w:p>
        </w:tc>
        <w:tc>
          <w:tcPr>
            <w:tcW w:w="52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jc w:val="right"/>
              <w:ind w:right="80"/>
              <w:spacing w:after="0"/>
              <w:rPr>
                <w:sz w:val="20"/>
                <w:szCs w:val="20"/>
                <w:color w:val="auto"/>
              </w:rPr>
            </w:pPr>
            <w:r>
              <w:rPr>
                <w:rFonts w:ascii="Arial" w:cs="Arial" w:eastAsia="Arial" w:hAnsi="Arial"/>
                <w:sz w:val="18"/>
                <w:szCs w:val="18"/>
                <w:color w:val="auto"/>
              </w:rPr>
              <w:t>8</w:t>
            </w:r>
          </w:p>
        </w:tc>
        <w:tc>
          <w:tcPr>
            <w:tcW w:w="48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Diluted EPS attributable to Comcast Corporation shareholders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rPr>
              <w:t>908</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b w:val="1"/>
                <w:bCs w:val="1"/>
                <w:color w:val="auto"/>
              </w:rPr>
              <w:t>2,761</w:t>
            </w:r>
          </w:p>
        </w:tc>
        <w:tc>
          <w:tcPr>
            <w:tcW w:w="52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6"/>
              </w:rPr>
              <w:t>0.33</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rPr>
              <w:t>867</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8"/>
                <w:szCs w:val="18"/>
                <w:b w:val="1"/>
                <w:bCs w:val="1"/>
                <w:color w:val="auto"/>
              </w:rPr>
              <w:t>2,810</w:t>
            </w:r>
          </w:p>
        </w:tc>
        <w:tc>
          <w:tcPr>
            <w:tcW w:w="48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6"/>
              </w:rPr>
              <w:t>0.31</w:t>
            </w:r>
          </w:p>
        </w:tc>
        <w:tc>
          <w:tcPr>
            <w:tcW w:w="0" w:type="dxa"/>
            <w:vAlign w:val="bottom"/>
          </w:tcPr>
          <w:p>
            <w:pPr>
              <w:spacing w:after="0"/>
              <w:rPr>
                <w:sz w:val="1"/>
                <w:szCs w:val="1"/>
                <w:color w:val="auto"/>
              </w:rPr>
            </w:pPr>
          </w:p>
        </w:tc>
      </w:tr>
      <w:tr>
        <w:trPr>
          <w:trHeight w:val="324"/>
        </w:trPr>
        <w:tc>
          <w:tcPr>
            <w:tcW w:w="49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4"/>
                <w:szCs w:val="14"/>
                <w:color w:val="auto"/>
                <w:w w:val="92"/>
              </w:rPr>
              <w:t>Nine Months Ended September 30</w:t>
            </w:r>
          </w:p>
        </w:tc>
        <w:tc>
          <w:tcPr>
            <w:tcW w:w="9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40"/>
              <w:spacing w:after="0" w:line="142" w:lineRule="exact"/>
              <w:rPr>
                <w:sz w:val="20"/>
                <w:szCs w:val="20"/>
                <w:color w:val="auto"/>
              </w:rPr>
            </w:pPr>
            <w:r>
              <w:rPr>
                <w:rFonts w:ascii="Arial" w:cs="Arial" w:eastAsia="Arial" w:hAnsi="Arial"/>
                <w:sz w:val="14"/>
                <w:szCs w:val="14"/>
                <w:color w:val="auto"/>
              </w:rPr>
              <w:t>2011</w:t>
            </w:r>
          </w:p>
        </w:tc>
        <w:tc>
          <w:tcPr>
            <w:tcW w:w="5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80"/>
              <w:spacing w:after="0" w:line="142" w:lineRule="exact"/>
              <w:rPr>
                <w:sz w:val="20"/>
                <w:szCs w:val="20"/>
                <w:color w:val="auto"/>
              </w:rPr>
            </w:pPr>
            <w:r>
              <w:rPr>
                <w:rFonts w:ascii="Arial" w:cs="Arial" w:eastAsia="Arial" w:hAnsi="Arial"/>
                <w:sz w:val="14"/>
                <w:szCs w:val="14"/>
                <w:color w:val="auto"/>
              </w:rPr>
              <w:t>2010</w:t>
            </w:r>
          </w:p>
        </w:tc>
        <w:tc>
          <w:tcPr>
            <w:tcW w:w="4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960" w:type="dxa"/>
            <w:vAlign w:val="bottom"/>
          </w:tcPr>
          <w:p>
            <w:pPr>
              <w:spacing w:after="0"/>
              <w:rPr>
                <w:sz w:val="11"/>
                <w:szCs w:val="11"/>
                <w:color w:val="auto"/>
              </w:rPr>
            </w:pPr>
          </w:p>
        </w:tc>
        <w:tc>
          <w:tcPr>
            <w:tcW w:w="136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9"/>
              </w:rPr>
              <w:t>Net Income</w:t>
            </w: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2"/>
          </w:tcPr>
          <w:p>
            <w:pPr>
              <w:jc w:val="center"/>
              <w:ind w:right="36"/>
              <w:spacing w:after="0" w:line="131" w:lineRule="exact"/>
              <w:rPr>
                <w:sz w:val="20"/>
                <w:szCs w:val="20"/>
                <w:color w:val="auto"/>
              </w:rPr>
            </w:pPr>
            <w:r>
              <w:rPr>
                <w:rFonts w:ascii="Arial" w:cs="Arial" w:eastAsia="Arial" w:hAnsi="Arial"/>
                <w:sz w:val="14"/>
                <w:szCs w:val="14"/>
                <w:color w:val="auto"/>
                <w:w w:val="89"/>
              </w:rPr>
              <w:t>Net Income</w:t>
            </w:r>
          </w:p>
        </w:tc>
        <w:tc>
          <w:tcPr>
            <w:tcW w:w="9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Attributable to</w:t>
            </w:r>
          </w:p>
        </w:tc>
        <w:tc>
          <w:tcPr>
            <w:tcW w:w="880" w:type="dxa"/>
            <w:vAlign w:val="bottom"/>
          </w:tcPr>
          <w:p>
            <w:pPr>
              <w:spacing w:after="0"/>
              <w:rPr>
                <w:sz w:val="12"/>
                <w:szCs w:val="12"/>
                <w:color w:val="auto"/>
              </w:rPr>
            </w:pPr>
          </w:p>
        </w:tc>
        <w:tc>
          <w:tcPr>
            <w:tcW w:w="1080" w:type="dxa"/>
            <w:vAlign w:val="bottom"/>
            <w:gridSpan w:val="2"/>
            <w:vMerge w:val="restart"/>
          </w:tcPr>
          <w:p>
            <w:pPr>
              <w:jc w:val="right"/>
              <w:ind w:right="192"/>
              <w:spacing w:after="0"/>
              <w:rPr>
                <w:sz w:val="20"/>
                <w:szCs w:val="20"/>
                <w:color w:val="auto"/>
              </w:rPr>
            </w:pPr>
            <w:r>
              <w:rPr>
                <w:rFonts w:ascii="Arial" w:cs="Arial" w:eastAsia="Arial" w:hAnsi="Arial"/>
                <w:sz w:val="14"/>
                <w:szCs w:val="14"/>
                <w:color w:val="auto"/>
              </w:rPr>
              <w:t>Per Share</w:t>
            </w:r>
          </w:p>
        </w:tc>
        <w:tc>
          <w:tcPr>
            <w:tcW w:w="1280" w:type="dxa"/>
            <w:vAlign w:val="bottom"/>
            <w:gridSpan w:val="2"/>
          </w:tcPr>
          <w:p>
            <w:pPr>
              <w:jc w:val="center"/>
              <w:ind w:right="36"/>
              <w:spacing w:after="0" w:line="149" w:lineRule="exact"/>
              <w:rPr>
                <w:sz w:val="20"/>
                <w:szCs w:val="20"/>
                <w:color w:val="auto"/>
              </w:rPr>
            </w:pPr>
            <w:r>
              <w:rPr>
                <w:rFonts w:ascii="Arial" w:cs="Arial" w:eastAsia="Arial" w:hAnsi="Arial"/>
                <w:sz w:val="14"/>
                <w:szCs w:val="14"/>
                <w:color w:val="auto"/>
                <w:w w:val="92"/>
              </w:rPr>
              <w:t>Attributable to</w:t>
            </w: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960" w:type="dxa"/>
            <w:vAlign w:val="bottom"/>
          </w:tcPr>
          <w:p>
            <w:pPr>
              <w:spacing w:after="0"/>
              <w:rPr>
                <w:sz w:val="11"/>
                <w:szCs w:val="11"/>
                <w:color w:val="auto"/>
              </w:rPr>
            </w:pPr>
          </w:p>
        </w:tc>
        <w:tc>
          <w:tcPr>
            <w:tcW w:w="1360" w:type="dxa"/>
            <w:vAlign w:val="bottom"/>
            <w:gridSpan w:val="2"/>
          </w:tcPr>
          <w:p>
            <w:pPr>
              <w:jc w:val="center"/>
              <w:spacing w:after="0" w:line="135" w:lineRule="exact"/>
              <w:rPr>
                <w:sz w:val="20"/>
                <w:szCs w:val="20"/>
                <w:color w:val="auto"/>
              </w:rPr>
            </w:pPr>
            <w:r>
              <w:rPr>
                <w:rFonts w:ascii="Arial" w:cs="Arial" w:eastAsia="Arial" w:hAnsi="Arial"/>
                <w:sz w:val="14"/>
                <w:szCs w:val="14"/>
                <w:color w:val="auto"/>
                <w:w w:val="86"/>
              </w:rPr>
              <w:t>Comcast</w:t>
            </w:r>
          </w:p>
        </w:tc>
        <w:tc>
          <w:tcPr>
            <w:tcW w:w="88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280" w:type="dxa"/>
            <w:vAlign w:val="bottom"/>
            <w:gridSpan w:val="2"/>
          </w:tcPr>
          <w:p>
            <w:pPr>
              <w:jc w:val="center"/>
              <w:ind w:right="36"/>
              <w:spacing w:after="0" w:line="135" w:lineRule="exact"/>
              <w:rPr>
                <w:sz w:val="20"/>
                <w:szCs w:val="20"/>
                <w:color w:val="auto"/>
              </w:rPr>
            </w:pPr>
            <w:r>
              <w:rPr>
                <w:rFonts w:ascii="Arial" w:cs="Arial" w:eastAsia="Arial" w:hAnsi="Arial"/>
                <w:sz w:val="14"/>
                <w:szCs w:val="14"/>
                <w:color w:val="auto"/>
                <w:w w:val="86"/>
              </w:rPr>
              <w:t>Comcast</w:t>
            </w:r>
          </w:p>
        </w:tc>
        <w:tc>
          <w:tcPr>
            <w:tcW w:w="920" w:type="dxa"/>
            <w:vAlign w:val="bottom"/>
          </w:tcPr>
          <w:p>
            <w:pPr>
              <w:spacing w:after="0"/>
              <w:rPr>
                <w:sz w:val="11"/>
                <w:szCs w:val="11"/>
                <w:color w:val="auto"/>
              </w:rPr>
            </w:pPr>
          </w:p>
        </w:tc>
        <w:tc>
          <w:tcPr>
            <w:tcW w:w="940" w:type="dxa"/>
            <w:vAlign w:val="bottom"/>
            <w:gridSpan w:val="2"/>
          </w:tcPr>
          <w:p>
            <w:pPr>
              <w:jc w:val="right"/>
              <w:ind w:right="92"/>
              <w:spacing w:after="0" w:line="135" w:lineRule="exact"/>
              <w:rPr>
                <w:sz w:val="20"/>
                <w:szCs w:val="20"/>
                <w:color w:val="auto"/>
              </w:rPr>
            </w:pPr>
            <w:r>
              <w:rPr>
                <w:rFonts w:ascii="Arial" w:cs="Arial" w:eastAsia="Arial" w:hAnsi="Arial"/>
                <w:sz w:val="14"/>
                <w:szCs w:val="14"/>
                <w:color w:val="auto"/>
              </w:rPr>
              <w:t>Per Share</w:t>
            </w:r>
          </w:p>
        </w:tc>
        <w:tc>
          <w:tcPr>
            <w:tcW w:w="0" w:type="dxa"/>
            <w:vAlign w:val="bottom"/>
          </w:tcPr>
          <w:p>
            <w:pPr>
              <w:spacing w:after="0"/>
              <w:rPr>
                <w:sz w:val="1"/>
                <w:szCs w:val="1"/>
                <w:color w:val="auto"/>
              </w:rPr>
            </w:pPr>
          </w:p>
        </w:tc>
      </w:tr>
      <w:tr>
        <w:trPr>
          <w:trHeight w:val="173"/>
        </w:trPr>
        <w:tc>
          <w:tcPr>
            <w:tcW w:w="4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 except per share data)</w:t>
            </w: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7"/>
              </w:rPr>
              <w:t>Corporation</w:t>
            </w:r>
          </w:p>
        </w:tc>
        <w:tc>
          <w:tcPr>
            <w:tcW w:w="8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Shares</w:t>
            </w:r>
          </w:p>
        </w:tc>
        <w:tc>
          <w:tcPr>
            <w:tcW w:w="108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4"/>
                <w:szCs w:val="14"/>
                <w:color w:val="auto"/>
              </w:rPr>
              <w:t>Amount</w:t>
            </w:r>
          </w:p>
        </w:tc>
        <w:tc>
          <w:tcPr>
            <w:tcW w:w="1280" w:type="dxa"/>
            <w:vAlign w:val="bottom"/>
            <w:tcBorders>
              <w:bottom w:val="single" w:sz="8" w:color="auto"/>
            </w:tcBorders>
            <w:gridSpan w:val="2"/>
          </w:tcPr>
          <w:p>
            <w:pPr>
              <w:jc w:val="center"/>
              <w:ind w:right="36"/>
              <w:spacing w:after="0"/>
              <w:rPr>
                <w:sz w:val="20"/>
                <w:szCs w:val="20"/>
                <w:color w:val="auto"/>
              </w:rPr>
            </w:pPr>
            <w:r>
              <w:rPr>
                <w:rFonts w:ascii="Arial" w:cs="Arial" w:eastAsia="Arial" w:hAnsi="Arial"/>
                <w:sz w:val="14"/>
                <w:szCs w:val="14"/>
                <w:color w:val="auto"/>
                <w:w w:val="87"/>
              </w:rPr>
              <w:t>Corporation</w:t>
            </w:r>
          </w:p>
        </w:tc>
        <w:tc>
          <w:tcPr>
            <w:tcW w:w="9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Shares</w:t>
            </w:r>
          </w:p>
        </w:tc>
        <w:tc>
          <w:tcPr>
            <w:tcW w:w="94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10"/>
        </w:trPr>
        <w:tc>
          <w:tcPr>
            <w:tcW w:w="4960" w:type="dxa"/>
            <w:vAlign w:val="bottom"/>
            <w:shd w:val="clear" w:color="auto" w:fill="E5E5E5"/>
          </w:tcPr>
          <w:p>
            <w:pPr>
              <w:spacing w:after="0"/>
              <w:rPr>
                <w:sz w:val="20"/>
                <w:szCs w:val="20"/>
                <w:color w:val="auto"/>
              </w:rPr>
            </w:pPr>
            <w:r>
              <w:rPr>
                <w:rFonts w:ascii="Arial" w:cs="Arial" w:eastAsia="Arial" w:hAnsi="Arial"/>
                <w:sz w:val="18"/>
                <w:szCs w:val="18"/>
                <w:color w:val="auto"/>
              </w:rPr>
              <w:t>Basic EPS attributable to Comcast Corporation shareholders</w:t>
            </w:r>
          </w:p>
        </w:tc>
        <w:tc>
          <w:tcPr>
            <w:tcW w:w="500" w:type="dxa"/>
            <w:vAlign w:val="bottom"/>
            <w:shd w:val="clear" w:color="auto" w:fill="E5E5E5"/>
          </w:tcPr>
          <w:p>
            <w:pPr>
              <w:jc w:val="right"/>
              <w:ind w:right="85"/>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216"/>
              <w:spacing w:after="0"/>
              <w:rPr>
                <w:sz w:val="20"/>
                <w:szCs w:val="20"/>
                <w:color w:val="auto"/>
              </w:rPr>
            </w:pPr>
            <w:r>
              <w:rPr>
                <w:rFonts w:ascii="Arial" w:cs="Arial" w:eastAsia="Arial" w:hAnsi="Arial"/>
                <w:sz w:val="18"/>
                <w:szCs w:val="18"/>
                <w:color w:val="auto"/>
              </w:rPr>
              <w:t>2,873</w:t>
            </w:r>
          </w:p>
        </w:tc>
        <w:tc>
          <w:tcPr>
            <w:tcW w:w="880" w:type="dxa"/>
            <w:vAlign w:val="bottom"/>
            <w:shd w:val="clear" w:color="auto" w:fill="E5E5E5"/>
          </w:tcPr>
          <w:p>
            <w:pPr>
              <w:jc w:val="right"/>
              <w:ind w:right="80"/>
              <w:spacing w:after="0"/>
              <w:rPr>
                <w:sz w:val="20"/>
                <w:szCs w:val="20"/>
                <w:color w:val="auto"/>
              </w:rPr>
            </w:pPr>
            <w:r>
              <w:rPr>
                <w:rFonts w:ascii="Arial" w:cs="Arial" w:eastAsia="Arial" w:hAnsi="Arial"/>
                <w:sz w:val="18"/>
                <w:szCs w:val="18"/>
                <w:color w:val="auto"/>
              </w:rPr>
              <w:t>2,757</w:t>
            </w:r>
          </w:p>
        </w:tc>
        <w:tc>
          <w:tcPr>
            <w:tcW w:w="520" w:type="dxa"/>
            <w:vAlign w:val="bottom"/>
            <w:shd w:val="clear" w:color="auto" w:fill="E5E5E5"/>
          </w:tcPr>
          <w:p>
            <w:pPr>
              <w:jc w:val="right"/>
              <w:ind w:right="144"/>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96"/>
              </w:rPr>
              <w:t>1.04</w:t>
            </w:r>
          </w:p>
        </w:tc>
        <w:tc>
          <w:tcPr>
            <w:tcW w:w="420" w:type="dxa"/>
            <w:vAlign w:val="bottom"/>
            <w:shd w:val="clear" w:color="auto" w:fill="E5E5E5"/>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216"/>
              <w:spacing w:after="0"/>
              <w:rPr>
                <w:sz w:val="20"/>
                <w:szCs w:val="20"/>
                <w:color w:val="auto"/>
              </w:rPr>
            </w:pPr>
            <w:r>
              <w:rPr>
                <w:rFonts w:ascii="Arial" w:cs="Arial" w:eastAsia="Arial" w:hAnsi="Arial"/>
                <w:sz w:val="18"/>
                <w:szCs w:val="18"/>
                <w:color w:val="auto"/>
              </w:rPr>
              <w:t>2,617</w:t>
            </w:r>
          </w:p>
        </w:tc>
        <w:tc>
          <w:tcPr>
            <w:tcW w:w="920" w:type="dxa"/>
            <w:vAlign w:val="bottom"/>
            <w:shd w:val="clear" w:color="auto" w:fill="E5E5E5"/>
          </w:tcPr>
          <w:p>
            <w:pPr>
              <w:jc w:val="right"/>
              <w:ind w:right="120"/>
              <w:spacing w:after="0"/>
              <w:rPr>
                <w:sz w:val="20"/>
                <w:szCs w:val="20"/>
                <w:color w:val="auto"/>
              </w:rPr>
            </w:pPr>
            <w:r>
              <w:rPr>
                <w:rFonts w:ascii="Arial" w:cs="Arial" w:eastAsia="Arial" w:hAnsi="Arial"/>
                <w:sz w:val="18"/>
                <w:szCs w:val="18"/>
                <w:color w:val="auto"/>
              </w:rPr>
              <w:t>2,816</w:t>
            </w:r>
          </w:p>
        </w:tc>
        <w:tc>
          <w:tcPr>
            <w:tcW w:w="480" w:type="dxa"/>
            <w:vAlign w:val="bottom"/>
            <w:shd w:val="clear" w:color="auto" w:fill="E5E5E5"/>
          </w:tcPr>
          <w:p>
            <w:pPr>
              <w:jc w:val="right"/>
              <w:ind w:right="142"/>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96"/>
              </w:rPr>
              <w:t>0.93</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w w:val="89"/>
              </w:rPr>
              <w:t>Assumed exercise or issuance of shares relating to stock plans</w:t>
            </w:r>
          </w:p>
        </w:tc>
        <w:tc>
          <w:tcPr>
            <w:tcW w:w="50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80"/>
              <w:spacing w:after="0"/>
              <w:rPr>
                <w:sz w:val="20"/>
                <w:szCs w:val="20"/>
                <w:color w:val="auto"/>
              </w:rPr>
            </w:pPr>
            <w:r>
              <w:rPr>
                <w:rFonts w:ascii="Arial" w:cs="Arial" w:eastAsia="Arial" w:hAnsi="Arial"/>
                <w:sz w:val="18"/>
                <w:szCs w:val="18"/>
                <w:color w:val="auto"/>
              </w:rPr>
              <w:t>32</w:t>
            </w:r>
          </w:p>
        </w:tc>
        <w:tc>
          <w:tcPr>
            <w:tcW w:w="52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jc w:val="right"/>
              <w:ind w:right="120"/>
              <w:spacing w:after="0"/>
              <w:rPr>
                <w:sz w:val="20"/>
                <w:szCs w:val="20"/>
                <w:color w:val="auto"/>
              </w:rPr>
            </w:pPr>
            <w:r>
              <w:rPr>
                <w:rFonts w:ascii="Arial" w:cs="Arial" w:eastAsia="Arial" w:hAnsi="Arial"/>
                <w:sz w:val="18"/>
                <w:szCs w:val="18"/>
                <w:color w:val="auto"/>
              </w:rPr>
              <w:t>10</w:t>
            </w:r>
          </w:p>
        </w:tc>
        <w:tc>
          <w:tcPr>
            <w:tcW w:w="48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Diluted EPS attributable to Comcast Corporation shareholders</w:t>
            </w:r>
          </w:p>
        </w:tc>
        <w:tc>
          <w:tcPr>
            <w:tcW w:w="500" w:type="dxa"/>
            <w:vAlign w:val="bottom"/>
            <w:tcBorders>
              <w:bottom w:val="single" w:sz="8" w:color="auto"/>
            </w:tcBorders>
          </w:tcPr>
          <w:p>
            <w:pPr>
              <w:jc w:val="right"/>
              <w:ind w:right="85"/>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b w:val="1"/>
                <w:bCs w:val="1"/>
                <w:color w:val="auto"/>
              </w:rPr>
              <w:t>2,873</w:t>
            </w: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8"/>
                <w:szCs w:val="18"/>
                <w:b w:val="1"/>
                <w:bCs w:val="1"/>
                <w:color w:val="auto"/>
              </w:rPr>
              <w:t>2,789</w:t>
            </w:r>
          </w:p>
        </w:tc>
        <w:tc>
          <w:tcPr>
            <w:tcW w:w="520" w:type="dxa"/>
            <w:vAlign w:val="bottom"/>
            <w:tcBorders>
              <w:bottom w:val="single" w:sz="8" w:color="auto"/>
            </w:tcBorders>
          </w:tcPr>
          <w:p>
            <w:pPr>
              <w:jc w:val="right"/>
              <w:ind w:right="144"/>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6"/>
              </w:rPr>
              <w:t>1.03</w:t>
            </w:r>
          </w:p>
        </w:tc>
        <w:tc>
          <w:tcPr>
            <w:tcW w:w="420" w:type="dxa"/>
            <w:vAlign w:val="bottom"/>
            <w:tcBorders>
              <w:bottom w:val="single" w:sz="8" w:color="auto"/>
            </w:tcBorders>
          </w:tcPr>
          <w:p>
            <w:pPr>
              <w:jc w:val="right"/>
              <w:ind w:right="65"/>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b w:val="1"/>
                <w:bCs w:val="1"/>
                <w:color w:val="auto"/>
              </w:rPr>
              <w:t>2,617</w:t>
            </w:r>
          </w:p>
        </w:tc>
        <w:tc>
          <w:tcPr>
            <w:tcW w:w="920" w:type="dxa"/>
            <w:vAlign w:val="bottom"/>
            <w:tcBorders>
              <w:bottom w:val="single" w:sz="8" w:color="auto"/>
            </w:tcBorders>
          </w:tcPr>
          <w:p>
            <w:pPr>
              <w:jc w:val="right"/>
              <w:ind w:right="120"/>
              <w:spacing w:after="0"/>
              <w:rPr>
                <w:sz w:val="20"/>
                <w:szCs w:val="20"/>
                <w:color w:val="auto"/>
              </w:rPr>
            </w:pPr>
            <w:r>
              <w:rPr>
                <w:rFonts w:ascii="Arial" w:cs="Arial" w:eastAsia="Arial" w:hAnsi="Arial"/>
                <w:sz w:val="18"/>
                <w:szCs w:val="18"/>
                <w:b w:val="1"/>
                <w:bCs w:val="1"/>
                <w:color w:val="auto"/>
              </w:rPr>
              <w:t>2,826</w:t>
            </w:r>
          </w:p>
        </w:tc>
        <w:tc>
          <w:tcPr>
            <w:tcW w:w="480" w:type="dxa"/>
            <w:vAlign w:val="bottom"/>
            <w:tcBorders>
              <w:bottom w:val="single" w:sz="8" w:color="auto"/>
            </w:tcBorders>
          </w:tcPr>
          <w:p>
            <w:pPr>
              <w:jc w:val="right"/>
              <w:ind w:right="142"/>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6"/>
              </w:rPr>
              <w:t>0.93</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Acquisitions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Transaction</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 January 28, 2011, we closed our transaction with GE to form a new company named NBCUniversal, LLC (“NBCUniversal Holdings”). We now control and own 51% of NBCUniversal Holdings and GE owns the remaining 49%. As part of the NBCUniversal transaction, GE contributed the businesses of NBCUniversal, which is now a wholly owned subsidiary of NBCUniversal Holdings. The NBCUniversal contributed businesses include its national cable programming networks, the NBC network and its owned NBC affiliated local television stations, the Telemundo network and its owned Telemundo affiliated local television stations, Universal Pictures, the Universal Studios Hollywood theme park, and other investments and related assets. We contributed our national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cable programming networks, our regional sports and news networks, certain of our Internet businesses, including DailyCandy and Fandango, and other related assets (the “Comcast Content Business”). The combination of these businesses creates a leading media and entertainment company capable of providing entertainment, news, sports and other content to a global audience across many platforms. In addition to contributing the Comcast Content Business, we made a cash payment to GE of $6.2 billion, which included transaction-related costs. We expect to receive tax benefits related to the transaction and have agreed to share with GE certain of these future tax benefits as they are realized.</w:t>
      </w:r>
    </w:p>
    <w:p>
      <w:pPr>
        <w:spacing w:after="0" w:line="21"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In connection with the NBCUniversal transaction, during 2010 NBCUniversal issued $9.1 billion of senior debt securities with maturities ranging from 2014 to 2041 and repaid approximately $1.7 billion of existing debt. Prior to the close, NBCUniversal made a cash distribution of approximately $7.4 billion to GE.</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Under the terms of the operating agreement of NBCUniversal Holdings, during the six month period beginning July 28, 2014, GE has the right to cause NBCUniversal Holdings to redeem, in cash, half of GE’s interest in NBCUniversal Holdings, and we would have the immediate right to purchase the remainder of GE’s interest. If, however, we elect not to exercise this right, during the six month period beginning January 28, 2018, GE has the right to cause NBCUniversal Holdings to redeem GE’s remaining interest, if any. If GE does not exercise its first redemption right, during the six month period beginning January 28, 2016, we have the right to purchase half of GE’s interest in NBCUniversal Holdings, and during the six month period beginning January 28, 2019, we have the right to purchase GE’s remaining interest, if any, in NBCUniversal Holdings. The purchase price to be paid in connection with any purchase or redemption described in this paragraph will be equal to the ownership percentage being acquired multiplied by an amount equal to 120% of the fully distributed public market trading value of NBCUniversal Holdings (determined pursuant to an appraisal process if NBCUniversal Holdings is not then publicly traded), less 50% of an amount (not less than zero) equal to the excess of 120% of the fully distributed public market trading value over $28.4 billion. Subject to various limitations, we are committed to fund up to $2.875 billion in cash or our common stock for each of the two redemptions (up to an aggregate of $5.75 billion) to the extent NBCUniversal Holdings cannot fund the redemptions, with amounts not used in the first redemption to be available for the second redemption.</w:t>
      </w:r>
    </w:p>
    <w:p>
      <w:pPr>
        <w:spacing w:after="0" w:line="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Until July 28, 2014, GE may not directly or indirectly transfer its interest in NBCUniversal Holdings. Thereafter, GE may transfer its interest to a third party, subject to our right of first offer. The right of first offer would permit us to purchase all, but not less than all, of the interests proposed to be transferred. In the event that GE makes a registration request in accordance with certain registration rights that are granted to it under the operating agreement, we will have the right to purchase, for cash at the market value (determined pursuant to an appraisal process if NBCUniversal Holdings is not then publicly traded), all of GE’s interest in NBCUniversal Holdings that GE is seeking to register.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Preliminary Allocation of Purchase Price</w:t>
      </w:r>
    </w:p>
    <w:p>
      <w:pPr>
        <w:spacing w:after="0" w:line="7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Because we now control NBCUniversal Holdings, we have applied acquisition accounting to the NBCUniversal contributed businesses and their results of operations are included in our consolidated results of operations following the acquisition date. The net assets of the NBCUniversal contributed businesses were recorded at their estimated fair value using Level 3 inputs (see Note 10 for an explanation of Level 3 inputs). In valuing acquired assets and liabilities, fair value estimates are based on, but are not limited to, future expected cash flows, market rate assumptions for contractual obligations, actuarial assumptions for benefit plans and appropriate discount rates. The Comcast Content Business continues at its historical or carry-over basis. GE’s interest in NBCUniversal Holdings is recorded as a redeemable noncontrolling interest in our consolidated financial statements due to the redemption provisions outlined above. GE’s redeemable noncontrolling interest has been recorded at fair value for the portion attributable to the net assets we acquired, and at historical cost for the portion attributable to the Comcast Content Business. The estimated values are not yet final and are subject to change. We will finalize the amounts recognized as we obtain the information necessary to complete the analysis, but no later than one year from the acquisition date.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tables below present the preliminary fair value of the consideration transferred and the preliminary allocation of purchase price to the assets and liabilities of the NBCUniversal businesses acquired as a result of the NBCUniversal transaction. We have revised our estimates in the current quarter, which resulted in a decrease in goodwill of $1 billion from our initial allocation of purchase price. The changes related primarily to revisions in the estimated fair value of investments, property and equipment, and intangible assets.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Consideration Transferred</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90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Cash</w:t>
            </w:r>
          </w:p>
        </w:tc>
        <w:tc>
          <w:tcPr>
            <w:tcW w:w="17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6,120</w:t>
            </w: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Fair value of 49% of the Comcast Content Business</w:t>
            </w:r>
          </w:p>
        </w:tc>
        <w:tc>
          <w:tcPr>
            <w:tcW w:w="178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4,301</w:t>
            </w:r>
          </w:p>
        </w:tc>
      </w:tr>
      <w:tr>
        <w:trPr>
          <w:trHeight w:val="216"/>
        </w:trPr>
        <w:tc>
          <w:tcPr>
            <w:tcW w:w="20" w:type="dxa"/>
            <w:vAlign w:val="bottom"/>
          </w:tcPr>
          <w:p>
            <w:pPr>
              <w:spacing w:after="0"/>
              <w:rPr>
                <w:sz w:val="18"/>
                <w:szCs w:val="18"/>
                <w:color w:val="auto"/>
              </w:rPr>
            </w:pPr>
          </w:p>
        </w:tc>
        <w:tc>
          <w:tcPr>
            <w:tcW w:w="9040" w:type="dxa"/>
            <w:vAlign w:val="bottom"/>
            <w:shd w:val="clear" w:color="auto" w:fill="E5E5E5"/>
          </w:tcPr>
          <w:p>
            <w:pPr>
              <w:spacing w:after="0"/>
              <w:rPr>
                <w:sz w:val="20"/>
                <w:szCs w:val="20"/>
                <w:color w:val="auto"/>
              </w:rPr>
            </w:pPr>
            <w:r>
              <w:rPr>
                <w:rFonts w:ascii="Arial" w:cs="Arial" w:eastAsia="Arial" w:hAnsi="Arial"/>
                <w:sz w:val="18"/>
                <w:szCs w:val="18"/>
                <w:color w:val="auto"/>
              </w:rPr>
              <w:t>Fair value of contingent consideration</w:t>
            </w:r>
          </w:p>
        </w:tc>
        <w:tc>
          <w:tcPr>
            <w:tcW w:w="17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590</w:t>
            </w:r>
          </w:p>
        </w:tc>
      </w:tr>
      <w:tr>
        <w:trPr>
          <w:trHeight w:val="216"/>
        </w:trPr>
        <w:tc>
          <w:tcPr>
            <w:tcW w:w="20" w:type="dxa"/>
            <w:vAlign w:val="bottom"/>
          </w:tcPr>
          <w:p>
            <w:pPr>
              <w:spacing w:after="0"/>
              <w:rPr>
                <w:sz w:val="18"/>
                <w:szCs w:val="18"/>
                <w:color w:val="auto"/>
              </w:rPr>
            </w:pPr>
          </w:p>
        </w:tc>
        <w:tc>
          <w:tcPr>
            <w:tcW w:w="9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Fair value of redeemable noncontrolling interest associated with net assets acquired</w:t>
            </w:r>
          </w:p>
        </w:tc>
        <w:tc>
          <w:tcPr>
            <w:tcW w:w="17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3"/>
              </w:rPr>
              <w:t>13,065</w:t>
            </w:r>
          </w:p>
        </w:tc>
      </w:tr>
      <w:tr>
        <w:trPr>
          <w:trHeight w:val="217"/>
        </w:trPr>
        <w:tc>
          <w:tcPr>
            <w:tcW w:w="20" w:type="dxa"/>
            <w:vAlign w:val="bottom"/>
          </w:tcPr>
          <w:p>
            <w:pPr>
              <w:spacing w:after="0"/>
              <w:rPr>
                <w:sz w:val="18"/>
                <w:szCs w:val="18"/>
                <w:color w:val="auto"/>
              </w:rPr>
            </w:pPr>
          </w:p>
        </w:tc>
        <w:tc>
          <w:tcPr>
            <w:tcW w:w="9040" w:type="dxa"/>
            <w:vAlign w:val="bottom"/>
            <w:tcBorders>
              <w:bottom w:val="single" w:sz="8" w:color="auto"/>
            </w:tcBorders>
            <w:shd w:val="clear" w:color="auto" w:fill="E5E5E5"/>
          </w:tcPr>
          <w:p>
            <w:pPr>
              <w:spacing w:after="0"/>
              <w:rPr>
                <w:sz w:val="18"/>
                <w:szCs w:val="18"/>
                <w:color w:val="auto"/>
              </w:rPr>
            </w:pPr>
          </w:p>
        </w:tc>
        <w:tc>
          <w:tcPr>
            <w:tcW w:w="17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w w:val="83"/>
              </w:rPr>
              <w:t>24,076</w:t>
            </w:r>
          </w:p>
        </w:tc>
      </w:tr>
      <w:tr>
        <w:trPr>
          <w:trHeight w:val="403"/>
        </w:trPr>
        <w:tc>
          <w:tcPr>
            <w:tcW w:w="20" w:type="dxa"/>
            <w:vAlign w:val="bottom"/>
          </w:tcPr>
          <w:p>
            <w:pPr>
              <w:spacing w:after="0"/>
              <w:rPr>
                <w:sz w:val="24"/>
                <w:szCs w:val="24"/>
                <w:color w:val="auto"/>
              </w:rPr>
            </w:pPr>
          </w:p>
        </w:tc>
        <w:tc>
          <w:tcPr>
            <w:tcW w:w="9040" w:type="dxa"/>
            <w:vAlign w:val="bottom"/>
          </w:tcPr>
          <w:p>
            <w:pPr>
              <w:ind w:left="4000"/>
              <w:spacing w:after="0"/>
              <w:rPr>
                <w:sz w:val="20"/>
                <w:szCs w:val="20"/>
                <w:color w:val="auto"/>
              </w:rPr>
            </w:pPr>
            <w:r>
              <w:rPr>
                <w:rFonts w:ascii="Arial" w:cs="Arial" w:eastAsia="Arial" w:hAnsi="Arial"/>
                <w:sz w:val="18"/>
                <w:szCs w:val="18"/>
                <w:b w:val="1"/>
                <w:bCs w:val="1"/>
                <w:color w:val="auto"/>
              </w:rPr>
              <w:t>Preliminary Allocation of Purchase Price</w:t>
            </w:r>
          </w:p>
        </w:tc>
        <w:tc>
          <w:tcPr>
            <w:tcW w:w="17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67"/>
        </w:trPr>
        <w:tc>
          <w:tcPr>
            <w:tcW w:w="90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7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90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Film and television costs (see Note 5)</w:t>
            </w:r>
          </w:p>
        </w:tc>
        <w:tc>
          <w:tcPr>
            <w:tcW w:w="17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5,040</w:t>
            </w: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Investments (see Note 6)</w:t>
            </w:r>
          </w:p>
        </w:tc>
        <w:tc>
          <w:tcPr>
            <w:tcW w:w="178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4,254</w:t>
            </w:r>
          </w:p>
        </w:tc>
      </w:tr>
      <w:tr>
        <w:trPr>
          <w:trHeight w:val="216"/>
        </w:trPr>
        <w:tc>
          <w:tcPr>
            <w:tcW w:w="20" w:type="dxa"/>
            <w:vAlign w:val="bottom"/>
          </w:tcPr>
          <w:p>
            <w:pPr>
              <w:spacing w:after="0"/>
              <w:rPr>
                <w:sz w:val="18"/>
                <w:szCs w:val="18"/>
                <w:color w:val="auto"/>
              </w:rPr>
            </w:pPr>
          </w:p>
        </w:tc>
        <w:tc>
          <w:tcPr>
            <w:tcW w:w="904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(see Note 14)</w:t>
            </w:r>
          </w:p>
        </w:tc>
        <w:tc>
          <w:tcPr>
            <w:tcW w:w="17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2,324</w:t>
            </w: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Intangible assets (see Note 7)</w:t>
            </w:r>
          </w:p>
        </w:tc>
        <w:tc>
          <w:tcPr>
            <w:tcW w:w="2360" w:type="dxa"/>
            <w:vAlign w:val="bottom"/>
            <w:gridSpan w:val="2"/>
          </w:tcPr>
          <w:p>
            <w:pPr>
              <w:jc w:val="right"/>
              <w:ind w:right="12"/>
              <w:spacing w:after="0"/>
              <w:rPr>
                <w:sz w:val="20"/>
                <w:szCs w:val="20"/>
                <w:color w:val="auto"/>
              </w:rPr>
            </w:pPr>
            <w:r>
              <w:rPr>
                <w:rFonts w:ascii="Arial" w:cs="Arial" w:eastAsia="Arial" w:hAnsi="Arial"/>
                <w:sz w:val="18"/>
                <w:szCs w:val="18"/>
                <w:color w:val="auto"/>
              </w:rPr>
              <w:t>14,595</w:t>
            </w:r>
          </w:p>
        </w:tc>
      </w:tr>
      <w:tr>
        <w:trPr>
          <w:trHeight w:val="216"/>
        </w:trPr>
        <w:tc>
          <w:tcPr>
            <w:tcW w:w="20" w:type="dxa"/>
            <w:vAlign w:val="bottom"/>
          </w:tcPr>
          <w:p>
            <w:pPr>
              <w:spacing w:after="0"/>
              <w:rPr>
                <w:sz w:val="18"/>
                <w:szCs w:val="18"/>
                <w:color w:val="auto"/>
              </w:rPr>
            </w:pPr>
          </w:p>
        </w:tc>
        <w:tc>
          <w:tcPr>
            <w:tcW w:w="9040" w:type="dxa"/>
            <w:vAlign w:val="bottom"/>
            <w:shd w:val="clear" w:color="auto" w:fill="E5E5E5"/>
          </w:tcPr>
          <w:p>
            <w:pPr>
              <w:spacing w:after="0"/>
              <w:rPr>
                <w:sz w:val="20"/>
                <w:szCs w:val="20"/>
                <w:color w:val="auto"/>
              </w:rPr>
            </w:pPr>
            <w:r>
              <w:rPr>
                <w:rFonts w:ascii="Arial" w:cs="Arial" w:eastAsia="Arial" w:hAnsi="Arial"/>
                <w:sz w:val="18"/>
                <w:szCs w:val="18"/>
                <w:color w:val="auto"/>
              </w:rPr>
              <w:t>Working capital</w:t>
            </w:r>
          </w:p>
        </w:tc>
        <w:tc>
          <w:tcPr>
            <w:tcW w:w="178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1"/>
              </w:rPr>
              <w:t>(1,742)</w:t>
            </w: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Long-term debt (see Note 8)</w:t>
            </w:r>
          </w:p>
        </w:tc>
        <w:tc>
          <w:tcPr>
            <w:tcW w:w="17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(9,115)</w:t>
            </w:r>
          </w:p>
        </w:tc>
      </w:tr>
      <w:tr>
        <w:trPr>
          <w:trHeight w:val="216"/>
        </w:trPr>
        <w:tc>
          <w:tcPr>
            <w:tcW w:w="20" w:type="dxa"/>
            <w:vAlign w:val="bottom"/>
          </w:tcPr>
          <w:p>
            <w:pPr>
              <w:spacing w:after="0"/>
              <w:rPr>
                <w:sz w:val="18"/>
                <w:szCs w:val="18"/>
                <w:color w:val="auto"/>
              </w:rPr>
            </w:pPr>
          </w:p>
        </w:tc>
        <w:tc>
          <w:tcPr>
            <w:tcW w:w="9040" w:type="dxa"/>
            <w:vAlign w:val="bottom"/>
            <w:shd w:val="clear" w:color="auto" w:fill="E5E5E5"/>
          </w:tcPr>
          <w:p>
            <w:pPr>
              <w:spacing w:after="0"/>
              <w:rPr>
                <w:sz w:val="20"/>
                <w:szCs w:val="20"/>
                <w:color w:val="auto"/>
              </w:rPr>
            </w:pPr>
            <w:r>
              <w:rPr>
                <w:rFonts w:ascii="Arial" w:cs="Arial" w:eastAsia="Arial" w:hAnsi="Arial"/>
                <w:sz w:val="18"/>
                <w:szCs w:val="18"/>
                <w:color w:val="auto"/>
              </w:rPr>
              <w:t>Deferred income tax liabilities</w:t>
            </w:r>
          </w:p>
        </w:tc>
        <w:tc>
          <w:tcPr>
            <w:tcW w:w="178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Other noncurrent assets and liabilities</w:t>
            </w:r>
          </w:p>
        </w:tc>
        <w:tc>
          <w:tcPr>
            <w:tcW w:w="17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(2,005)</w:t>
            </w:r>
          </w:p>
        </w:tc>
      </w:tr>
      <w:tr>
        <w:trPr>
          <w:trHeight w:val="216"/>
        </w:trPr>
        <w:tc>
          <w:tcPr>
            <w:tcW w:w="20" w:type="dxa"/>
            <w:vAlign w:val="bottom"/>
          </w:tcPr>
          <w:p>
            <w:pPr>
              <w:spacing w:after="0"/>
              <w:rPr>
                <w:sz w:val="18"/>
                <w:szCs w:val="18"/>
                <w:color w:val="auto"/>
              </w:rPr>
            </w:pPr>
          </w:p>
        </w:tc>
        <w:tc>
          <w:tcPr>
            <w:tcW w:w="90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Noncontrolling interests acquired</w:t>
            </w:r>
          </w:p>
        </w:tc>
        <w:tc>
          <w:tcPr>
            <w:tcW w:w="17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(211)</w:t>
            </w:r>
          </w:p>
        </w:tc>
      </w:tr>
      <w:tr>
        <w:trPr>
          <w:trHeight w:val="210"/>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Fair value of identifiable net assets acquired</w:t>
            </w:r>
          </w:p>
        </w:tc>
        <w:tc>
          <w:tcPr>
            <w:tcW w:w="2360" w:type="dxa"/>
            <w:vAlign w:val="bottom"/>
            <w:gridSpan w:val="2"/>
          </w:tcPr>
          <w:p>
            <w:pPr>
              <w:jc w:val="right"/>
              <w:ind w:right="12"/>
              <w:spacing w:after="0"/>
              <w:rPr>
                <w:sz w:val="20"/>
                <w:szCs w:val="20"/>
                <w:color w:val="auto"/>
              </w:rPr>
            </w:pPr>
            <w:r>
              <w:rPr>
                <w:rFonts w:ascii="Arial" w:cs="Arial" w:eastAsia="Arial" w:hAnsi="Arial"/>
                <w:sz w:val="18"/>
                <w:szCs w:val="18"/>
                <w:color w:val="auto"/>
              </w:rPr>
              <w:t>13,109</w:t>
            </w:r>
          </w:p>
        </w:tc>
      </w:tr>
      <w:tr>
        <w:trPr>
          <w:trHeight w:val="216"/>
        </w:trPr>
        <w:tc>
          <w:tcPr>
            <w:tcW w:w="20" w:type="dxa"/>
            <w:vAlign w:val="bottom"/>
          </w:tcPr>
          <w:p>
            <w:pPr>
              <w:spacing w:after="0"/>
              <w:rPr>
                <w:sz w:val="18"/>
                <w:szCs w:val="18"/>
                <w:color w:val="auto"/>
              </w:rPr>
            </w:pPr>
          </w:p>
        </w:tc>
        <w:tc>
          <w:tcPr>
            <w:tcW w:w="90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Goodwill</w:t>
            </w:r>
          </w:p>
        </w:tc>
        <w:tc>
          <w:tcPr>
            <w:tcW w:w="2360" w:type="dxa"/>
            <w:vAlign w:val="bottom"/>
            <w:tcBorders>
              <w:bottom w:val="single" w:sz="8" w:color="auto"/>
            </w:tcBorders>
            <w:gridSpan w:val="2"/>
            <w:shd w:val="clear" w:color="auto" w:fill="E5E5E5"/>
          </w:tcPr>
          <w:p>
            <w:pPr>
              <w:jc w:val="right"/>
              <w:ind w:right="12"/>
              <w:spacing w:after="0"/>
              <w:rPr>
                <w:sz w:val="20"/>
                <w:szCs w:val="20"/>
                <w:color w:val="auto"/>
              </w:rPr>
            </w:pPr>
            <w:r>
              <w:rPr>
                <w:rFonts w:ascii="Arial" w:cs="Arial" w:eastAsia="Arial" w:hAnsi="Arial"/>
                <w:sz w:val="18"/>
                <w:szCs w:val="18"/>
                <w:color w:val="auto"/>
              </w:rPr>
              <w:t>10,967</w:t>
            </w:r>
          </w:p>
        </w:tc>
      </w:tr>
      <w:tr>
        <w:trPr>
          <w:trHeight w:val="217"/>
        </w:trPr>
        <w:tc>
          <w:tcPr>
            <w:tcW w:w="20" w:type="dxa"/>
            <w:vAlign w:val="bottom"/>
          </w:tcPr>
          <w:p>
            <w:pPr>
              <w:spacing w:after="0"/>
              <w:rPr>
                <w:sz w:val="18"/>
                <w:szCs w:val="18"/>
                <w:color w:val="auto"/>
              </w:rPr>
            </w:pPr>
          </w:p>
        </w:tc>
        <w:tc>
          <w:tcPr>
            <w:tcW w:w="90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color w:val="auto"/>
              </w:rPr>
              <w:t>$24,076</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responsible for the tax matters for both NBCUniversal Holdings and NBCUniversal, including the filing of returns and the administering of any proceedings with taxing authorities. For U.S. federal income tax purposes, NBCUniversal Holdings is treated as a partnership and NBCUniversal is disregarded as an entity separate from NBCUniversal Holdings. Accordingly, neither NBCUniversal Holdings nor NBCUniversal and its subsidiaries will incur any material current or deferred U.S. federal income taxes. NBCUniversal Holdings and NBCUniversal and its subsidiaries are, however, expected to incur current and deferred income taxes in a limited number of states and localities. In addition, NBCUniversal’s foreign subsidiaries are expected to incur current and deferred foreign income taxes. GE has indemnified us and NBCUniversal Holdings for any income tax liability attributable to the historical NBCUniversal businesses for periods prior to the acquisition date. We have also indemnified GE and NBCUniversal Holdings for any income tax liability attributable to the Comcast Content Business for periods prior to the acquisition date.</w:t>
      </w:r>
    </w:p>
    <w:p>
      <w:pPr>
        <w:spacing w:after="0" w:line="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NBCUniversal recognized net deferred income tax liabilities of $31 million in the preliminary allocation of purchase price related primarily to acquired intangible assets in state and foreign jurisdictions. In addition, Comcast recognized $562 million of deferred tax liabilities in connection with GE acquiring an indirect noncontrolling interest in the Comcast Content Business in exchange for our acquisition of a portion of our interest in NBCUniversal Holdings. Because we maintained control of the Comcast Content Business, the excess of fair value received over historical carrying value and the related tax impact were recorded to additional paid-in capital.</w:t>
      </w:r>
    </w:p>
    <w:p>
      <w:pPr>
        <w:spacing w:after="0" w:line="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agreed to share with GE certain tax benefits as they are realized, related to the form and structure of the transaction. These payments to GE are contingent on us realizing tax benefits in the future and are accounted for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contingent consideration. We have recorded $590 million in other current and noncurrent liabilities in our acquisition accounting based on the present value of the expected future payments to GE.</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the close of the NBCUniversal transaction, our provision for income taxes includes a federal and state tax provision on our allocable share of the earnings of NBCUniversal Holdings and NBCUniversal, as well as the state, local and foreign tax provisions of NBCUniversal Holdings and NBCUniversal, adjusted for any foreign tax credits.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7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Goodwill is calculated as the excess of the consideration transferred over the identifiable net assets acquired and represents the future economic benefits expected to arise from other intangible assets acquired that do not qualify for separate recognition, including assembled workforce, noncontractual relationships and agreements between us and NBCUniversal. Because our allocation of purchase price and estimated values of identifiable assets and liabilities are not yet final, the amount of total goodwill and the amount of goodwill expected to be deductible for tax purposes are not yet final and are subject to change.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Transaction-Related Expenses</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incurred significant transaction costs directly related to the NBCUniversal transaction. The incremental expenses related to legal, accounting and valuation services and investment banking fees are included in operating costs and expenses. We also incurred certain financing costs and other shared costs with GE associated with NBCUniversal’s debt facilities that were entered into in December 2009 and with the issuance of NBCUniversal’s senior notes in 2010, which are included in other income (expense), net and interest expense.</w:t>
      </w:r>
    </w:p>
    <w:p>
      <w:pPr>
        <w:spacing w:after="0" w:line="4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addition, during the three and nine months ended September 30, 2011, NBCUniversal incurred transaction-related costs associated with severance and other related compensation charges, which are included in operating costs and expenses.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transaction costs and transaction-related costs included in our consolidated statement of income.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60" w:type="dxa"/>
            <w:vAlign w:val="bottom"/>
            <w:gridSpan w:val="3"/>
          </w:tcPr>
          <w:p>
            <w:pPr>
              <w:ind w:left="160"/>
              <w:spacing w:after="0"/>
              <w:rPr>
                <w:sz w:val="20"/>
                <w:szCs w:val="20"/>
                <w:color w:val="auto"/>
              </w:rPr>
            </w:pPr>
            <w:r>
              <w:rPr>
                <w:rFonts w:ascii="Arial" w:cs="Arial" w:eastAsia="Arial" w:hAnsi="Arial"/>
                <w:sz w:val="14"/>
                <w:szCs w:val="14"/>
                <w:color w:val="auto"/>
              </w:rPr>
              <w:t>Three Months Ended</w:t>
            </w:r>
          </w:p>
        </w:tc>
        <w:tc>
          <w:tcPr>
            <w:tcW w:w="420" w:type="dxa"/>
            <w:vAlign w:val="bottom"/>
          </w:tcPr>
          <w:p>
            <w:pPr>
              <w:spacing w:after="0"/>
              <w:rPr>
                <w:sz w:val="14"/>
                <w:szCs w:val="14"/>
                <w:color w:val="auto"/>
              </w:rPr>
            </w:pPr>
          </w:p>
        </w:tc>
        <w:tc>
          <w:tcPr>
            <w:tcW w:w="1520" w:type="dxa"/>
            <w:vAlign w:val="bottom"/>
            <w:gridSpan w:val="3"/>
          </w:tcPr>
          <w:p>
            <w:pPr>
              <w:jc w:val="right"/>
              <w:ind w:right="235"/>
              <w:spacing w:after="0"/>
              <w:rPr>
                <w:sz w:val="20"/>
                <w:szCs w:val="20"/>
                <w:color w:val="auto"/>
              </w:rPr>
            </w:pPr>
            <w:r>
              <w:rPr>
                <w:rFonts w:ascii="Arial" w:cs="Arial" w:eastAsia="Arial" w:hAnsi="Arial"/>
                <w:sz w:val="14"/>
                <w:szCs w:val="14"/>
                <w:color w:val="auto"/>
                <w:w w:val="95"/>
              </w:rPr>
              <w:t>Nine Months Ended</w:t>
            </w:r>
          </w:p>
        </w:tc>
        <w:tc>
          <w:tcPr>
            <w:tcW w:w="0" w:type="dxa"/>
            <w:vAlign w:val="bottom"/>
          </w:tcPr>
          <w:p>
            <w:pPr>
              <w:spacing w:after="0"/>
              <w:rPr>
                <w:sz w:val="1"/>
                <w:szCs w:val="1"/>
                <w:color w:val="auto"/>
              </w:rPr>
            </w:pPr>
          </w:p>
        </w:tc>
      </w:tr>
      <w:tr>
        <w:trPr>
          <w:trHeight w:val="159"/>
        </w:trPr>
        <w:tc>
          <w:tcPr>
            <w:tcW w:w="70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6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ind w:left="360"/>
              <w:spacing w:after="0" w:line="159" w:lineRule="exact"/>
              <w:rPr>
                <w:sz w:val="20"/>
                <w:szCs w:val="20"/>
                <w:color w:val="auto"/>
              </w:rPr>
            </w:pPr>
            <w:r>
              <w:rPr>
                <w:rFonts w:ascii="Arial" w:cs="Arial" w:eastAsia="Arial" w:hAnsi="Arial"/>
                <w:sz w:val="14"/>
                <w:szCs w:val="14"/>
                <w:color w:val="auto"/>
                <w:w w:val="86"/>
              </w:rPr>
              <w:t>September 30</w:t>
            </w:r>
          </w:p>
        </w:tc>
        <w:tc>
          <w:tcPr>
            <w:tcW w:w="7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ind w:right="415"/>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702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ind w:left="40"/>
              <w:spacing w:after="0" w:line="142" w:lineRule="exact"/>
              <w:rPr>
                <w:sz w:val="20"/>
                <w:szCs w:val="20"/>
                <w:color w:val="auto"/>
              </w:rPr>
            </w:pPr>
            <w:r>
              <w:rPr>
                <w:rFonts w:ascii="Arial" w:cs="Arial" w:eastAsia="Arial" w:hAnsi="Arial"/>
                <w:sz w:val="14"/>
                <w:szCs w:val="14"/>
                <w:color w:val="auto"/>
              </w:rPr>
              <w:t>2011</w:t>
            </w:r>
          </w:p>
        </w:tc>
        <w:tc>
          <w:tcPr>
            <w:tcW w:w="400" w:type="dxa"/>
            <w:vAlign w:val="bottom"/>
          </w:tcPr>
          <w:p>
            <w:pPr>
              <w:spacing w:after="0"/>
              <w:rPr>
                <w:sz w:val="12"/>
                <w:szCs w:val="12"/>
                <w:color w:val="auto"/>
              </w:rPr>
            </w:pPr>
          </w:p>
        </w:tc>
        <w:tc>
          <w:tcPr>
            <w:tcW w:w="720" w:type="dxa"/>
            <w:vAlign w:val="bottom"/>
          </w:tcPr>
          <w:p>
            <w:pPr>
              <w:jc w:val="right"/>
              <w:ind w:right="335"/>
              <w:spacing w:after="0" w:line="142" w:lineRule="exact"/>
              <w:rPr>
                <w:sz w:val="20"/>
                <w:szCs w:val="20"/>
                <w:color w:val="auto"/>
              </w:rPr>
            </w:pPr>
            <w:r>
              <w:rPr>
                <w:rFonts w:ascii="Arial" w:cs="Arial" w:eastAsia="Arial" w:hAnsi="Arial"/>
                <w:sz w:val="14"/>
                <w:szCs w:val="14"/>
                <w:color w:val="auto"/>
                <w:w w:val="89"/>
              </w:rPr>
              <w:t>2010</w:t>
            </w:r>
          </w:p>
        </w:tc>
        <w:tc>
          <w:tcPr>
            <w:tcW w:w="420" w:type="dxa"/>
            <w:vAlign w:val="bottom"/>
          </w:tcPr>
          <w:p>
            <w:pPr>
              <w:spacing w:after="0"/>
              <w:rPr>
                <w:sz w:val="12"/>
                <w:szCs w:val="12"/>
                <w:color w:val="auto"/>
              </w:rPr>
            </w:pPr>
          </w:p>
        </w:tc>
        <w:tc>
          <w:tcPr>
            <w:tcW w:w="580" w:type="dxa"/>
            <w:vAlign w:val="bottom"/>
          </w:tcPr>
          <w:p>
            <w:pPr>
              <w:jc w:val="right"/>
              <w:ind w:right="219"/>
              <w:spacing w:after="0" w:line="142" w:lineRule="exact"/>
              <w:rPr>
                <w:sz w:val="20"/>
                <w:szCs w:val="20"/>
                <w:color w:val="auto"/>
              </w:rPr>
            </w:pPr>
            <w:r>
              <w:rPr>
                <w:rFonts w:ascii="Arial" w:cs="Arial" w:eastAsia="Arial" w:hAnsi="Arial"/>
                <w:sz w:val="14"/>
                <w:szCs w:val="14"/>
                <w:color w:val="auto"/>
                <w:w w:val="83"/>
              </w:rPr>
              <w:t>2011</w:t>
            </w:r>
          </w:p>
        </w:tc>
        <w:tc>
          <w:tcPr>
            <w:tcW w:w="420" w:type="dxa"/>
            <w:vAlign w:val="bottom"/>
          </w:tcPr>
          <w:p>
            <w:pPr>
              <w:spacing w:after="0"/>
              <w:rPr>
                <w:sz w:val="12"/>
                <w:szCs w:val="12"/>
                <w:color w:val="auto"/>
              </w:rPr>
            </w:pPr>
          </w:p>
        </w:tc>
        <w:tc>
          <w:tcPr>
            <w:tcW w:w="520" w:type="dxa"/>
            <w:vAlign w:val="bottom"/>
          </w:tcPr>
          <w:p>
            <w:pPr>
              <w:jc w:val="right"/>
              <w:ind w:right="135"/>
              <w:spacing w:after="0" w:line="142" w:lineRule="exact"/>
              <w:rPr>
                <w:sz w:val="20"/>
                <w:szCs w:val="20"/>
                <w:color w:val="auto"/>
              </w:rPr>
            </w:pPr>
            <w:r>
              <w:rPr>
                <w:rFonts w:ascii="Arial" w:cs="Arial" w:eastAsia="Arial" w:hAnsi="Arial"/>
                <w:sz w:val="14"/>
                <w:szCs w:val="14"/>
                <w:color w:val="auto"/>
                <w:w w:val="89"/>
              </w:rPr>
              <w:t>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Operating costs and expenses</w:t>
            </w:r>
          </w:p>
        </w:tc>
        <w:tc>
          <w:tcPr>
            <w:tcW w:w="60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42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42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Transaction costs</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95"/>
              <w:spacing w:after="0"/>
              <w:rPr>
                <w:sz w:val="20"/>
                <w:szCs w:val="20"/>
                <w:color w:val="auto"/>
              </w:rPr>
            </w:pPr>
            <w:r>
              <w:rPr>
                <w:rFonts w:ascii="Arial" w:cs="Arial" w:eastAsia="Arial" w:hAnsi="Arial"/>
                <w:sz w:val="18"/>
                <w:szCs w:val="18"/>
                <w:color w:val="auto"/>
              </w:rPr>
              <w:t>21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99"/>
              <w:spacing w:after="0"/>
              <w:rPr>
                <w:sz w:val="20"/>
                <w:szCs w:val="20"/>
                <w:color w:val="auto"/>
              </w:rPr>
            </w:pPr>
            <w:r>
              <w:rPr>
                <w:rFonts w:ascii="Arial" w:cs="Arial" w:eastAsia="Arial" w:hAnsi="Arial"/>
                <w:sz w:val="18"/>
                <w:szCs w:val="18"/>
                <w:color w:val="auto"/>
              </w:rPr>
              <w:t>63</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5"/>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Transaction-related costs</w:t>
            </w:r>
          </w:p>
        </w:tc>
        <w:tc>
          <w:tcPr>
            <w:tcW w:w="6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14</w:t>
            </w:r>
          </w:p>
        </w:tc>
        <w:tc>
          <w:tcPr>
            <w:tcW w:w="4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99"/>
              <w:spacing w:after="0"/>
              <w:rPr>
                <w:sz w:val="20"/>
                <w:szCs w:val="20"/>
                <w:color w:val="auto"/>
              </w:rPr>
            </w:pPr>
            <w:r>
              <w:rPr>
                <w:rFonts w:ascii="Arial" w:cs="Arial" w:eastAsia="Arial" w:hAnsi="Arial"/>
                <w:sz w:val="18"/>
                <w:szCs w:val="18"/>
                <w:color w:val="auto"/>
              </w:rPr>
              <w:t>64</w:t>
            </w:r>
          </w:p>
        </w:tc>
        <w:tc>
          <w:tcPr>
            <w:tcW w:w="4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Total operating costs and expenses</w:t>
            </w:r>
          </w:p>
        </w:tc>
        <w:tc>
          <w:tcPr>
            <w:tcW w:w="600" w:type="dxa"/>
            <w:vAlign w:val="bottom"/>
          </w:tcPr>
          <w:p>
            <w:pPr>
              <w:spacing w:after="0"/>
              <w:rPr>
                <w:sz w:val="18"/>
                <w:szCs w:val="18"/>
                <w:color w:val="auto"/>
              </w:rPr>
            </w:pPr>
          </w:p>
        </w:tc>
        <w:tc>
          <w:tcPr>
            <w:tcW w:w="740" w:type="dxa"/>
            <w:vAlign w:val="bottom"/>
          </w:tcPr>
          <w:p>
            <w:pPr>
              <w:ind w:left="260"/>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8"/>
                <w:szCs w:val="18"/>
                <w:color w:val="auto"/>
              </w:rPr>
            </w:pPr>
          </w:p>
        </w:tc>
        <w:tc>
          <w:tcPr>
            <w:tcW w:w="720" w:type="dxa"/>
            <w:vAlign w:val="bottom"/>
          </w:tcPr>
          <w:p>
            <w:pPr>
              <w:jc w:val="right"/>
              <w:ind w:right="195"/>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18"/>
                <w:szCs w:val="18"/>
                <w:color w:val="auto"/>
              </w:rPr>
            </w:pPr>
          </w:p>
        </w:tc>
        <w:tc>
          <w:tcPr>
            <w:tcW w:w="580" w:type="dxa"/>
            <w:vAlign w:val="bottom"/>
          </w:tcPr>
          <w:p>
            <w:pPr>
              <w:jc w:val="right"/>
              <w:ind w:right="199"/>
              <w:spacing w:after="0"/>
              <w:rPr>
                <w:sz w:val="20"/>
                <w:szCs w:val="20"/>
                <w:color w:val="auto"/>
              </w:rPr>
            </w:pPr>
            <w:r>
              <w:rPr>
                <w:rFonts w:ascii="Arial" w:cs="Arial" w:eastAsia="Arial" w:hAnsi="Arial"/>
                <w:sz w:val="18"/>
                <w:szCs w:val="18"/>
                <w:color w:val="auto"/>
                <w:w w:val="93"/>
              </w:rPr>
              <w:t>127</w:t>
            </w:r>
          </w:p>
        </w:tc>
        <w:tc>
          <w:tcPr>
            <w:tcW w:w="420" w:type="dxa"/>
            <w:vAlign w:val="bottom"/>
          </w:tcPr>
          <w:p>
            <w:pPr>
              <w:spacing w:after="0"/>
              <w:rPr>
                <w:sz w:val="18"/>
                <w:szCs w:val="18"/>
                <w:color w:val="auto"/>
              </w:rPr>
            </w:pPr>
          </w:p>
        </w:tc>
        <w:tc>
          <w:tcPr>
            <w:tcW w:w="520" w:type="dxa"/>
            <w:vAlign w:val="bottom"/>
          </w:tcPr>
          <w:p>
            <w:pPr>
              <w:jc w:val="right"/>
              <w:ind w:right="15"/>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E5E5E5"/>
          </w:tcPr>
          <w:p>
            <w:pPr>
              <w:spacing w:after="0"/>
              <w:rPr>
                <w:sz w:val="20"/>
                <w:szCs w:val="20"/>
                <w:color w:val="auto"/>
              </w:rPr>
            </w:pPr>
            <w:r>
              <w:rPr>
                <w:rFonts w:ascii="Arial" w:cs="Arial" w:eastAsia="Arial" w:hAnsi="Arial"/>
                <w:sz w:val="18"/>
                <w:szCs w:val="18"/>
                <w:color w:val="auto"/>
              </w:rPr>
              <w:t>Other expense</w:t>
            </w:r>
          </w:p>
        </w:tc>
        <w:tc>
          <w:tcPr>
            <w:tcW w:w="600" w:type="dxa"/>
            <w:vAlign w:val="bottom"/>
            <w:shd w:val="clear" w:color="auto" w:fill="E5E5E5"/>
          </w:tcPr>
          <w:p>
            <w:pPr>
              <w:spacing w:after="0"/>
              <w:rPr>
                <w:sz w:val="18"/>
                <w:szCs w:val="18"/>
                <w:color w:val="auto"/>
              </w:rPr>
            </w:pPr>
          </w:p>
        </w:tc>
        <w:tc>
          <w:tcPr>
            <w:tcW w:w="74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43</w:t>
            </w:r>
          </w:p>
        </w:tc>
        <w:tc>
          <w:tcPr>
            <w:tcW w:w="4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99"/>
              <w:spacing w:after="0"/>
              <w:rPr>
                <w:sz w:val="20"/>
                <w:szCs w:val="20"/>
                <w:color w:val="auto"/>
              </w:rPr>
            </w:pPr>
            <w:r>
              <w:rPr>
                <w:rFonts w:ascii="Arial" w:cs="Arial" w:eastAsia="Arial" w:hAnsi="Arial"/>
                <w:sz w:val="18"/>
                <w:szCs w:val="18"/>
                <w:color w:val="auto"/>
              </w:rPr>
              <w:t>16</w:t>
            </w:r>
          </w:p>
        </w:tc>
        <w:tc>
          <w:tcPr>
            <w:tcW w:w="4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6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2</w:t>
            </w:r>
          </w:p>
        </w:tc>
        <w:tc>
          <w:tcPr>
            <w:tcW w:w="4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99"/>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b w:val="1"/>
                <w:bCs w:val="1"/>
                <w:color w:val="auto"/>
              </w:rPr>
              <w:t>14</w:t>
            </w: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b w:val="1"/>
                <w:bCs w:val="1"/>
                <w:color w:val="auto"/>
              </w:rPr>
              <w:t>66</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199"/>
              <w:spacing w:after="0"/>
              <w:rPr>
                <w:sz w:val="20"/>
                <w:szCs w:val="20"/>
                <w:color w:val="auto"/>
              </w:rPr>
            </w:pPr>
            <w:r>
              <w:rPr>
                <w:rFonts w:ascii="Arial" w:cs="Arial" w:eastAsia="Arial" w:hAnsi="Arial"/>
                <w:sz w:val="18"/>
                <w:szCs w:val="18"/>
                <w:b w:val="1"/>
                <w:bCs w:val="1"/>
                <w:color w:val="auto"/>
                <w:w w:val="93"/>
              </w:rPr>
              <w:t>143</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154</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City Development Partners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July 1, 2011, NBCUniversal acquired the remaining 50% equity interest in Universal City Development Partners, Ltd. (“UCDP”) that it did not already own for $1 billion. UCDP is now a wholly owned consolidated subsidiary of NBCUniversal whose operations are reported in our Theme Parks segment. NBCUniversal funded this acquisition with cash on hand, borrowings under its revolving credit facility and a $250 million one-year intercompany note due to us, which is eliminated in our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Preliminary Allocation of Purchase Price</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we now control UCDP, we have applied acquisition accounting and its results of operations are included in our consolidated results of operations following the acquisition date.</w:t>
      </w:r>
    </w:p>
    <w:p>
      <w:pPr>
        <w:spacing w:after="0" w:line="3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carrying value of our investment in UCDP on July 1, 2011 was $1 billion, which approximated its fair value and, therefore, no gain or loss was recognized as a result of the acquisition. The estimated fair values of the assets and liabilities acquired are not yet final and are subject to change. We will finalize the amounts recognized as we obtain the information necessary to complete the analysis, but no later than one year from the acquisition date.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preliminary allocation of purchase price to the assets and liabilities of UCDP.</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7860" w:type="dxa"/>
            <w:vAlign w:val="bottom"/>
          </w:tcPr>
          <w:p>
            <w:pPr>
              <w:jc w:val="right"/>
              <w:ind w:right="3932"/>
              <w:spacing w:after="0"/>
              <w:rPr>
                <w:sz w:val="20"/>
                <w:szCs w:val="20"/>
                <w:color w:val="auto"/>
              </w:rPr>
            </w:pPr>
            <w:r>
              <w:rPr>
                <w:rFonts w:ascii="Arial" w:cs="Arial" w:eastAsia="Arial" w:hAnsi="Arial"/>
                <w:sz w:val="18"/>
                <w:szCs w:val="18"/>
                <w:b w:val="1"/>
                <w:bCs w:val="1"/>
                <w:color w:val="auto"/>
              </w:rPr>
              <w:t>Preliminary Allocation of Purchase Price</w:t>
            </w:r>
          </w:p>
        </w:tc>
      </w:tr>
      <w:tr>
        <w:trPr>
          <w:trHeight w:val="299"/>
        </w:trPr>
        <w:tc>
          <w:tcPr>
            <w:tcW w:w="35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786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Property and equipment (see Note 14)</w:t>
            </w:r>
          </w:p>
        </w:tc>
        <w:tc>
          <w:tcPr>
            <w:tcW w:w="7860" w:type="dxa"/>
            <w:vAlign w:val="bottom"/>
            <w:tcBorders>
              <w:top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$ 2,441</w:t>
            </w: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Intangible assets (see Note 7)</w:t>
            </w:r>
          </w:p>
        </w:tc>
        <w:tc>
          <w:tcPr>
            <w:tcW w:w="7860" w:type="dxa"/>
            <w:vAlign w:val="bottom"/>
          </w:tcPr>
          <w:p>
            <w:pPr>
              <w:jc w:val="right"/>
              <w:ind w:right="12"/>
              <w:spacing w:after="0"/>
              <w:rPr>
                <w:sz w:val="20"/>
                <w:szCs w:val="20"/>
                <w:color w:val="auto"/>
              </w:rPr>
            </w:pPr>
            <w:r>
              <w:rPr>
                <w:rFonts w:ascii="Arial" w:cs="Arial" w:eastAsia="Arial" w:hAnsi="Arial"/>
                <w:sz w:val="18"/>
                <w:szCs w:val="18"/>
                <w:color w:val="auto"/>
              </w:rPr>
              <w:t>70</w:t>
            </w:r>
          </w:p>
        </w:tc>
      </w:tr>
      <w:tr>
        <w:trPr>
          <w:trHeight w:val="216"/>
        </w:trPr>
        <w:tc>
          <w:tcPr>
            <w:tcW w:w="20" w:type="dxa"/>
            <w:vAlign w:val="bottom"/>
          </w:tcPr>
          <w:p>
            <w:pPr>
              <w:spacing w:after="0"/>
              <w:rPr>
                <w:sz w:val="18"/>
                <w:szCs w:val="18"/>
                <w:color w:val="auto"/>
              </w:rPr>
            </w:pPr>
          </w:p>
        </w:tc>
        <w:tc>
          <w:tcPr>
            <w:tcW w:w="3540" w:type="dxa"/>
            <w:vAlign w:val="bottom"/>
            <w:shd w:val="clear" w:color="auto" w:fill="E5E5E5"/>
          </w:tcPr>
          <w:p>
            <w:pPr>
              <w:spacing w:after="0"/>
              <w:rPr>
                <w:sz w:val="20"/>
                <w:szCs w:val="20"/>
                <w:color w:val="auto"/>
              </w:rPr>
            </w:pPr>
            <w:r>
              <w:rPr>
                <w:rFonts w:ascii="Arial" w:cs="Arial" w:eastAsia="Arial" w:hAnsi="Arial"/>
                <w:sz w:val="18"/>
                <w:szCs w:val="18"/>
                <w:color w:val="auto"/>
              </w:rPr>
              <w:t>Working capital</w:t>
            </w:r>
          </w:p>
        </w:tc>
        <w:tc>
          <w:tcPr>
            <w:tcW w:w="78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242</w:t>
            </w: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Long-term debt (see Note 8)</w:t>
            </w:r>
          </w:p>
        </w:tc>
        <w:tc>
          <w:tcPr>
            <w:tcW w:w="7860" w:type="dxa"/>
            <w:vAlign w:val="bottom"/>
          </w:tcPr>
          <w:p>
            <w:pPr>
              <w:jc w:val="right"/>
              <w:spacing w:after="0"/>
              <w:rPr>
                <w:sz w:val="20"/>
                <w:szCs w:val="20"/>
                <w:color w:val="auto"/>
              </w:rPr>
            </w:pPr>
            <w:r>
              <w:rPr>
                <w:rFonts w:ascii="Arial" w:cs="Arial" w:eastAsia="Arial" w:hAnsi="Arial"/>
                <w:sz w:val="18"/>
                <w:szCs w:val="18"/>
                <w:color w:val="auto"/>
              </w:rPr>
              <w:t>(1,505)</w:t>
            </w:r>
          </w:p>
        </w:tc>
      </w:tr>
      <w:tr>
        <w:trPr>
          <w:trHeight w:val="216"/>
        </w:trPr>
        <w:tc>
          <w:tcPr>
            <w:tcW w:w="20" w:type="dxa"/>
            <w:vAlign w:val="bottom"/>
          </w:tcPr>
          <w:p>
            <w:pPr>
              <w:spacing w:after="0"/>
              <w:rPr>
                <w:sz w:val="18"/>
                <w:szCs w:val="18"/>
                <w:color w:val="auto"/>
              </w:rPr>
            </w:pPr>
          </w:p>
        </w:tc>
        <w:tc>
          <w:tcPr>
            <w:tcW w:w="3540" w:type="dxa"/>
            <w:vAlign w:val="bottom"/>
            <w:shd w:val="clear" w:color="auto" w:fill="E5E5E5"/>
          </w:tcPr>
          <w:p>
            <w:pPr>
              <w:spacing w:after="0"/>
              <w:rPr>
                <w:sz w:val="20"/>
                <w:szCs w:val="20"/>
                <w:color w:val="auto"/>
              </w:rPr>
            </w:pPr>
            <w:r>
              <w:rPr>
                <w:rFonts w:ascii="Arial" w:cs="Arial" w:eastAsia="Arial" w:hAnsi="Arial"/>
                <w:sz w:val="18"/>
                <w:szCs w:val="18"/>
                <w:color w:val="auto"/>
              </w:rPr>
              <w:t>Deferred revenue</w:t>
            </w:r>
          </w:p>
        </w:tc>
        <w:tc>
          <w:tcPr>
            <w:tcW w:w="7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Other noncurrent assets and liabilities</w:t>
            </w:r>
          </w:p>
        </w:tc>
        <w:tc>
          <w:tcPr>
            <w:tcW w:w="78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35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Noncontrolling interests acquired</w:t>
            </w:r>
          </w:p>
        </w:tc>
        <w:tc>
          <w:tcPr>
            <w:tcW w:w="78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w:t>
            </w:r>
          </w:p>
        </w:tc>
      </w:tr>
      <w:tr>
        <w:trPr>
          <w:trHeight w:val="210"/>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Fair value of identifiable net assets acquired</w:t>
            </w:r>
          </w:p>
        </w:tc>
        <w:tc>
          <w:tcPr>
            <w:tcW w:w="7860" w:type="dxa"/>
            <w:vAlign w:val="bottom"/>
          </w:tcPr>
          <w:p>
            <w:pPr>
              <w:jc w:val="right"/>
              <w:ind w:right="12"/>
              <w:spacing w:after="0"/>
              <w:rPr>
                <w:sz w:val="20"/>
                <w:szCs w:val="20"/>
                <w:color w:val="auto"/>
              </w:rPr>
            </w:pPr>
            <w:r>
              <w:rPr>
                <w:rFonts w:ascii="Arial" w:cs="Arial" w:eastAsia="Arial" w:hAnsi="Arial"/>
                <w:sz w:val="18"/>
                <w:szCs w:val="18"/>
                <w:color w:val="auto"/>
              </w:rPr>
              <w:t>1,149</w:t>
            </w:r>
          </w:p>
        </w:tc>
      </w:tr>
      <w:tr>
        <w:trPr>
          <w:trHeight w:val="216"/>
        </w:trPr>
        <w:tc>
          <w:tcPr>
            <w:tcW w:w="20" w:type="dxa"/>
            <w:vAlign w:val="bottom"/>
          </w:tcPr>
          <w:p>
            <w:pPr>
              <w:spacing w:after="0"/>
              <w:rPr>
                <w:sz w:val="18"/>
                <w:szCs w:val="18"/>
                <w:color w:val="auto"/>
              </w:rPr>
            </w:pPr>
          </w:p>
        </w:tc>
        <w:tc>
          <w:tcPr>
            <w:tcW w:w="35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Goodwill</w:t>
            </w:r>
          </w:p>
        </w:tc>
        <w:tc>
          <w:tcPr>
            <w:tcW w:w="786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909</w:t>
            </w:r>
          </w:p>
        </w:tc>
      </w:tr>
      <w:tr>
        <w:trPr>
          <w:trHeight w:val="217"/>
        </w:trPr>
        <w:tc>
          <w:tcPr>
            <w:tcW w:w="20" w:type="dxa"/>
            <w:vAlign w:val="bottom"/>
          </w:tcPr>
          <w:p>
            <w:pPr>
              <w:spacing w:after="0"/>
              <w:rPr>
                <w:sz w:val="18"/>
                <w:szCs w:val="18"/>
                <w:color w:val="auto"/>
              </w:rPr>
            </w:pPr>
          </w:p>
        </w:tc>
        <w:tc>
          <w:tcPr>
            <w:tcW w:w="3540" w:type="dxa"/>
            <w:vAlign w:val="bottom"/>
            <w:tcBorders>
              <w:bottom w:val="single" w:sz="8" w:color="auto"/>
            </w:tcBorders>
          </w:tcPr>
          <w:p>
            <w:pPr>
              <w:spacing w:after="0"/>
              <w:rPr>
                <w:sz w:val="18"/>
                <w:szCs w:val="18"/>
                <w:color w:val="auto"/>
              </w:rPr>
            </w:pPr>
          </w:p>
        </w:tc>
        <w:tc>
          <w:tcPr>
            <w:tcW w:w="7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$ 2,058</w:t>
            </w:r>
          </w:p>
        </w:tc>
      </w:tr>
    </w:tbl>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Transactions</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Borrowings under the NBCUniversal revolving credit facility, along with cash on hand at UCDP, were used to refinance and terminate UCDP’s existing $801 million term loan immediately following the acquisition. In addition, on August 1, 2011, UCDP completed its redemption of $140 million aggregate principal amount of its 8.875% senior notes due 2015 and $79 million aggregate principal amount of its 10.875% senior subordinated notes due 2016. As of September 30, 2011, $260 million aggregate principal amount of UCDP’s senior notes and $146 million aggregate principal amount of UCDP’s senior subordinated notes remained outstanding.</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Actual and Pro Forma Information</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consolidated revenue for the three months ended September 30, 2011 and from January 29, 2011 through September 30, 2011 included $3.8 billion and $10.1 billion, respectively, from the NBCUniversal contributed businesses. Our consolidated net income (loss) attributable to Comcast Corporation for the three months ended September 30, 2011 and from January 29, 2011 through September 30, 2011 included $127 million and $355 million, respectively, from the NBCUniversal contributed businesses.</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consolidated revenue for the three and nine months ended September 30, 2011 included $375 million from UCDP. Our consolidated net income (loss) attributable to Comcast Corporation for the three and nine months ended September 30, 2011 included $29 million resulting from the acquisition of the remaining equity interest in UCDP on July 1, 2011.</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unaudited pro forma information has been presented as if both the NBCUniversal transaction and the UCDP transaction occurred on January 1, 2010. This information is based on historical results of operations, adjusted for the allocations of purchase price and other acquisition accounting adjustments, and is not necessarily indicative of what our results would have been had we operated the businesses since January 1, 2010. No pro forma adjustments have been made for our incremental transaction costs or other transaction-related costs.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color w:val="auto"/>
              </w:rPr>
              <w:t>Actual</w:t>
            </w:r>
          </w:p>
        </w:tc>
        <w:tc>
          <w:tcPr>
            <w:tcW w:w="1000" w:type="dxa"/>
            <w:vAlign w:val="bottom"/>
            <w:gridSpan w:val="3"/>
          </w:tcPr>
          <w:p>
            <w:pPr>
              <w:spacing w:after="0"/>
              <w:rPr>
                <w:sz w:val="20"/>
                <w:szCs w:val="20"/>
                <w:color w:val="auto"/>
              </w:rPr>
            </w:pPr>
            <w:r>
              <w:rPr>
                <w:rFonts w:ascii="Arial" w:cs="Arial" w:eastAsia="Arial" w:hAnsi="Arial"/>
                <w:sz w:val="14"/>
                <w:szCs w:val="14"/>
                <w:color w:val="auto"/>
              </w:rPr>
              <w:t>Pro Forma</w:t>
            </w:r>
          </w:p>
        </w:tc>
        <w:tc>
          <w:tcPr>
            <w:tcW w:w="100" w:type="dxa"/>
            <w:vAlign w:val="bottom"/>
          </w:tcPr>
          <w:p>
            <w:pPr>
              <w:spacing w:after="0"/>
              <w:rPr>
                <w:sz w:val="14"/>
                <w:szCs w:val="14"/>
                <w:color w:val="auto"/>
              </w:rPr>
            </w:pPr>
          </w:p>
        </w:tc>
        <w:tc>
          <w:tcPr>
            <w:tcW w:w="1000" w:type="dxa"/>
            <w:vAlign w:val="bottom"/>
            <w:gridSpan w:val="3"/>
          </w:tcPr>
          <w:p>
            <w:pPr>
              <w:jc w:val="center"/>
              <w:ind w:left="301"/>
              <w:spacing w:after="0"/>
              <w:rPr>
                <w:sz w:val="20"/>
                <w:szCs w:val="20"/>
                <w:color w:val="auto"/>
              </w:rPr>
            </w:pPr>
            <w:r>
              <w:rPr>
                <w:rFonts w:ascii="Arial" w:cs="Arial" w:eastAsia="Arial" w:hAnsi="Arial"/>
                <w:sz w:val="14"/>
                <w:szCs w:val="14"/>
                <w:color w:val="auto"/>
                <w:w w:val="87"/>
              </w:rPr>
              <w:t>Pro Forma</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7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4"/>
          </w:tcPr>
          <w:p>
            <w:pPr>
              <w:jc w:val="center"/>
              <w:ind w:right="16"/>
              <w:spacing w:after="0" w:line="131" w:lineRule="exact"/>
              <w:rPr>
                <w:sz w:val="20"/>
                <w:szCs w:val="20"/>
                <w:color w:val="auto"/>
              </w:rPr>
            </w:pPr>
            <w:r>
              <w:rPr>
                <w:rFonts w:ascii="Arial" w:cs="Arial" w:eastAsia="Arial" w:hAnsi="Arial"/>
                <w:sz w:val="14"/>
                <w:szCs w:val="14"/>
                <w:color w:val="auto"/>
                <w:w w:val="87"/>
              </w:rPr>
              <w:t>Three Months Ended</w:t>
            </w:r>
          </w:p>
        </w:tc>
        <w:tc>
          <w:tcPr>
            <w:tcW w:w="4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4"/>
          </w:tcPr>
          <w:p>
            <w:pPr>
              <w:jc w:val="center"/>
              <w:spacing w:after="0" w:line="131" w:lineRule="exact"/>
              <w:rPr>
                <w:sz w:val="20"/>
                <w:szCs w:val="20"/>
                <w:color w:val="auto"/>
              </w:rPr>
            </w:pPr>
            <w:r>
              <w:rPr>
                <w:rFonts w:ascii="Arial" w:cs="Arial" w:eastAsia="Arial" w:hAnsi="Arial"/>
                <w:sz w:val="14"/>
                <w:szCs w:val="14"/>
                <w:color w:val="auto"/>
                <w:w w:val="87"/>
              </w:rPr>
              <w:t>Nine Months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7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3"/>
                <w:szCs w:val="13"/>
                <w:color w:val="auto"/>
              </w:rPr>
            </w:pPr>
          </w:p>
        </w:tc>
        <w:tc>
          <w:tcPr>
            <w:tcW w:w="1900" w:type="dxa"/>
            <w:vAlign w:val="bottom"/>
            <w:gridSpan w:val="5"/>
          </w:tcPr>
          <w:p>
            <w:pPr>
              <w:jc w:val="center"/>
              <w:ind w:right="500"/>
              <w:spacing w:after="0" w:line="159" w:lineRule="exact"/>
              <w:rPr>
                <w:sz w:val="20"/>
                <w:szCs w:val="20"/>
                <w:color w:val="auto"/>
              </w:rPr>
            </w:pPr>
            <w:r>
              <w:rPr>
                <w:rFonts w:ascii="Arial" w:cs="Arial" w:eastAsia="Arial" w:hAnsi="Arial"/>
                <w:sz w:val="14"/>
                <w:szCs w:val="14"/>
                <w:color w:val="auto"/>
                <w:w w:val="86"/>
              </w:rPr>
              <w:t>September 30</w:t>
            </w:r>
          </w:p>
        </w:tc>
        <w:tc>
          <w:tcPr>
            <w:tcW w:w="100" w:type="dxa"/>
            <w:vAlign w:val="bottom"/>
          </w:tcPr>
          <w:p>
            <w:pPr>
              <w:spacing w:after="0"/>
              <w:rPr>
                <w:sz w:val="13"/>
                <w:szCs w:val="13"/>
                <w:color w:val="auto"/>
              </w:rPr>
            </w:pPr>
          </w:p>
        </w:tc>
        <w:tc>
          <w:tcPr>
            <w:tcW w:w="1580" w:type="dxa"/>
            <w:vAlign w:val="bottom"/>
            <w:gridSpan w:val="5"/>
          </w:tcPr>
          <w:p>
            <w:pPr>
              <w:jc w:val="center"/>
              <w:ind w:right="200"/>
              <w:spacing w:after="0" w:line="159" w:lineRule="exact"/>
              <w:rPr>
                <w:sz w:val="20"/>
                <w:szCs w:val="20"/>
                <w:color w:val="auto"/>
              </w:rPr>
            </w:pPr>
            <w:r>
              <w:rPr>
                <w:rFonts w:ascii="Arial" w:cs="Arial" w:eastAsia="Arial" w:hAnsi="Arial"/>
                <w:sz w:val="14"/>
                <w:szCs w:val="14"/>
                <w:color w:val="auto"/>
                <w:w w:val="84"/>
              </w:rPr>
              <w:t>September 30</w:t>
            </w:r>
          </w:p>
        </w:tc>
        <w:tc>
          <w:tcPr>
            <w:tcW w:w="0" w:type="dxa"/>
            <w:vAlign w:val="bottom"/>
          </w:tcPr>
          <w:p>
            <w:pPr>
              <w:spacing w:after="0"/>
              <w:rPr>
                <w:sz w:val="1"/>
                <w:szCs w:val="1"/>
                <w:color w:val="auto"/>
              </w:rPr>
            </w:pPr>
          </w:p>
        </w:tc>
      </w:tr>
      <w:tr>
        <w:trPr>
          <w:trHeight w:val="142"/>
        </w:trPr>
        <w:tc>
          <w:tcPr>
            <w:tcW w:w="774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81"/>
              <w:spacing w:after="0" w:line="142" w:lineRule="exact"/>
              <w:rPr>
                <w:sz w:val="20"/>
                <w:szCs w:val="20"/>
                <w:color w:val="auto"/>
              </w:rPr>
            </w:pPr>
            <w:r>
              <w:rPr>
                <w:rFonts w:ascii="Arial" w:cs="Arial" w:eastAsia="Arial" w:hAnsi="Arial"/>
                <w:sz w:val="14"/>
                <w:szCs w:val="14"/>
                <w:color w:val="auto"/>
                <w:w w:val="96"/>
              </w:rPr>
              <w:t>2011</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color w:val="auto"/>
              </w:rPr>
              <w:t>2010</w:t>
            </w: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81"/>
              <w:spacing w:after="0" w:line="142" w:lineRule="exact"/>
              <w:rPr>
                <w:sz w:val="20"/>
                <w:szCs w:val="20"/>
                <w:color w:val="auto"/>
              </w:rPr>
            </w:pPr>
            <w:r>
              <w:rPr>
                <w:rFonts w:ascii="Arial" w:cs="Arial" w:eastAsia="Arial" w:hAnsi="Arial"/>
                <w:sz w:val="14"/>
                <w:szCs w:val="14"/>
                <w:color w:val="auto"/>
                <w:w w:val="96"/>
              </w:rPr>
              <w:t>2011</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320" w:type="dxa"/>
            <w:vAlign w:val="bottom"/>
            <w:tcBorders>
              <w:top w:val="single" w:sz="8" w:color="E5E5E5"/>
            </w:tcBorders>
            <w:shd w:val="clear" w:color="auto" w:fill="E5E5E5"/>
          </w:tcPr>
          <w:p>
            <w:pPr>
              <w:spacing w:after="0"/>
              <w:rPr>
                <w:sz w:val="18"/>
                <w:szCs w:val="18"/>
                <w:color w:val="auto"/>
              </w:rPr>
            </w:pP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3"/>
              </w:rPr>
              <w:t>14,339</w:t>
            </w:r>
          </w:p>
        </w:tc>
        <w:tc>
          <w:tcPr>
            <w:tcW w:w="420" w:type="dxa"/>
            <w:vAlign w:val="bottom"/>
            <w:tcBorders>
              <w:top w:val="single" w:sz="8" w:color="E5E5E5"/>
            </w:tcBorders>
            <w:shd w:val="clear" w:color="auto" w:fill="E5E5E5"/>
          </w:tcPr>
          <w:p>
            <w:pPr>
              <w:spacing w:after="0"/>
              <w:rPr>
                <w:sz w:val="18"/>
                <w:szCs w:val="18"/>
                <w:color w:val="auto"/>
              </w:rPr>
            </w:pPr>
          </w:p>
        </w:tc>
        <w:tc>
          <w:tcPr>
            <w:tcW w:w="1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3"/>
              </w:rPr>
              <w:t>13,670</w:t>
            </w:r>
          </w:p>
        </w:tc>
        <w:tc>
          <w:tcPr>
            <w:tcW w:w="420" w:type="dxa"/>
            <w:vAlign w:val="bottom"/>
            <w:tcBorders>
              <w:top w:val="single" w:sz="8" w:color="E5E5E5"/>
            </w:tcBorders>
            <w:shd w:val="clear" w:color="auto" w:fill="E5E5E5"/>
          </w:tcPr>
          <w:p>
            <w:pPr>
              <w:spacing w:after="0"/>
              <w:rPr>
                <w:sz w:val="18"/>
                <w:szCs w:val="18"/>
                <w:color w:val="auto"/>
              </w:rPr>
            </w:pP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3"/>
              </w:rPr>
              <w:t>42,619</w:t>
            </w:r>
          </w:p>
        </w:tc>
        <w:tc>
          <w:tcPr>
            <w:tcW w:w="420" w:type="dxa"/>
            <w:vAlign w:val="bottom"/>
            <w:tcBorders>
              <w:top w:val="single" w:sz="8" w:color="E5E5E5"/>
            </w:tcBorders>
            <w:shd w:val="clear" w:color="auto" w:fill="E5E5E5"/>
          </w:tcPr>
          <w:p>
            <w:pPr>
              <w:spacing w:after="0"/>
              <w:rPr>
                <w:sz w:val="18"/>
                <w:szCs w:val="18"/>
                <w:color w:val="auto"/>
              </w:rPr>
            </w:pP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3"/>
              </w:rPr>
              <w:t>40,453</w:t>
            </w:r>
          </w:p>
        </w:tc>
        <w:tc>
          <w:tcPr>
            <w:tcW w:w="100" w:type="dxa"/>
            <w:vAlign w:val="bottom"/>
            <w:tcBorders>
              <w:top w:val="single" w:sz="8" w:color="E5E5E5"/>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tcPr>
          <w:p>
            <w:pPr>
              <w:spacing w:after="0"/>
              <w:rPr>
                <w:sz w:val="20"/>
                <w:szCs w:val="20"/>
                <w:color w:val="auto"/>
              </w:rPr>
            </w:pPr>
            <w:r>
              <w:rPr>
                <w:rFonts w:ascii="Arial" w:cs="Arial" w:eastAsia="Arial" w:hAnsi="Arial"/>
                <w:sz w:val="18"/>
                <w:szCs w:val="18"/>
                <w:color w:val="auto"/>
              </w:rPr>
              <w:t>Net income from consolidated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1,166</w:t>
            </w: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1,238</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3,584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Net income attributable to Comcast Corporation</w:t>
            </w:r>
          </w:p>
        </w:tc>
        <w:tc>
          <w:tcPr>
            <w:tcW w:w="1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908</w:t>
            </w:r>
          </w:p>
        </w:tc>
        <w:tc>
          <w:tcPr>
            <w:tcW w:w="4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957</w:t>
            </w:r>
          </w:p>
        </w:tc>
        <w:tc>
          <w:tcPr>
            <w:tcW w:w="420" w:type="dxa"/>
            <w:vAlign w:val="bottom"/>
            <w:shd w:val="clear" w:color="auto" w:fill="E5E5E5"/>
          </w:tcPr>
          <w:p>
            <w:pPr>
              <w:spacing w:after="0"/>
              <w:rPr>
                <w:sz w:val="18"/>
                <w:szCs w:val="18"/>
                <w:color w:val="auto"/>
              </w:rPr>
            </w:pPr>
          </w:p>
        </w:tc>
        <w:tc>
          <w:tcPr>
            <w:tcW w:w="1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2,862</w:t>
            </w:r>
          </w:p>
        </w:tc>
        <w:tc>
          <w:tcPr>
            <w:tcW w:w="52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2,626</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tcPr>
          <w:p>
            <w:pPr>
              <w:spacing w:after="0"/>
              <w:rPr>
                <w:sz w:val="20"/>
                <w:szCs w:val="20"/>
                <w:color w:val="auto"/>
              </w:rPr>
            </w:pPr>
            <w:r>
              <w:rPr>
                <w:rFonts w:ascii="Arial" w:cs="Arial" w:eastAsia="Arial" w:hAnsi="Arial"/>
                <w:sz w:val="18"/>
                <w:szCs w:val="18"/>
                <w:color w:val="auto"/>
              </w:rPr>
              <w:t>Basic earnings per common share attributable to Comcast Corporation shareholders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0.33</w:t>
            </w: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0.34</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Diluted earnings per common share attributable to Comcast Corporation shareholders</w:t>
            </w:r>
          </w:p>
        </w:tc>
        <w:tc>
          <w:tcPr>
            <w:tcW w:w="1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0.33</w:t>
            </w:r>
          </w:p>
        </w:tc>
        <w:tc>
          <w:tcPr>
            <w:tcW w:w="42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0.34</w:t>
            </w:r>
          </w:p>
        </w:tc>
        <w:tc>
          <w:tcPr>
            <w:tcW w:w="420" w:type="dxa"/>
            <w:vAlign w:val="bottom"/>
            <w:shd w:val="clear" w:color="auto" w:fill="E5E5E5"/>
          </w:tcPr>
          <w:p>
            <w:pPr>
              <w:spacing w:after="0"/>
              <w:rPr>
                <w:sz w:val="19"/>
                <w:szCs w:val="19"/>
                <w:color w:val="auto"/>
              </w:rPr>
            </w:pPr>
          </w:p>
        </w:tc>
        <w:tc>
          <w:tcPr>
            <w:tcW w:w="1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1.03</w:t>
            </w:r>
          </w:p>
        </w:tc>
        <w:tc>
          <w:tcPr>
            <w:tcW w:w="52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0.93</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357"/>
        </w:trPr>
        <w:tc>
          <w:tcPr>
            <w:tcW w:w="7420" w:type="dxa"/>
            <w:vAlign w:val="bottom"/>
            <w:tcBorders>
              <w:top w:val="single" w:sz="8" w:color="auto"/>
            </w:tcBorders>
          </w:tcPr>
          <w:p>
            <w:pPr>
              <w:ind w:left="562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Film and Television Costs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4100" w:type="dxa"/>
            <w:vAlign w:val="bottom"/>
            <w:gridSpan w:val="2"/>
          </w:tcPr>
          <w:p>
            <w:pPr>
              <w:ind w:left="2860"/>
              <w:spacing w:after="0"/>
              <w:rPr>
                <w:sz w:val="20"/>
                <w:szCs w:val="20"/>
                <w:color w:val="auto"/>
              </w:rPr>
            </w:pPr>
            <w:r>
              <w:rPr>
                <w:rFonts w:ascii="Arial" w:cs="Arial" w:eastAsia="Arial" w:hAnsi="Arial"/>
                <w:sz w:val="14"/>
                <w:szCs w:val="14"/>
                <w:color w:val="auto"/>
              </w:rPr>
              <w:t>September 30,</w:t>
            </w:r>
          </w:p>
        </w:tc>
        <w:tc>
          <w:tcPr>
            <w:tcW w:w="1320" w:type="dxa"/>
            <w:vAlign w:val="bottom"/>
            <w:gridSpan w:val="2"/>
          </w:tcPr>
          <w:p>
            <w:pPr>
              <w:ind w:left="460"/>
              <w:spacing w:after="0"/>
              <w:rPr>
                <w:sz w:val="20"/>
                <w:szCs w:val="20"/>
                <w:color w:val="auto"/>
              </w:rPr>
            </w:pPr>
            <w:r>
              <w:rPr>
                <w:rFonts w:ascii="Arial" w:cs="Arial" w:eastAsia="Arial" w:hAnsi="Arial"/>
                <w:sz w:val="14"/>
                <w:szCs w:val="14"/>
                <w:color w:val="auto"/>
                <w:w w:val="95"/>
              </w:rPr>
              <w:t>December 31,</w:t>
            </w:r>
          </w:p>
        </w:tc>
      </w:tr>
      <w:tr>
        <w:trPr>
          <w:trHeight w:val="159"/>
        </w:trPr>
        <w:tc>
          <w:tcPr>
            <w:tcW w:w="60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30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34"/>
              <w:spacing w:after="0" w:line="159" w:lineRule="exact"/>
              <w:rPr>
                <w:sz w:val="20"/>
                <w:szCs w:val="20"/>
                <w:color w:val="auto"/>
              </w:rPr>
            </w:pPr>
            <w:r>
              <w:rPr>
                <w:rFonts w:ascii="Arial" w:cs="Arial" w:eastAsia="Arial" w:hAnsi="Arial"/>
                <w:sz w:val="14"/>
                <w:szCs w:val="14"/>
                <w:color w:val="auto"/>
              </w:rPr>
              <w:t>2011</w:t>
            </w:r>
          </w:p>
        </w:tc>
        <w:tc>
          <w:tcPr>
            <w:tcW w:w="6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4"/>
              <w:spacing w:after="0" w:line="159" w:lineRule="exact"/>
              <w:rPr>
                <w:sz w:val="20"/>
                <w:szCs w:val="20"/>
                <w:color w:val="auto"/>
              </w:rPr>
            </w:pPr>
            <w:r>
              <w:rPr>
                <w:rFonts w:ascii="Arial" w:cs="Arial" w:eastAsia="Arial" w:hAnsi="Arial"/>
                <w:sz w:val="14"/>
                <w:szCs w:val="14"/>
                <w:color w:val="auto"/>
              </w:rPr>
              <w:t>2010</w:t>
            </w:r>
          </w:p>
        </w:tc>
      </w:tr>
      <w:tr>
        <w:trPr>
          <w:trHeight w:val="210"/>
        </w:trPr>
        <w:tc>
          <w:tcPr>
            <w:tcW w:w="6000" w:type="dxa"/>
            <w:vAlign w:val="bottom"/>
            <w:shd w:val="clear" w:color="auto" w:fill="E5E5E5"/>
          </w:tcPr>
          <w:p>
            <w:pPr>
              <w:spacing w:after="0"/>
              <w:rPr>
                <w:sz w:val="20"/>
                <w:szCs w:val="20"/>
                <w:color w:val="auto"/>
              </w:rPr>
            </w:pPr>
            <w:r>
              <w:rPr>
                <w:rFonts w:ascii="Arial" w:cs="Arial" w:eastAsia="Arial" w:hAnsi="Arial"/>
                <w:sz w:val="18"/>
                <w:szCs w:val="18"/>
                <w:color w:val="auto"/>
              </w:rPr>
              <w:t>Film Costs:</w:t>
            </w:r>
          </w:p>
        </w:tc>
        <w:tc>
          <w:tcPr>
            <w:tcW w:w="3020" w:type="dxa"/>
            <w:vAlign w:val="bottom"/>
            <w:shd w:val="clear" w:color="auto" w:fill="E5E5E5"/>
          </w:tcPr>
          <w:p>
            <w:pPr>
              <w:spacing w:after="0"/>
              <w:rPr>
                <w:sz w:val="18"/>
                <w:szCs w:val="18"/>
                <w:color w:val="auto"/>
              </w:rPr>
            </w:pPr>
          </w:p>
        </w:tc>
        <w:tc>
          <w:tcPr>
            <w:tcW w:w="10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16"/>
        </w:trPr>
        <w:tc>
          <w:tcPr>
            <w:tcW w:w="6000" w:type="dxa"/>
            <w:vAlign w:val="bottom"/>
          </w:tcPr>
          <w:p>
            <w:pPr>
              <w:ind w:left="440"/>
              <w:spacing w:after="0"/>
              <w:rPr>
                <w:sz w:val="20"/>
                <w:szCs w:val="20"/>
                <w:color w:val="auto"/>
              </w:rPr>
            </w:pPr>
            <w:r>
              <w:rPr>
                <w:rFonts w:ascii="Arial" w:cs="Arial" w:eastAsia="Arial" w:hAnsi="Arial"/>
                <w:sz w:val="18"/>
                <w:szCs w:val="18"/>
                <w:color w:val="auto"/>
              </w:rPr>
              <w:t>Released, less amortization</w:t>
            </w:r>
          </w:p>
        </w:tc>
        <w:tc>
          <w:tcPr>
            <w:tcW w:w="3020" w:type="dxa"/>
            <w:vAlign w:val="bottom"/>
          </w:tcPr>
          <w:p>
            <w:pPr>
              <w:ind w:left="28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74"/>
              <w:spacing w:after="0"/>
              <w:rPr>
                <w:sz w:val="20"/>
                <w:szCs w:val="20"/>
                <w:color w:val="auto"/>
              </w:rPr>
            </w:pPr>
            <w:r>
              <w:rPr>
                <w:rFonts w:ascii="Arial" w:cs="Arial" w:eastAsia="Arial" w:hAnsi="Arial"/>
                <w:sz w:val="18"/>
                <w:szCs w:val="18"/>
                <w:color w:val="auto"/>
              </w:rPr>
              <w:t>1,524</w:t>
            </w:r>
          </w:p>
        </w:tc>
        <w:tc>
          <w:tcPr>
            <w:tcW w:w="620" w:type="dxa"/>
            <w:vAlign w:val="bottom"/>
          </w:tcPr>
          <w:p>
            <w:pPr>
              <w:ind w:left="4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16"/>
        </w:trPr>
        <w:tc>
          <w:tcPr>
            <w:tcW w:w="60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Completed, not released</w:t>
            </w:r>
          </w:p>
        </w:tc>
        <w:tc>
          <w:tcPr>
            <w:tcW w:w="302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374"/>
              <w:spacing w:after="0"/>
              <w:rPr>
                <w:sz w:val="20"/>
                <w:szCs w:val="20"/>
                <w:color w:val="auto"/>
              </w:rPr>
            </w:pPr>
            <w:r>
              <w:rPr>
                <w:rFonts w:ascii="Arial" w:cs="Arial" w:eastAsia="Arial" w:hAnsi="Arial"/>
                <w:sz w:val="18"/>
                <w:szCs w:val="18"/>
                <w:color w:val="auto"/>
              </w:rPr>
              <w:t>95</w:t>
            </w:r>
          </w:p>
        </w:tc>
        <w:tc>
          <w:tcPr>
            <w:tcW w:w="6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r>
      <w:tr>
        <w:trPr>
          <w:trHeight w:val="216"/>
        </w:trPr>
        <w:tc>
          <w:tcPr>
            <w:tcW w:w="60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In-production and in-development</w:t>
            </w:r>
          </w:p>
        </w:tc>
        <w:tc>
          <w:tcPr>
            <w:tcW w:w="30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color w:val="auto"/>
              </w:rPr>
              <w:t>1,289</w:t>
            </w: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10"/>
        </w:trPr>
        <w:tc>
          <w:tcPr>
            <w:tcW w:w="6000" w:type="dxa"/>
            <w:vAlign w:val="bottom"/>
            <w:shd w:val="clear" w:color="auto" w:fill="E5E5E5"/>
          </w:tcPr>
          <w:p>
            <w:pPr>
              <w:spacing w:after="0"/>
              <w:rPr>
                <w:sz w:val="18"/>
                <w:szCs w:val="18"/>
                <w:color w:val="auto"/>
              </w:rPr>
            </w:pPr>
          </w:p>
        </w:tc>
        <w:tc>
          <w:tcPr>
            <w:tcW w:w="302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374"/>
              <w:spacing w:after="0"/>
              <w:rPr>
                <w:sz w:val="20"/>
                <w:szCs w:val="20"/>
                <w:color w:val="auto"/>
              </w:rPr>
            </w:pPr>
            <w:r>
              <w:rPr>
                <w:rFonts w:ascii="Arial" w:cs="Arial" w:eastAsia="Arial" w:hAnsi="Arial"/>
                <w:sz w:val="18"/>
                <w:szCs w:val="18"/>
                <w:color w:val="auto"/>
              </w:rPr>
              <w:t>2,908</w:t>
            </w:r>
          </w:p>
        </w:tc>
        <w:tc>
          <w:tcPr>
            <w:tcW w:w="6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Television Costs:</w:t>
            </w:r>
          </w:p>
        </w:tc>
        <w:tc>
          <w:tcPr>
            <w:tcW w:w="3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0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Released, less amortization</w:t>
            </w:r>
          </w:p>
        </w:tc>
        <w:tc>
          <w:tcPr>
            <w:tcW w:w="302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374"/>
              <w:spacing w:after="0"/>
              <w:rPr>
                <w:sz w:val="20"/>
                <w:szCs w:val="20"/>
                <w:color w:val="auto"/>
              </w:rPr>
            </w:pPr>
            <w:r>
              <w:rPr>
                <w:rFonts w:ascii="Arial" w:cs="Arial" w:eastAsia="Arial" w:hAnsi="Arial"/>
                <w:sz w:val="18"/>
                <w:szCs w:val="18"/>
                <w:color w:val="auto"/>
              </w:rPr>
              <w:t>1,170</w:t>
            </w:r>
          </w:p>
        </w:tc>
        <w:tc>
          <w:tcPr>
            <w:tcW w:w="6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94</w:t>
            </w:r>
          </w:p>
        </w:tc>
      </w:tr>
      <w:tr>
        <w:trPr>
          <w:trHeight w:val="216"/>
        </w:trPr>
        <w:tc>
          <w:tcPr>
            <w:tcW w:w="6000" w:type="dxa"/>
            <w:vAlign w:val="bottom"/>
          </w:tcPr>
          <w:p>
            <w:pPr>
              <w:ind w:left="440"/>
              <w:spacing w:after="0"/>
              <w:rPr>
                <w:sz w:val="20"/>
                <w:szCs w:val="20"/>
                <w:color w:val="auto"/>
              </w:rPr>
            </w:pPr>
            <w:r>
              <w:rPr>
                <w:rFonts w:ascii="Arial" w:cs="Arial" w:eastAsia="Arial" w:hAnsi="Arial"/>
                <w:sz w:val="18"/>
                <w:szCs w:val="18"/>
                <w:color w:val="auto"/>
              </w:rPr>
              <w:t>Completed, not released</w:t>
            </w:r>
          </w:p>
        </w:tc>
        <w:tc>
          <w:tcPr>
            <w:tcW w:w="3020" w:type="dxa"/>
            <w:vAlign w:val="bottom"/>
          </w:tcPr>
          <w:p>
            <w:pPr>
              <w:spacing w:after="0"/>
              <w:rPr>
                <w:sz w:val="18"/>
                <w:szCs w:val="18"/>
                <w:color w:val="auto"/>
              </w:rPr>
            </w:pPr>
          </w:p>
        </w:tc>
        <w:tc>
          <w:tcPr>
            <w:tcW w:w="1080" w:type="dxa"/>
            <w:vAlign w:val="bottom"/>
          </w:tcPr>
          <w:p>
            <w:pPr>
              <w:jc w:val="right"/>
              <w:ind w:right="374"/>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16"/>
        </w:trPr>
        <w:tc>
          <w:tcPr>
            <w:tcW w:w="600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In-production and in-development</w:t>
            </w:r>
          </w:p>
        </w:tc>
        <w:tc>
          <w:tcPr>
            <w:tcW w:w="302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ind w:right="374"/>
              <w:spacing w:after="0"/>
              <w:rPr>
                <w:sz w:val="20"/>
                <w:szCs w:val="20"/>
                <w:color w:val="auto"/>
              </w:rPr>
            </w:pPr>
            <w:r>
              <w:rPr>
                <w:rFonts w:ascii="Arial" w:cs="Arial" w:eastAsia="Arial" w:hAnsi="Arial"/>
                <w:sz w:val="18"/>
                <w:szCs w:val="18"/>
                <w:color w:val="auto"/>
              </w:rPr>
              <w:t>202</w:t>
            </w:r>
          </w:p>
        </w:tc>
        <w:tc>
          <w:tcPr>
            <w:tcW w:w="6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43</w:t>
            </w:r>
          </w:p>
        </w:tc>
      </w:tr>
      <w:tr>
        <w:trPr>
          <w:trHeight w:val="210"/>
        </w:trPr>
        <w:tc>
          <w:tcPr>
            <w:tcW w:w="60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80" w:type="dxa"/>
            <w:vAlign w:val="bottom"/>
          </w:tcPr>
          <w:p>
            <w:pPr>
              <w:jc w:val="right"/>
              <w:ind w:right="374"/>
              <w:spacing w:after="0"/>
              <w:rPr>
                <w:sz w:val="20"/>
                <w:szCs w:val="20"/>
                <w:color w:val="auto"/>
              </w:rPr>
            </w:pPr>
            <w:r>
              <w:rPr>
                <w:rFonts w:ascii="Arial" w:cs="Arial" w:eastAsia="Arial" w:hAnsi="Arial"/>
                <w:sz w:val="18"/>
                <w:szCs w:val="18"/>
                <w:color w:val="auto"/>
              </w:rPr>
              <w:t>1,372</w:t>
            </w:r>
          </w:p>
        </w:tc>
        <w:tc>
          <w:tcPr>
            <w:tcW w:w="62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137</w:t>
            </w:r>
          </w:p>
        </w:tc>
      </w:tr>
      <w:tr>
        <w:trPr>
          <w:trHeight w:val="216"/>
        </w:trPr>
        <w:tc>
          <w:tcPr>
            <w:tcW w:w="60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Programming rights, less amortization</w:t>
            </w:r>
          </w:p>
        </w:tc>
        <w:tc>
          <w:tcPr>
            <w:tcW w:w="302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ind w:right="374"/>
              <w:spacing w:after="0"/>
              <w:rPr>
                <w:sz w:val="20"/>
                <w:szCs w:val="20"/>
                <w:color w:val="auto"/>
              </w:rPr>
            </w:pPr>
            <w:r>
              <w:rPr>
                <w:rFonts w:ascii="Arial" w:cs="Arial" w:eastAsia="Arial" w:hAnsi="Arial"/>
                <w:sz w:val="18"/>
                <w:szCs w:val="18"/>
                <w:color w:val="auto"/>
              </w:rPr>
              <w:t>2,144</w:t>
            </w:r>
          </w:p>
        </w:tc>
        <w:tc>
          <w:tcPr>
            <w:tcW w:w="6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445</w:t>
            </w:r>
          </w:p>
        </w:tc>
      </w:tr>
      <w:tr>
        <w:trPr>
          <w:trHeight w:val="210"/>
        </w:trPr>
        <w:tc>
          <w:tcPr>
            <w:tcW w:w="60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80" w:type="dxa"/>
            <w:vAlign w:val="bottom"/>
          </w:tcPr>
          <w:p>
            <w:pPr>
              <w:jc w:val="right"/>
              <w:ind w:right="374"/>
              <w:spacing w:after="0"/>
              <w:rPr>
                <w:sz w:val="20"/>
                <w:szCs w:val="20"/>
                <w:color w:val="auto"/>
              </w:rPr>
            </w:pPr>
            <w:r>
              <w:rPr>
                <w:rFonts w:ascii="Arial" w:cs="Arial" w:eastAsia="Arial" w:hAnsi="Arial"/>
                <w:sz w:val="18"/>
                <w:szCs w:val="18"/>
                <w:color w:val="auto"/>
              </w:rPr>
              <w:t>6,424</w:t>
            </w:r>
          </w:p>
        </w:tc>
        <w:tc>
          <w:tcPr>
            <w:tcW w:w="62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582</w:t>
            </w:r>
          </w:p>
        </w:tc>
      </w:tr>
      <w:tr>
        <w:trPr>
          <w:trHeight w:val="216"/>
        </w:trPr>
        <w:tc>
          <w:tcPr>
            <w:tcW w:w="60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Less: Current portion of programming rights</w:t>
            </w:r>
          </w:p>
        </w:tc>
        <w:tc>
          <w:tcPr>
            <w:tcW w:w="302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ind w:right="374"/>
              <w:spacing w:after="0"/>
              <w:rPr>
                <w:sz w:val="20"/>
                <w:szCs w:val="20"/>
                <w:color w:val="auto"/>
              </w:rPr>
            </w:pPr>
            <w:r>
              <w:rPr>
                <w:rFonts w:ascii="Arial" w:cs="Arial" w:eastAsia="Arial" w:hAnsi="Arial"/>
                <w:sz w:val="18"/>
                <w:szCs w:val="18"/>
                <w:color w:val="auto"/>
              </w:rPr>
              <w:t>1,055</w:t>
            </w:r>
          </w:p>
        </w:tc>
        <w:tc>
          <w:tcPr>
            <w:tcW w:w="6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122</w:t>
            </w:r>
          </w:p>
        </w:tc>
      </w:tr>
      <w:tr>
        <w:trPr>
          <w:trHeight w:val="217"/>
        </w:trPr>
        <w:tc>
          <w:tcPr>
            <w:tcW w:w="6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Film and television costs</w:t>
            </w:r>
          </w:p>
        </w:tc>
        <w:tc>
          <w:tcPr>
            <w:tcW w:w="3020" w:type="dxa"/>
            <w:vAlign w:val="bottom"/>
            <w:tcBorders>
              <w:bottom w:val="single" w:sz="8" w:color="auto"/>
            </w:tcBorders>
          </w:tcPr>
          <w:p>
            <w:pPr>
              <w:ind w:left="286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b w:val="1"/>
                <w:bCs w:val="1"/>
                <w:color w:val="auto"/>
              </w:rPr>
              <w:t>5,369</w:t>
            </w:r>
          </w:p>
        </w:tc>
        <w:tc>
          <w:tcPr>
            <w:tcW w:w="62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460</w:t>
            </w:r>
          </w:p>
        </w:tc>
      </w:tr>
    </w:tbl>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Film and television costs as of September 30, 2011 include the costs acquired in connection with the closing of the NBCUniversal transaction at fair value as of January 28, 2011, less accumulated amortization following the acquisition date. The capitalized programming costs of the Comcast Content Business are reflected at their historical cost, less accumulated amortization, for both periods presented.</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2011, acquired film and television libraries had remaining unamortized costs of $1.1 billion. For the three and nine months ended September 30, 2011, amortization of acquired film and television libraries included in operating costs and expenses totaled $46 million and $127 million,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Investments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3480" w:type="dxa"/>
            <w:vAlign w:val="bottom"/>
            <w:gridSpan w:val="2"/>
          </w:tcPr>
          <w:p>
            <w:pPr>
              <w:ind w:left="2280"/>
              <w:spacing w:after="0"/>
              <w:rPr>
                <w:sz w:val="20"/>
                <w:szCs w:val="20"/>
                <w:color w:val="auto"/>
              </w:rPr>
            </w:pPr>
            <w:r>
              <w:rPr>
                <w:rFonts w:ascii="Arial" w:cs="Arial" w:eastAsia="Arial" w:hAnsi="Arial"/>
                <w:sz w:val="14"/>
                <w:szCs w:val="14"/>
                <w:color w:val="auto"/>
              </w:rPr>
              <w:t>September 30,</w:t>
            </w:r>
          </w:p>
        </w:tc>
        <w:tc>
          <w:tcPr>
            <w:tcW w:w="1280" w:type="dxa"/>
            <w:vAlign w:val="bottom"/>
            <w:gridSpan w:val="2"/>
          </w:tcPr>
          <w:p>
            <w:pPr>
              <w:ind w:left="420"/>
              <w:spacing w:after="0"/>
              <w:rPr>
                <w:sz w:val="20"/>
                <w:szCs w:val="20"/>
                <w:color w:val="auto"/>
              </w:rPr>
            </w:pPr>
            <w:r>
              <w:rPr>
                <w:rFonts w:ascii="Arial" w:cs="Arial" w:eastAsia="Arial" w:hAnsi="Arial"/>
                <w:sz w:val="14"/>
                <w:szCs w:val="14"/>
                <w:color w:val="auto"/>
                <w:w w:val="95"/>
              </w:rPr>
              <w:t>December 31,</w:t>
            </w:r>
          </w:p>
        </w:tc>
      </w:tr>
      <w:tr>
        <w:trPr>
          <w:trHeight w:val="159"/>
        </w:trPr>
        <w:tc>
          <w:tcPr>
            <w:tcW w:w="66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24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95"/>
              <w:spacing w:after="0" w:line="159" w:lineRule="exact"/>
              <w:rPr>
                <w:sz w:val="20"/>
                <w:szCs w:val="20"/>
                <w:color w:val="auto"/>
              </w:rPr>
            </w:pPr>
            <w:r>
              <w:rPr>
                <w:rFonts w:ascii="Arial" w:cs="Arial" w:eastAsia="Arial" w:hAnsi="Arial"/>
                <w:sz w:val="14"/>
                <w:szCs w:val="14"/>
                <w:color w:val="auto"/>
              </w:rPr>
              <w:t>2011</w:t>
            </w:r>
          </w:p>
        </w:tc>
        <w:tc>
          <w:tcPr>
            <w:tcW w:w="5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5"/>
              <w:spacing w:after="0" w:line="159" w:lineRule="exact"/>
              <w:rPr>
                <w:sz w:val="20"/>
                <w:szCs w:val="20"/>
                <w:color w:val="auto"/>
              </w:rPr>
            </w:pPr>
            <w:r>
              <w:rPr>
                <w:rFonts w:ascii="Arial" w:cs="Arial" w:eastAsia="Arial" w:hAnsi="Arial"/>
                <w:sz w:val="14"/>
                <w:szCs w:val="14"/>
                <w:color w:val="auto"/>
              </w:rPr>
              <w:t>2010</w:t>
            </w:r>
          </w:p>
        </w:tc>
      </w:tr>
      <w:tr>
        <w:trPr>
          <w:trHeight w:val="210"/>
        </w:trPr>
        <w:tc>
          <w:tcPr>
            <w:tcW w:w="6660" w:type="dxa"/>
            <w:vAlign w:val="bottom"/>
            <w:shd w:val="clear" w:color="auto" w:fill="E5E5E5"/>
          </w:tcPr>
          <w:p>
            <w:pPr>
              <w:spacing w:after="0"/>
              <w:rPr>
                <w:sz w:val="20"/>
                <w:szCs w:val="20"/>
                <w:color w:val="auto"/>
              </w:rPr>
            </w:pPr>
            <w:r>
              <w:rPr>
                <w:rFonts w:ascii="Arial" w:cs="Arial" w:eastAsia="Arial" w:hAnsi="Arial"/>
                <w:sz w:val="18"/>
                <w:szCs w:val="18"/>
                <w:color w:val="auto"/>
              </w:rPr>
              <w:t>Fair value method</w:t>
            </w:r>
          </w:p>
        </w:tc>
        <w:tc>
          <w:tcPr>
            <w:tcW w:w="2440" w:type="dxa"/>
            <w:vAlign w:val="bottom"/>
            <w:shd w:val="clear" w:color="auto" w:fill="E5E5E5"/>
          </w:tcPr>
          <w:p>
            <w:pPr>
              <w:ind w:left="22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2,754</w:t>
            </w:r>
          </w:p>
        </w:tc>
        <w:tc>
          <w:tcPr>
            <w:tcW w:w="5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2,815</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Equity method, primarily SpectrumCo and Clearwire</w:t>
            </w:r>
          </w:p>
        </w:tc>
        <w:tc>
          <w:tcPr>
            <w:tcW w:w="2440" w:type="dxa"/>
            <w:vAlign w:val="bottom"/>
          </w:tcPr>
          <w:p>
            <w:pPr>
              <w:spacing w:after="0"/>
              <w:rPr>
                <w:sz w:val="18"/>
                <w:szCs w:val="18"/>
                <w:color w:val="auto"/>
              </w:rPr>
            </w:pPr>
          </w:p>
        </w:tc>
        <w:tc>
          <w:tcPr>
            <w:tcW w:w="1040" w:type="dxa"/>
            <w:vAlign w:val="bottom"/>
          </w:tcPr>
          <w:p>
            <w:pPr>
              <w:jc w:val="right"/>
              <w:ind w:right="335"/>
              <w:spacing w:after="0"/>
              <w:rPr>
                <w:sz w:val="20"/>
                <w:szCs w:val="20"/>
                <w:color w:val="auto"/>
              </w:rPr>
            </w:pPr>
            <w:r>
              <w:rPr>
                <w:rFonts w:ascii="Arial" w:cs="Arial" w:eastAsia="Arial" w:hAnsi="Arial"/>
                <w:sz w:val="18"/>
                <w:szCs w:val="18"/>
                <w:color w:val="auto"/>
              </w:rPr>
              <w:t>1,973</w:t>
            </w:r>
          </w:p>
        </w:tc>
        <w:tc>
          <w:tcPr>
            <w:tcW w:w="580" w:type="dxa"/>
            <w:vAlign w:val="bottom"/>
          </w:tcPr>
          <w:p>
            <w:pPr>
              <w:spacing w:after="0"/>
              <w:rPr>
                <w:sz w:val="18"/>
                <w:szCs w:val="18"/>
                <w:color w:val="auto"/>
              </w:rPr>
            </w:pP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2,193</w:t>
            </w:r>
          </w:p>
        </w:tc>
      </w:tr>
      <w:tr>
        <w:trPr>
          <w:trHeight w:val="216"/>
        </w:trPr>
        <w:tc>
          <w:tcPr>
            <w:tcW w:w="6660" w:type="dxa"/>
            <w:vAlign w:val="bottom"/>
            <w:shd w:val="clear" w:color="auto" w:fill="E5E5E5"/>
          </w:tcPr>
          <w:p>
            <w:pPr>
              <w:spacing w:after="0"/>
              <w:rPr>
                <w:sz w:val="20"/>
                <w:szCs w:val="20"/>
                <w:color w:val="auto"/>
              </w:rPr>
            </w:pPr>
            <w:r>
              <w:rPr>
                <w:rFonts w:ascii="Arial" w:cs="Arial" w:eastAsia="Arial" w:hAnsi="Arial"/>
                <w:sz w:val="18"/>
                <w:szCs w:val="18"/>
                <w:color w:val="auto"/>
              </w:rPr>
              <w:t>Cost method, primarily AirTouch redeemable preferred shares</w:t>
            </w:r>
          </w:p>
        </w:tc>
        <w:tc>
          <w:tcPr>
            <w:tcW w:w="2440" w:type="dxa"/>
            <w:vAlign w:val="bottom"/>
            <w:shd w:val="clear" w:color="auto" w:fill="E5E5E5"/>
          </w:tcPr>
          <w:p>
            <w:pPr>
              <w:spacing w:after="0"/>
              <w:rPr>
                <w:sz w:val="18"/>
                <w:szCs w:val="18"/>
                <w:color w:val="auto"/>
              </w:rPr>
            </w:pPr>
          </w:p>
        </w:tc>
        <w:tc>
          <w:tcPr>
            <w:tcW w:w="104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1,780</w:t>
            </w:r>
          </w:p>
        </w:tc>
        <w:tc>
          <w:tcPr>
            <w:tcW w:w="5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1,743</w:t>
            </w:r>
          </w:p>
        </w:tc>
      </w:tr>
      <w:tr>
        <w:trPr>
          <w:trHeight w:val="216"/>
        </w:trPr>
        <w:tc>
          <w:tcPr>
            <w:tcW w:w="6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Acquired NBCUniversal and UCDP investments</w:t>
            </w:r>
          </w:p>
        </w:tc>
        <w:tc>
          <w:tcPr>
            <w:tcW w:w="2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color w:val="auto"/>
              </w:rPr>
              <w:t>3,114</w:t>
            </w:r>
          </w:p>
        </w:tc>
        <w:tc>
          <w:tcPr>
            <w:tcW w:w="5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r>
      <w:tr>
        <w:trPr>
          <w:trHeight w:val="210"/>
        </w:trPr>
        <w:tc>
          <w:tcPr>
            <w:tcW w:w="6660" w:type="dxa"/>
            <w:vAlign w:val="bottom"/>
            <w:shd w:val="clear" w:color="auto" w:fill="E5E5E5"/>
          </w:tcPr>
          <w:p>
            <w:pPr>
              <w:spacing w:after="0"/>
              <w:rPr>
                <w:sz w:val="20"/>
                <w:szCs w:val="20"/>
                <w:color w:val="auto"/>
              </w:rPr>
            </w:pPr>
            <w:r>
              <w:rPr>
                <w:rFonts w:ascii="Arial" w:cs="Arial" w:eastAsia="Arial" w:hAnsi="Arial"/>
                <w:sz w:val="18"/>
                <w:szCs w:val="18"/>
                <w:color w:val="auto"/>
              </w:rPr>
              <w:t>Total investments</w:t>
            </w:r>
          </w:p>
        </w:tc>
        <w:tc>
          <w:tcPr>
            <w:tcW w:w="2440" w:type="dxa"/>
            <w:vAlign w:val="bottom"/>
            <w:shd w:val="clear" w:color="auto" w:fill="E5E5E5"/>
          </w:tcPr>
          <w:p>
            <w:pPr>
              <w:spacing w:after="0"/>
              <w:rPr>
                <w:sz w:val="18"/>
                <w:szCs w:val="18"/>
                <w:color w:val="auto"/>
              </w:rPr>
            </w:pPr>
          </w:p>
        </w:tc>
        <w:tc>
          <w:tcPr>
            <w:tcW w:w="104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9,621</w:t>
            </w:r>
          </w:p>
        </w:tc>
        <w:tc>
          <w:tcPr>
            <w:tcW w:w="5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6,751</w:t>
            </w:r>
          </w:p>
        </w:tc>
      </w:tr>
      <w:tr>
        <w:trPr>
          <w:trHeight w:val="216"/>
        </w:trPr>
        <w:tc>
          <w:tcPr>
            <w:tcW w:w="6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investments</w:t>
            </w:r>
          </w:p>
        </w:tc>
        <w:tc>
          <w:tcPr>
            <w:tcW w:w="2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color w:val="auto"/>
              </w:rPr>
              <w:t>46</w:t>
            </w:r>
          </w:p>
        </w:tc>
        <w:tc>
          <w:tcPr>
            <w:tcW w:w="5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81</w:t>
            </w:r>
          </w:p>
        </w:tc>
      </w:tr>
      <w:tr>
        <w:trPr>
          <w:trHeight w:val="217"/>
        </w:trPr>
        <w:tc>
          <w:tcPr>
            <w:tcW w:w="66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Noncurrent investments</w:t>
            </w:r>
          </w:p>
        </w:tc>
        <w:tc>
          <w:tcPr>
            <w:tcW w:w="2440" w:type="dxa"/>
            <w:vAlign w:val="bottom"/>
            <w:tcBorders>
              <w:bottom w:val="single" w:sz="8" w:color="auto"/>
            </w:tcBorders>
            <w:shd w:val="clear" w:color="auto" w:fill="E5E5E5"/>
          </w:tcPr>
          <w:p>
            <w:pPr>
              <w:ind w:left="228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b w:val="1"/>
                <w:bCs w:val="1"/>
                <w:color w:val="auto"/>
              </w:rPr>
              <w:t>9,575</w:t>
            </w:r>
          </w:p>
        </w:tc>
        <w:tc>
          <w:tcPr>
            <w:tcW w:w="5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6,670</w:t>
            </w:r>
          </w:p>
        </w:tc>
      </w:tr>
    </w:tbl>
    <w:p>
      <w:pPr>
        <w:spacing w:after="0" w:line="5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Investments acquired in connection with the NBCUniversal transaction that we held as of September 30, 2011 primarily include equity method investments in A&amp;E Television Networks (16%); The Weather Channel (25%); and MSNBC.com (50%); and cost method investments, primarily in Hulu (32%). On July 1, 2011, NBCUniversal completed the acquisition of the remaining 50% equity interest in UCDP that it did not already own. As a result, we no longer record UCDP as an equity method investment. See Note 4 for additional information on the NBCUniversal and UCDP transactions.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Investment Income (Loss), Net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0" w:type="dxa"/>
            <w:vAlign w:val="bottom"/>
            <w:gridSpan w:val="3"/>
          </w:tcPr>
          <w:p>
            <w:pPr>
              <w:jc w:val="right"/>
              <w:ind w:right="594"/>
              <w:spacing w:after="0"/>
              <w:rPr>
                <w:sz w:val="20"/>
                <w:szCs w:val="20"/>
                <w:color w:val="auto"/>
              </w:rPr>
            </w:pPr>
            <w:r>
              <w:rPr>
                <w:rFonts w:ascii="Arial" w:cs="Arial" w:eastAsia="Arial" w:hAnsi="Arial"/>
                <w:sz w:val="14"/>
                <w:szCs w:val="14"/>
                <w:color w:val="auto"/>
                <w:w w:val="99"/>
              </w:rPr>
              <w:t>Three Months Ended</w:t>
            </w:r>
          </w:p>
        </w:tc>
        <w:tc>
          <w:tcPr>
            <w:tcW w:w="440" w:type="dxa"/>
            <w:vAlign w:val="bottom"/>
          </w:tcPr>
          <w:p>
            <w:pPr>
              <w:spacing w:after="0"/>
              <w:rPr>
                <w:sz w:val="14"/>
                <w:szCs w:val="14"/>
                <w:color w:val="auto"/>
              </w:rPr>
            </w:pPr>
          </w:p>
        </w:tc>
        <w:tc>
          <w:tcPr>
            <w:tcW w:w="1760" w:type="dxa"/>
            <w:vAlign w:val="bottom"/>
            <w:gridSpan w:val="3"/>
          </w:tcPr>
          <w:p>
            <w:pPr>
              <w:jc w:val="right"/>
              <w:ind w:right="354"/>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65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8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54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18"/>
              <w:spacing w:after="0" w:line="142" w:lineRule="exact"/>
              <w:rPr>
                <w:sz w:val="20"/>
                <w:szCs w:val="20"/>
                <w:color w:val="auto"/>
              </w:rPr>
            </w:pPr>
            <w:r>
              <w:rPr>
                <w:rFonts w:ascii="Arial" w:cs="Arial" w:eastAsia="Arial" w:hAnsi="Arial"/>
                <w:sz w:val="14"/>
                <w:szCs w:val="14"/>
                <w:color w:val="auto"/>
                <w:w w:val="83"/>
              </w:rPr>
              <w:t>2011</w:t>
            </w:r>
          </w:p>
        </w:tc>
        <w:tc>
          <w:tcPr>
            <w:tcW w:w="4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14"/>
              <w:spacing w:after="0" w:line="142" w:lineRule="exact"/>
              <w:rPr>
                <w:sz w:val="20"/>
                <w:szCs w:val="20"/>
                <w:color w:val="auto"/>
              </w:rPr>
            </w:pPr>
            <w:r>
              <w:rPr>
                <w:rFonts w:ascii="Arial" w:cs="Arial" w:eastAsia="Arial" w:hAnsi="Arial"/>
                <w:sz w:val="14"/>
                <w:szCs w:val="14"/>
                <w:color w:val="auto"/>
                <w:w w:val="89"/>
              </w:rPr>
              <w:t>2010</w:t>
            </w:r>
          </w:p>
        </w:tc>
        <w:tc>
          <w:tcPr>
            <w:tcW w:w="4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38"/>
              <w:spacing w:after="0" w:line="142" w:lineRule="exact"/>
              <w:rPr>
                <w:sz w:val="20"/>
                <w:szCs w:val="20"/>
                <w:color w:val="auto"/>
              </w:rPr>
            </w:pPr>
            <w:r>
              <w:rPr>
                <w:rFonts w:ascii="Arial" w:cs="Arial" w:eastAsia="Arial" w:hAnsi="Arial"/>
                <w:sz w:val="14"/>
                <w:szCs w:val="14"/>
                <w:color w:val="auto"/>
                <w:w w:val="83"/>
              </w:rPr>
              <w:t>2011</w:t>
            </w:r>
          </w:p>
        </w:tc>
        <w:tc>
          <w:tcPr>
            <w:tcW w:w="4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color w:val="auto"/>
                <w:w w:val="89"/>
              </w:rPr>
              <w:t>2010</w:t>
            </w:r>
          </w:p>
        </w:tc>
        <w:tc>
          <w:tcPr>
            <w:tcW w:w="0" w:type="dxa"/>
            <w:vAlign w:val="bottom"/>
          </w:tcPr>
          <w:p>
            <w:pPr>
              <w:spacing w:after="0"/>
              <w:rPr>
                <w:sz w:val="1"/>
                <w:szCs w:val="1"/>
                <w:color w:val="auto"/>
              </w:rPr>
            </w:pPr>
          </w:p>
        </w:tc>
      </w:tr>
      <w:tr>
        <w:trPr>
          <w:trHeight w:val="210"/>
        </w:trPr>
        <w:tc>
          <w:tcPr>
            <w:tcW w:w="6540" w:type="dxa"/>
            <w:vAlign w:val="bottom"/>
            <w:shd w:val="clear" w:color="auto" w:fill="E5E5E5"/>
          </w:tcPr>
          <w:p>
            <w:pPr>
              <w:spacing w:after="0"/>
              <w:rPr>
                <w:sz w:val="20"/>
                <w:szCs w:val="20"/>
                <w:color w:val="auto"/>
              </w:rPr>
            </w:pPr>
            <w:r>
              <w:rPr>
                <w:rFonts w:ascii="Arial" w:cs="Arial" w:eastAsia="Arial" w:hAnsi="Arial"/>
                <w:sz w:val="18"/>
                <w:szCs w:val="18"/>
                <w:color w:val="auto"/>
              </w:rPr>
              <w:t>Gains on sales and exchanges of investments, net</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278"/>
              <w:spacing w:after="0"/>
              <w:rPr>
                <w:sz w:val="20"/>
                <w:szCs w:val="20"/>
                <w:color w:val="auto"/>
              </w:rPr>
            </w:pPr>
            <w:r>
              <w:rPr>
                <w:rFonts w:ascii="Arial" w:cs="Arial" w:eastAsia="Arial" w:hAnsi="Arial"/>
                <w:sz w:val="18"/>
                <w:szCs w:val="18"/>
                <w:color w:val="auto"/>
              </w:rPr>
              <w:t>6</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3</w:t>
            </w: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ind w:right="298"/>
              <w:spacing w:after="0"/>
              <w:rPr>
                <w:sz w:val="20"/>
                <w:szCs w:val="20"/>
                <w:color w:val="auto"/>
              </w:rPr>
            </w:pPr>
            <w:r>
              <w:rPr>
                <w:rFonts w:ascii="Arial" w:cs="Arial" w:eastAsia="Arial" w:hAnsi="Arial"/>
                <w:sz w:val="18"/>
                <w:szCs w:val="18"/>
                <w:color w:val="auto"/>
              </w:rPr>
              <w:t>27</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Investment impairment losses</w:t>
            </w:r>
          </w:p>
        </w:tc>
        <w:tc>
          <w:tcPr>
            <w:tcW w:w="680" w:type="dxa"/>
            <w:vAlign w:val="bottom"/>
          </w:tcPr>
          <w:p>
            <w:pPr>
              <w:spacing w:after="0"/>
              <w:rPr>
                <w:sz w:val="18"/>
                <w:szCs w:val="18"/>
                <w:color w:val="auto"/>
              </w:rPr>
            </w:pPr>
          </w:p>
        </w:tc>
        <w:tc>
          <w:tcPr>
            <w:tcW w:w="780" w:type="dxa"/>
            <w:vAlign w:val="bottom"/>
          </w:tcPr>
          <w:p>
            <w:pPr>
              <w:jc w:val="right"/>
              <w:ind w:right="278"/>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0" w:type="dxa"/>
            <w:vAlign w:val="bottom"/>
          </w:tcPr>
          <w:p>
            <w:pPr>
              <w:jc w:val="right"/>
              <w:ind w:right="214"/>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18"/>
                <w:szCs w:val="18"/>
                <w:color w:val="auto"/>
              </w:rPr>
            </w:pPr>
          </w:p>
        </w:tc>
        <w:tc>
          <w:tcPr>
            <w:tcW w:w="800" w:type="dxa"/>
            <w:vAlign w:val="bottom"/>
          </w:tcPr>
          <w:p>
            <w:pPr>
              <w:jc w:val="right"/>
              <w:ind w:right="238"/>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6540" w:type="dxa"/>
            <w:vAlign w:val="bottom"/>
            <w:shd w:val="clear" w:color="auto" w:fill="E5E5E5"/>
          </w:tcPr>
          <w:p>
            <w:pPr>
              <w:spacing w:after="0"/>
              <w:rPr>
                <w:sz w:val="20"/>
                <w:szCs w:val="20"/>
                <w:color w:val="auto"/>
              </w:rPr>
            </w:pPr>
            <w:r>
              <w:rPr>
                <w:rFonts w:ascii="Arial" w:cs="Arial" w:eastAsia="Arial" w:hAnsi="Arial"/>
                <w:sz w:val="18"/>
                <w:szCs w:val="18"/>
                <w:color w:val="auto"/>
                <w:w w:val="98"/>
              </w:rPr>
              <w:t>Unrealized gains (losses) on securities underlying prepaid forward sale agreements</w:t>
            </w:r>
          </w:p>
        </w:tc>
        <w:tc>
          <w:tcPr>
            <w:tcW w:w="6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18"/>
              <w:spacing w:after="0"/>
              <w:rPr>
                <w:sz w:val="20"/>
                <w:szCs w:val="20"/>
                <w:color w:val="auto"/>
              </w:rPr>
            </w:pPr>
            <w:r>
              <w:rPr>
                <w:rFonts w:ascii="Arial" w:cs="Arial" w:eastAsia="Arial" w:hAnsi="Arial"/>
                <w:sz w:val="18"/>
                <w:szCs w:val="18"/>
                <w:color w:val="auto"/>
              </w:rPr>
              <w:t>(576)</w:t>
            </w: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475</w:t>
            </w:r>
          </w:p>
        </w:tc>
        <w:tc>
          <w:tcPr>
            <w:tcW w:w="44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8"/>
              <w:spacing w:after="0"/>
              <w:rPr>
                <w:sz w:val="20"/>
                <w:szCs w:val="20"/>
                <w:color w:val="auto"/>
              </w:rPr>
            </w:pPr>
            <w:r>
              <w:rPr>
                <w:rFonts w:ascii="Arial" w:cs="Arial" w:eastAsia="Arial" w:hAnsi="Arial"/>
                <w:sz w:val="18"/>
                <w:szCs w:val="18"/>
                <w:color w:val="auto"/>
              </w:rPr>
              <w:t>(41)</w:t>
            </w: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w w:val="91"/>
              </w:rPr>
              <w:t>Mark to market adjustments on derivative component of prepaid forward sale agreements</w:t>
            </w:r>
          </w:p>
        </w:tc>
        <w:tc>
          <w:tcPr>
            <w:tcW w:w="680" w:type="dxa"/>
            <w:vAlign w:val="bottom"/>
          </w:tcPr>
          <w:p>
            <w:pPr>
              <w:spacing w:after="0"/>
              <w:rPr>
                <w:sz w:val="18"/>
                <w:szCs w:val="18"/>
                <w:color w:val="auto"/>
              </w:rPr>
            </w:pPr>
          </w:p>
        </w:tc>
        <w:tc>
          <w:tcPr>
            <w:tcW w:w="780" w:type="dxa"/>
            <w:vAlign w:val="bottom"/>
          </w:tcPr>
          <w:p>
            <w:pPr>
              <w:jc w:val="right"/>
              <w:ind w:right="278"/>
              <w:spacing w:after="0"/>
              <w:rPr>
                <w:sz w:val="20"/>
                <w:szCs w:val="20"/>
                <w:color w:val="auto"/>
              </w:rPr>
            </w:pPr>
            <w:r>
              <w:rPr>
                <w:rFonts w:ascii="Arial" w:cs="Arial" w:eastAsia="Arial" w:hAnsi="Arial"/>
                <w:sz w:val="18"/>
                <w:szCs w:val="18"/>
                <w:color w:val="auto"/>
              </w:rPr>
              <w:t>459</w:t>
            </w:r>
          </w:p>
        </w:tc>
        <w:tc>
          <w:tcPr>
            <w:tcW w:w="420" w:type="dxa"/>
            <w:vAlign w:val="bottom"/>
          </w:tcPr>
          <w:p>
            <w:pPr>
              <w:spacing w:after="0"/>
              <w:rPr>
                <w:sz w:val="18"/>
                <w:szCs w:val="18"/>
                <w:color w:val="auto"/>
              </w:rPr>
            </w:pPr>
          </w:p>
        </w:tc>
        <w:tc>
          <w:tcPr>
            <w:tcW w:w="800" w:type="dxa"/>
            <w:vAlign w:val="bottom"/>
          </w:tcPr>
          <w:p>
            <w:pPr>
              <w:jc w:val="right"/>
              <w:ind w:right="214"/>
              <w:spacing w:after="0"/>
              <w:rPr>
                <w:sz w:val="20"/>
                <w:szCs w:val="20"/>
                <w:color w:val="auto"/>
              </w:rPr>
            </w:pPr>
            <w:r>
              <w:rPr>
                <w:rFonts w:ascii="Arial" w:cs="Arial" w:eastAsia="Arial" w:hAnsi="Arial"/>
                <w:sz w:val="18"/>
                <w:szCs w:val="18"/>
                <w:color w:val="auto"/>
              </w:rPr>
              <w:t>(399)</w:t>
            </w:r>
          </w:p>
        </w:tc>
        <w:tc>
          <w:tcPr>
            <w:tcW w:w="440" w:type="dxa"/>
            <w:vAlign w:val="bottom"/>
          </w:tcPr>
          <w:p>
            <w:pPr>
              <w:spacing w:after="0"/>
              <w:rPr>
                <w:sz w:val="18"/>
                <w:szCs w:val="18"/>
                <w:color w:val="auto"/>
              </w:rPr>
            </w:pPr>
          </w:p>
        </w:tc>
        <w:tc>
          <w:tcPr>
            <w:tcW w:w="800" w:type="dxa"/>
            <w:vAlign w:val="bottom"/>
          </w:tcPr>
          <w:p>
            <w:pPr>
              <w:jc w:val="right"/>
              <w:ind w:right="298"/>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6540" w:type="dxa"/>
            <w:vAlign w:val="bottom"/>
            <w:shd w:val="clear" w:color="auto" w:fill="E5E5E5"/>
          </w:tcPr>
          <w:p>
            <w:pPr>
              <w:spacing w:after="0"/>
              <w:rPr>
                <w:sz w:val="20"/>
                <w:szCs w:val="20"/>
                <w:color w:val="auto"/>
              </w:rPr>
            </w:pPr>
            <w:r>
              <w:rPr>
                <w:rFonts w:ascii="Arial" w:cs="Arial" w:eastAsia="Arial" w:hAnsi="Arial"/>
                <w:sz w:val="18"/>
                <w:szCs w:val="18"/>
                <w:color w:val="auto"/>
              </w:rPr>
              <w:t>Mark to market adjustments on derivative component of ZONES</w:t>
            </w:r>
          </w:p>
        </w:tc>
        <w:tc>
          <w:tcPr>
            <w:tcW w:w="6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18"/>
              <w:spacing w:after="0"/>
              <w:rPr>
                <w:sz w:val="20"/>
                <w:szCs w:val="20"/>
                <w:color w:val="auto"/>
              </w:rPr>
            </w:pPr>
            <w:r>
              <w:rPr>
                <w:rFonts w:ascii="Arial" w:cs="Arial" w:eastAsia="Arial" w:hAnsi="Arial"/>
                <w:sz w:val="18"/>
                <w:szCs w:val="18"/>
                <w:color w:val="auto"/>
              </w:rPr>
              <w:t>(5)</w:t>
            </w: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(1)</w:t>
            </w:r>
          </w:p>
        </w:tc>
        <w:tc>
          <w:tcPr>
            <w:tcW w:w="44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98"/>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Interest and dividend income</w:t>
            </w:r>
          </w:p>
        </w:tc>
        <w:tc>
          <w:tcPr>
            <w:tcW w:w="680" w:type="dxa"/>
            <w:vAlign w:val="bottom"/>
          </w:tcPr>
          <w:p>
            <w:pPr>
              <w:spacing w:after="0"/>
              <w:rPr>
                <w:sz w:val="18"/>
                <w:szCs w:val="18"/>
                <w:color w:val="auto"/>
              </w:rPr>
            </w:pPr>
          </w:p>
        </w:tc>
        <w:tc>
          <w:tcPr>
            <w:tcW w:w="780" w:type="dxa"/>
            <w:vAlign w:val="bottom"/>
          </w:tcPr>
          <w:p>
            <w:pPr>
              <w:jc w:val="right"/>
              <w:ind w:right="278"/>
              <w:spacing w:after="0"/>
              <w:rPr>
                <w:sz w:val="20"/>
                <w:szCs w:val="20"/>
                <w:color w:val="auto"/>
              </w:rPr>
            </w:pPr>
            <w:r>
              <w:rPr>
                <w:rFonts w:ascii="Arial" w:cs="Arial" w:eastAsia="Arial" w:hAnsi="Arial"/>
                <w:sz w:val="18"/>
                <w:szCs w:val="18"/>
                <w:color w:val="auto"/>
              </w:rPr>
              <w:t>28</w:t>
            </w:r>
          </w:p>
        </w:tc>
        <w:tc>
          <w:tcPr>
            <w:tcW w:w="420" w:type="dxa"/>
            <w:vAlign w:val="bottom"/>
          </w:tcPr>
          <w:p>
            <w:pPr>
              <w:spacing w:after="0"/>
              <w:rPr>
                <w:sz w:val="18"/>
                <w:szCs w:val="18"/>
                <w:color w:val="auto"/>
              </w:rPr>
            </w:pPr>
          </w:p>
        </w:tc>
        <w:tc>
          <w:tcPr>
            <w:tcW w:w="800" w:type="dxa"/>
            <w:vAlign w:val="bottom"/>
          </w:tcPr>
          <w:p>
            <w:pPr>
              <w:jc w:val="right"/>
              <w:ind w:right="274"/>
              <w:spacing w:after="0"/>
              <w:rPr>
                <w:sz w:val="20"/>
                <w:szCs w:val="20"/>
                <w:color w:val="auto"/>
              </w:rPr>
            </w:pPr>
            <w:r>
              <w:rPr>
                <w:rFonts w:ascii="Arial" w:cs="Arial" w:eastAsia="Arial" w:hAnsi="Arial"/>
                <w:sz w:val="18"/>
                <w:szCs w:val="18"/>
                <w:color w:val="auto"/>
              </w:rPr>
              <w:t>25</w:t>
            </w:r>
          </w:p>
        </w:tc>
        <w:tc>
          <w:tcPr>
            <w:tcW w:w="440" w:type="dxa"/>
            <w:vAlign w:val="bottom"/>
          </w:tcPr>
          <w:p>
            <w:pPr>
              <w:spacing w:after="0"/>
              <w:rPr>
                <w:sz w:val="18"/>
                <w:szCs w:val="18"/>
                <w:color w:val="auto"/>
              </w:rPr>
            </w:pPr>
          </w:p>
        </w:tc>
        <w:tc>
          <w:tcPr>
            <w:tcW w:w="800" w:type="dxa"/>
            <w:vAlign w:val="bottom"/>
          </w:tcPr>
          <w:p>
            <w:pPr>
              <w:jc w:val="right"/>
              <w:ind w:right="298"/>
              <w:spacing w:after="0"/>
              <w:rPr>
                <w:sz w:val="20"/>
                <w:szCs w:val="20"/>
                <w:color w:val="auto"/>
              </w:rPr>
            </w:pPr>
            <w:r>
              <w:rPr>
                <w:rFonts w:ascii="Arial" w:cs="Arial" w:eastAsia="Arial" w:hAnsi="Arial"/>
                <w:sz w:val="18"/>
                <w:szCs w:val="18"/>
                <w:color w:val="auto"/>
              </w:rPr>
              <w:t>80</w:t>
            </w:r>
          </w:p>
        </w:tc>
        <w:tc>
          <w:tcPr>
            <w:tcW w:w="420" w:type="dxa"/>
            <w:vAlign w:val="bottom"/>
          </w:tcPr>
          <w:p>
            <w:pPr>
              <w:spacing w:after="0"/>
              <w:rPr>
                <w:sz w:val="18"/>
                <w:szCs w:val="18"/>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65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net</w:t>
            </w:r>
          </w:p>
        </w:tc>
        <w:tc>
          <w:tcPr>
            <w:tcW w:w="6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218"/>
              <w:spacing w:after="0"/>
              <w:rPr>
                <w:sz w:val="20"/>
                <w:szCs w:val="20"/>
                <w:color w:val="auto"/>
              </w:rPr>
            </w:pPr>
            <w:r>
              <w:rPr>
                <w:rFonts w:ascii="Arial" w:cs="Arial" w:eastAsia="Arial" w:hAnsi="Arial"/>
                <w:sz w:val="18"/>
                <w:szCs w:val="18"/>
                <w:color w:val="auto"/>
              </w:rPr>
              <w:t>(59)</w:t>
            </w:r>
          </w:p>
        </w:tc>
        <w:tc>
          <w:tcPr>
            <w:tcW w:w="4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274"/>
              <w:spacing w:after="0"/>
              <w:rPr>
                <w:sz w:val="20"/>
                <w:szCs w:val="20"/>
                <w:color w:val="auto"/>
              </w:rPr>
            </w:pPr>
            <w:r>
              <w:rPr>
                <w:rFonts w:ascii="Arial" w:cs="Arial" w:eastAsia="Arial" w:hAnsi="Arial"/>
                <w:sz w:val="18"/>
                <w:szCs w:val="18"/>
                <w:color w:val="auto"/>
              </w:rPr>
              <w:t>16</w:t>
            </w:r>
          </w:p>
        </w:tc>
        <w:tc>
          <w:tcPr>
            <w:tcW w:w="44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238"/>
              <w:spacing w:after="0"/>
              <w:rPr>
                <w:sz w:val="20"/>
                <w:szCs w:val="20"/>
                <w:color w:val="auto"/>
              </w:rPr>
            </w:pPr>
            <w:r>
              <w:rPr>
                <w:rFonts w:ascii="Arial" w:cs="Arial" w:eastAsia="Arial" w:hAnsi="Arial"/>
                <w:sz w:val="18"/>
                <w:szCs w:val="18"/>
                <w:color w:val="auto"/>
              </w:rPr>
              <w:t>(67)</w:t>
            </w:r>
          </w:p>
        </w:tc>
        <w:tc>
          <w:tcPr>
            <w:tcW w:w="4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7"/>
        </w:trPr>
        <w:tc>
          <w:tcPr>
            <w:tcW w:w="6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Investment income (loss), net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218"/>
              <w:spacing w:after="0"/>
              <w:rPr>
                <w:sz w:val="20"/>
                <w:szCs w:val="20"/>
                <w:color w:val="auto"/>
              </w:rPr>
            </w:pPr>
            <w:r>
              <w:rPr>
                <w:rFonts w:ascii="Arial" w:cs="Arial" w:eastAsia="Arial" w:hAnsi="Arial"/>
                <w:sz w:val="18"/>
                <w:szCs w:val="18"/>
                <w:b w:val="1"/>
                <w:bCs w:val="1"/>
                <w:color w:val="auto"/>
              </w:rPr>
              <w:t>(147)</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b w:val="1"/>
                <w:bCs w:val="1"/>
                <w:color w:val="auto"/>
              </w:rPr>
              <w:t>109</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298"/>
              <w:spacing w:after="0"/>
              <w:rPr>
                <w:sz w:val="20"/>
                <w:szCs w:val="20"/>
                <w:color w:val="auto"/>
              </w:rPr>
            </w:pPr>
            <w:r>
              <w:rPr>
                <w:rFonts w:ascii="Arial" w:cs="Arial" w:eastAsia="Arial" w:hAnsi="Arial"/>
                <w:sz w:val="18"/>
                <w:szCs w:val="18"/>
                <w:b w:val="1"/>
                <w:bCs w:val="1"/>
                <w:color w:val="auto"/>
              </w:rPr>
              <w:t>3</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210</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Goodwill and Other Intangible Assets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table below presents our goodwill attributable to our Cable Communications segment (previously our Cable segment), the Comcast Content Business (now included in the new NBCUniversal segments), and Corporate and Other, as well as the total goodwill attributable to the NBCUniversal acquired businesses. See Note 17 for additional information on our segments.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restart"/>
          </w:tcPr>
          <w:p>
            <w:pPr>
              <w:jc w:val="right"/>
              <w:ind w:right="316"/>
              <w:spacing w:after="0"/>
              <w:rPr>
                <w:sz w:val="20"/>
                <w:szCs w:val="20"/>
                <w:color w:val="auto"/>
              </w:rPr>
            </w:pPr>
            <w:r>
              <w:rPr>
                <w:rFonts w:ascii="Arial" w:cs="Arial" w:eastAsia="Arial" w:hAnsi="Arial"/>
                <w:sz w:val="14"/>
                <w:szCs w:val="14"/>
                <w:color w:val="auto"/>
              </w:rPr>
              <w:t>Cable</w:t>
            </w:r>
          </w:p>
        </w:tc>
        <w:tc>
          <w:tcPr>
            <w:tcW w:w="8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NBCUniversal</w:t>
            </w:r>
          </w:p>
        </w:tc>
        <w:tc>
          <w:tcPr>
            <w:tcW w:w="1100" w:type="dxa"/>
            <w:vAlign w:val="bottom"/>
            <w:tcBorders>
              <w:bottom w:val="single" w:sz="8" w:color="auto"/>
            </w:tcBorders>
          </w:tcPr>
          <w:p>
            <w:pPr>
              <w:spacing w:after="0"/>
              <w:rPr>
                <w:sz w:val="14"/>
                <w:szCs w:val="14"/>
                <w:color w:val="auto"/>
              </w:rPr>
            </w:pPr>
          </w:p>
        </w:tc>
        <w:tc>
          <w:tcPr>
            <w:tcW w:w="1780" w:type="dxa"/>
            <w:vAlign w:val="bottom"/>
            <w:gridSpan w:val="2"/>
            <w:vMerge w:val="restart"/>
          </w:tcPr>
          <w:p>
            <w:pPr>
              <w:ind w:left="640"/>
              <w:spacing w:after="0"/>
              <w:rPr>
                <w:sz w:val="20"/>
                <w:szCs w:val="20"/>
                <w:color w:val="auto"/>
              </w:rPr>
            </w:pPr>
            <w:r>
              <w:rPr>
                <w:rFonts w:ascii="Arial" w:cs="Arial" w:eastAsia="Arial" w:hAnsi="Arial"/>
                <w:sz w:val="14"/>
                <w:szCs w:val="14"/>
                <w:color w:val="auto"/>
              </w:rPr>
              <w:t>Corporate and</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660" w:type="dxa"/>
            <w:vAlign w:val="bottom"/>
            <w:gridSpan w:val="2"/>
          </w:tcPr>
          <w:p>
            <w:pPr>
              <w:ind w:left="660"/>
              <w:spacing w:after="0" w:line="131" w:lineRule="exact"/>
              <w:rPr>
                <w:sz w:val="20"/>
                <w:szCs w:val="20"/>
                <w:color w:val="auto"/>
              </w:rPr>
            </w:pPr>
            <w:r>
              <w:rPr>
                <w:rFonts w:ascii="Arial" w:cs="Arial" w:eastAsia="Arial" w:hAnsi="Arial"/>
                <w:sz w:val="14"/>
                <w:szCs w:val="14"/>
                <w:color w:val="auto"/>
                <w:w w:val="90"/>
              </w:rPr>
              <w:t>Comcast Content</w:t>
            </w:r>
          </w:p>
        </w:tc>
        <w:tc>
          <w:tcPr>
            <w:tcW w:w="820" w:type="dxa"/>
            <w:vAlign w:val="bottom"/>
          </w:tcPr>
          <w:p>
            <w:pPr>
              <w:spacing w:after="0"/>
              <w:rPr>
                <w:sz w:val="11"/>
                <w:szCs w:val="11"/>
                <w:color w:val="auto"/>
              </w:rPr>
            </w:pPr>
          </w:p>
        </w:tc>
        <w:tc>
          <w:tcPr>
            <w:tcW w:w="1100" w:type="dxa"/>
            <w:vAlign w:val="bottom"/>
          </w:tcPr>
          <w:p>
            <w:pPr>
              <w:jc w:val="right"/>
              <w:ind w:right="176"/>
              <w:spacing w:after="0" w:line="131" w:lineRule="exact"/>
              <w:rPr>
                <w:sz w:val="20"/>
                <w:szCs w:val="20"/>
                <w:color w:val="auto"/>
              </w:rPr>
            </w:pPr>
            <w:r>
              <w:rPr>
                <w:rFonts w:ascii="Arial" w:cs="Arial" w:eastAsia="Arial" w:hAnsi="Arial"/>
                <w:sz w:val="14"/>
                <w:szCs w:val="14"/>
                <w:color w:val="auto"/>
                <w:w w:val="93"/>
              </w:rPr>
              <w:t>NBCUniversal</w:t>
            </w:r>
          </w:p>
        </w:tc>
        <w:tc>
          <w:tcPr>
            <w:tcW w:w="1780" w:type="dxa"/>
            <w:vAlign w:val="bottom"/>
            <w:gridSpan w:val="2"/>
            <w:vMerge w:val="continue"/>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0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1940" w:type="dxa"/>
            <w:vAlign w:val="bottom"/>
            <w:tcBorders>
              <w:bottom w:val="single" w:sz="8" w:color="auto"/>
            </w:tcBorders>
            <w:gridSpan w:val="2"/>
          </w:tcPr>
          <w:p>
            <w:pPr>
              <w:ind w:left="920"/>
              <w:spacing w:after="0" w:line="159" w:lineRule="exact"/>
              <w:rPr>
                <w:sz w:val="20"/>
                <w:szCs w:val="20"/>
                <w:color w:val="auto"/>
              </w:rPr>
            </w:pPr>
            <w:r>
              <w:rPr>
                <w:rFonts w:ascii="Arial" w:cs="Arial" w:eastAsia="Arial" w:hAnsi="Arial"/>
                <w:sz w:val="14"/>
                <w:szCs w:val="14"/>
                <w:color w:val="auto"/>
                <w:w w:val="95"/>
              </w:rPr>
              <w:t>Communications</w:t>
            </w:r>
          </w:p>
        </w:tc>
        <w:tc>
          <w:tcPr>
            <w:tcW w:w="8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16"/>
              <w:spacing w:after="0" w:line="159" w:lineRule="exact"/>
              <w:rPr>
                <w:sz w:val="20"/>
                <w:szCs w:val="20"/>
                <w:color w:val="auto"/>
              </w:rPr>
            </w:pPr>
            <w:r>
              <w:rPr>
                <w:rFonts w:ascii="Arial" w:cs="Arial" w:eastAsia="Arial" w:hAnsi="Arial"/>
                <w:sz w:val="14"/>
                <w:szCs w:val="14"/>
                <w:color w:val="auto"/>
                <w:w w:val="91"/>
              </w:rPr>
              <w:t>Business</w:t>
            </w:r>
          </w:p>
        </w:tc>
        <w:tc>
          <w:tcPr>
            <w:tcW w:w="1920" w:type="dxa"/>
            <w:vAlign w:val="bottom"/>
            <w:tcBorders>
              <w:bottom w:val="single" w:sz="8" w:color="auto"/>
            </w:tcBorders>
            <w:gridSpan w:val="2"/>
          </w:tcPr>
          <w:p>
            <w:pPr>
              <w:ind w:left="680"/>
              <w:spacing w:after="0" w:line="159" w:lineRule="exact"/>
              <w:rPr>
                <w:sz w:val="20"/>
                <w:szCs w:val="20"/>
                <w:color w:val="auto"/>
              </w:rPr>
            </w:pPr>
            <w:r>
              <w:rPr>
                <w:rFonts w:ascii="Arial" w:cs="Arial" w:eastAsia="Arial" w:hAnsi="Arial"/>
                <w:sz w:val="14"/>
                <w:szCs w:val="14"/>
                <w:color w:val="auto"/>
                <w:w w:val="93"/>
              </w:rPr>
              <w:t>Acquired Businesses</w:t>
            </w:r>
          </w:p>
        </w:tc>
        <w:tc>
          <w:tcPr>
            <w:tcW w:w="8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16"/>
              <w:spacing w:after="0" w:line="159" w:lineRule="exact"/>
              <w:rPr>
                <w:sz w:val="20"/>
                <w:szCs w:val="20"/>
                <w:color w:val="auto"/>
              </w:rPr>
            </w:pPr>
            <w:r>
              <w:rPr>
                <w:rFonts w:ascii="Arial" w:cs="Arial" w:eastAsia="Arial" w:hAnsi="Arial"/>
                <w:sz w:val="14"/>
                <w:szCs w:val="14"/>
                <w:color w:val="auto"/>
              </w:rPr>
              <w:t>Other</w:t>
            </w:r>
          </w:p>
        </w:tc>
        <w:tc>
          <w:tcPr>
            <w:tcW w:w="1060" w:type="dxa"/>
            <w:vAlign w:val="bottom"/>
            <w:tcBorders>
              <w:bottom w:val="single" w:sz="8" w:color="auto"/>
            </w:tcBorders>
          </w:tcPr>
          <w:p>
            <w:pPr>
              <w:jc w:val="right"/>
              <w:ind w:right="176"/>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3060" w:type="dxa"/>
            <w:vAlign w:val="bottom"/>
            <w:shd w:val="clear" w:color="auto" w:fill="E5E5E5"/>
          </w:tcPr>
          <w:p>
            <w:pPr>
              <w:spacing w:after="0"/>
              <w:rPr>
                <w:sz w:val="20"/>
                <w:szCs w:val="20"/>
                <w:color w:val="auto"/>
              </w:rPr>
            </w:pPr>
            <w:r>
              <w:rPr>
                <w:rFonts w:ascii="Arial" w:cs="Arial" w:eastAsia="Arial" w:hAnsi="Arial"/>
                <w:sz w:val="18"/>
                <w:szCs w:val="18"/>
                <w:color w:val="auto"/>
              </w:rPr>
              <w:t>Balance, December 31, 2010</w:t>
            </w:r>
          </w:p>
        </w:tc>
        <w:tc>
          <w:tcPr>
            <w:tcW w:w="1120" w:type="dxa"/>
            <w:vAlign w:val="bottom"/>
            <w:shd w:val="clear" w:color="auto" w:fill="E5E5E5"/>
          </w:tcPr>
          <w:p>
            <w:pPr>
              <w:ind w:left="920"/>
              <w:spacing w:after="0"/>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12,207</w:t>
            </w:r>
          </w:p>
        </w:tc>
        <w:tc>
          <w:tcPr>
            <w:tcW w:w="820" w:type="dxa"/>
            <w:vAlign w:val="bottom"/>
            <w:shd w:val="clear" w:color="auto" w:fill="E5E5E5"/>
          </w:tcPr>
          <w:p>
            <w:pPr>
              <w:ind w:left="66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2,564</w:t>
            </w:r>
          </w:p>
        </w:tc>
        <w:tc>
          <w:tcPr>
            <w:tcW w:w="820" w:type="dxa"/>
            <w:vAlign w:val="bottom"/>
            <w:shd w:val="clear" w:color="auto" w:fill="E5E5E5"/>
          </w:tcPr>
          <w:p>
            <w:pPr>
              <w:ind w:left="6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ind w:left="640"/>
              <w:spacing w:after="0"/>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ind w:right="296"/>
              <w:spacing w:after="0"/>
              <w:rPr>
                <w:sz w:val="20"/>
                <w:szCs w:val="20"/>
                <w:color w:val="auto"/>
              </w:rPr>
            </w:pPr>
            <w:r>
              <w:rPr>
                <w:rFonts w:ascii="Arial" w:cs="Arial" w:eastAsia="Arial" w:hAnsi="Arial"/>
                <w:sz w:val="18"/>
                <w:szCs w:val="18"/>
                <w:color w:val="auto"/>
              </w:rPr>
              <w:t>187</w:t>
            </w:r>
          </w:p>
        </w:tc>
        <w:tc>
          <w:tcPr>
            <w:tcW w:w="106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$14,958</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Acquisitions</w:t>
            </w:r>
          </w:p>
        </w:tc>
        <w:tc>
          <w:tcPr>
            <w:tcW w:w="1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11,899</w:t>
            </w:r>
          </w:p>
        </w:tc>
        <w:tc>
          <w:tcPr>
            <w:tcW w:w="800" w:type="dxa"/>
            <w:vAlign w:val="bottom"/>
          </w:tcPr>
          <w:p>
            <w:pPr>
              <w:spacing w:after="0"/>
              <w:rPr>
                <w:sz w:val="18"/>
                <w:szCs w:val="18"/>
                <w:color w:val="auto"/>
              </w:rPr>
            </w:pPr>
          </w:p>
        </w:tc>
        <w:tc>
          <w:tcPr>
            <w:tcW w:w="980" w:type="dxa"/>
            <w:vAlign w:val="bottom"/>
          </w:tcPr>
          <w:p>
            <w:pPr>
              <w:jc w:val="right"/>
              <w:ind w:right="296"/>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11,899</w:t>
            </w:r>
          </w:p>
        </w:tc>
        <w:tc>
          <w:tcPr>
            <w:tcW w:w="0" w:type="dxa"/>
            <w:vAlign w:val="bottom"/>
          </w:tcPr>
          <w:p>
            <w:pPr>
              <w:spacing w:after="0"/>
              <w:rPr>
                <w:sz w:val="1"/>
                <w:szCs w:val="1"/>
                <w:color w:val="auto"/>
              </w:rPr>
            </w:pPr>
          </w:p>
        </w:tc>
      </w:tr>
      <w:tr>
        <w:trPr>
          <w:trHeight w:val="216"/>
        </w:trPr>
        <w:tc>
          <w:tcPr>
            <w:tcW w:w="30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Settlements and adjustments</w:t>
            </w:r>
          </w:p>
        </w:tc>
        <w:tc>
          <w:tcPr>
            <w:tcW w:w="112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8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(27)</w:t>
            </w:r>
          </w:p>
        </w:tc>
        <w:tc>
          <w:tcPr>
            <w:tcW w:w="820" w:type="dxa"/>
            <w:vAlign w:val="bottom"/>
            <w:tcBorders>
              <w:bottom w:val="single" w:sz="8" w:color="auto"/>
            </w:tcBorders>
            <w:shd w:val="clear" w:color="auto" w:fill="E5E5E5"/>
          </w:tcPr>
          <w:p>
            <w:pPr>
              <w:spacing w:after="0"/>
              <w:rPr>
                <w:sz w:val="18"/>
                <w:szCs w:val="18"/>
                <w:color w:val="auto"/>
              </w:rPr>
            </w:pPr>
          </w:p>
        </w:tc>
        <w:tc>
          <w:tcPr>
            <w:tcW w:w="110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ind w:right="296"/>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7"/>
        </w:trPr>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September 30, 2011</w:t>
            </w:r>
          </w:p>
        </w:tc>
        <w:tc>
          <w:tcPr>
            <w:tcW w:w="112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12,208</w:t>
            </w:r>
          </w:p>
        </w:tc>
        <w:tc>
          <w:tcPr>
            <w:tcW w:w="82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2,537</w:t>
            </w:r>
          </w:p>
        </w:tc>
        <w:tc>
          <w:tcPr>
            <w:tcW w:w="82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11,899</w:t>
            </w:r>
          </w:p>
        </w:tc>
        <w:tc>
          <w:tcPr>
            <w:tcW w:w="80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b w:val="1"/>
                <w:bCs w:val="1"/>
                <w:color w:val="auto"/>
              </w:rPr>
              <w:t>187</w:t>
            </w: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$26,831</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change in goodwill for the nine months ended September 30, 2011 is primarily related to the close of the NBCUniversal transaction on January 28, 2011 and the acquisition of the remaining 50% equity interest in UCDP that NBCUniversal did not already own. The preliminary allocation of purchase price to the assets and liabilities of each of the NBCUniversal and UCDP businesses acquired, and the allocation of goodwill among reporting segments, are not final and are subject to change. See Note 4 for additional information on the NBCUniversal and UCDP transactions.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380" w:type="dxa"/>
            <w:vAlign w:val="bottom"/>
          </w:tcPr>
          <w:p>
            <w:pPr>
              <w:jc w:val="right"/>
              <w:ind w:right="25"/>
              <w:spacing w:after="0"/>
              <w:rPr>
                <w:sz w:val="20"/>
                <w:szCs w:val="20"/>
                <w:color w:val="auto"/>
              </w:rPr>
            </w:pPr>
            <w:r>
              <w:rPr>
                <w:rFonts w:ascii="Arial" w:cs="Arial" w:eastAsia="Arial" w:hAnsi="Arial"/>
                <w:sz w:val="14"/>
                <w:szCs w:val="14"/>
                <w:color w:val="auto"/>
              </w:rPr>
              <w:t>Original Useful</w:t>
            </w:r>
          </w:p>
        </w:tc>
        <w:tc>
          <w:tcPr>
            <w:tcW w:w="700" w:type="dxa"/>
            <w:vAlign w:val="bottom"/>
          </w:tcPr>
          <w:p>
            <w:pPr>
              <w:spacing w:after="0"/>
              <w:rPr>
                <w:sz w:val="14"/>
                <w:szCs w:val="14"/>
                <w:color w:val="auto"/>
              </w:rPr>
            </w:pPr>
          </w:p>
        </w:tc>
        <w:tc>
          <w:tcPr>
            <w:tcW w:w="1540" w:type="dxa"/>
            <w:vAlign w:val="bottom"/>
            <w:gridSpan w:val="2"/>
          </w:tcPr>
          <w:p>
            <w:pPr>
              <w:ind w:left="580"/>
              <w:spacing w:after="0"/>
              <w:rPr>
                <w:sz w:val="20"/>
                <w:szCs w:val="20"/>
                <w:color w:val="auto"/>
              </w:rPr>
            </w:pPr>
            <w:r>
              <w:rPr>
                <w:rFonts w:ascii="Arial" w:cs="Arial" w:eastAsia="Arial" w:hAnsi="Arial"/>
                <w:sz w:val="14"/>
                <w:szCs w:val="14"/>
                <w:color w:val="auto"/>
              </w:rPr>
              <w:t>September 30,</w:t>
            </w: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December 31,</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3"/>
        </w:trPr>
        <w:tc>
          <w:tcPr>
            <w:tcW w:w="4240" w:type="dxa"/>
            <w:vAlign w:val="bottom"/>
          </w:tcPr>
          <w:p>
            <w:pPr>
              <w:spacing w:after="0"/>
              <w:rPr>
                <w:sz w:val="15"/>
                <w:szCs w:val="15"/>
                <w:color w:val="auto"/>
              </w:rPr>
            </w:pPr>
          </w:p>
        </w:tc>
        <w:tc>
          <w:tcPr>
            <w:tcW w:w="1380" w:type="dxa"/>
            <w:vAlign w:val="bottom"/>
          </w:tcPr>
          <w:p>
            <w:pPr>
              <w:jc w:val="center"/>
              <w:ind w:left="265"/>
              <w:spacing w:after="0"/>
              <w:rPr>
                <w:sz w:val="20"/>
                <w:szCs w:val="20"/>
                <w:color w:val="auto"/>
              </w:rPr>
            </w:pPr>
            <w:r>
              <w:rPr>
                <w:rFonts w:ascii="Arial" w:cs="Arial" w:eastAsia="Arial" w:hAnsi="Arial"/>
                <w:sz w:val="14"/>
                <w:szCs w:val="14"/>
                <w:color w:val="auto"/>
                <w:w w:val="94"/>
              </w:rPr>
              <w:t>Life at</w:t>
            </w:r>
          </w:p>
        </w:tc>
        <w:tc>
          <w:tcPr>
            <w:tcW w:w="7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2011</w:t>
            </w:r>
          </w:p>
        </w:tc>
        <w:tc>
          <w:tcPr>
            <w:tcW w:w="9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color w:val="auto"/>
              </w:rPr>
              <w:t>2010</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r>
      <w:tr>
        <w:trPr>
          <w:trHeight w:val="118"/>
        </w:trPr>
        <w:tc>
          <w:tcPr>
            <w:tcW w:w="4240" w:type="dxa"/>
            <w:vAlign w:val="bottom"/>
          </w:tcPr>
          <w:p>
            <w:pPr>
              <w:spacing w:after="0"/>
              <w:rPr>
                <w:sz w:val="10"/>
                <w:szCs w:val="10"/>
                <w:color w:val="auto"/>
              </w:rPr>
            </w:pPr>
          </w:p>
        </w:tc>
        <w:tc>
          <w:tcPr>
            <w:tcW w:w="1380" w:type="dxa"/>
            <w:vAlign w:val="bottom"/>
          </w:tcPr>
          <w:p>
            <w:pPr>
              <w:jc w:val="center"/>
              <w:ind w:left="245"/>
              <w:spacing w:after="0" w:line="118" w:lineRule="exact"/>
              <w:rPr>
                <w:sz w:val="20"/>
                <w:szCs w:val="20"/>
                <w:color w:val="auto"/>
              </w:rPr>
            </w:pPr>
            <w:r>
              <w:rPr>
                <w:rFonts w:ascii="Arial" w:cs="Arial" w:eastAsia="Arial" w:hAnsi="Arial"/>
                <w:sz w:val="12"/>
                <w:szCs w:val="12"/>
                <w:color w:val="auto"/>
                <w:w w:val="99"/>
              </w:rPr>
              <w:t>September 30,</w:t>
            </w:r>
          </w:p>
        </w:tc>
        <w:tc>
          <w:tcPr>
            <w:tcW w:w="1460" w:type="dxa"/>
            <w:vAlign w:val="bottom"/>
            <w:gridSpan w:val="2"/>
          </w:tcPr>
          <w:p>
            <w:pPr>
              <w:ind w:left="560"/>
              <w:spacing w:after="0" w:line="118" w:lineRule="exact"/>
              <w:rPr>
                <w:sz w:val="20"/>
                <w:szCs w:val="20"/>
                <w:color w:val="auto"/>
              </w:rPr>
            </w:pPr>
            <w:r>
              <w:rPr>
                <w:rFonts w:ascii="Arial" w:cs="Arial" w:eastAsia="Arial" w:hAnsi="Arial"/>
                <w:sz w:val="12"/>
                <w:szCs w:val="12"/>
                <w:color w:val="auto"/>
              </w:rPr>
              <w:t>Gross Carrying</w:t>
            </w:r>
          </w:p>
        </w:tc>
        <w:tc>
          <w:tcPr>
            <w:tcW w:w="1700" w:type="dxa"/>
            <w:vAlign w:val="bottom"/>
            <w:gridSpan w:val="2"/>
          </w:tcPr>
          <w:p>
            <w:pPr>
              <w:ind w:left="600"/>
              <w:spacing w:after="0" w:line="118" w:lineRule="exact"/>
              <w:rPr>
                <w:sz w:val="20"/>
                <w:szCs w:val="20"/>
                <w:color w:val="auto"/>
              </w:rPr>
            </w:pPr>
            <w:r>
              <w:rPr>
                <w:rFonts w:ascii="Arial" w:cs="Arial" w:eastAsia="Arial" w:hAnsi="Arial"/>
                <w:sz w:val="12"/>
                <w:szCs w:val="12"/>
                <w:color w:val="auto"/>
              </w:rPr>
              <w:t>Accumulated</w:t>
            </w:r>
          </w:p>
        </w:tc>
        <w:tc>
          <w:tcPr>
            <w:tcW w:w="1800" w:type="dxa"/>
            <w:vAlign w:val="bottom"/>
            <w:gridSpan w:val="2"/>
          </w:tcPr>
          <w:p>
            <w:pPr>
              <w:ind w:left="300"/>
              <w:spacing w:after="0" w:line="118" w:lineRule="exact"/>
              <w:rPr>
                <w:sz w:val="20"/>
                <w:szCs w:val="20"/>
                <w:color w:val="auto"/>
              </w:rPr>
            </w:pPr>
            <w:r>
              <w:rPr>
                <w:rFonts w:ascii="Arial" w:cs="Arial" w:eastAsia="Arial" w:hAnsi="Arial"/>
                <w:sz w:val="12"/>
                <w:szCs w:val="12"/>
                <w:color w:val="auto"/>
              </w:rPr>
              <w:t>Gross Carrying</w:t>
            </w:r>
          </w:p>
        </w:tc>
        <w:tc>
          <w:tcPr>
            <w:tcW w:w="840" w:type="dxa"/>
            <w:vAlign w:val="bottom"/>
            <w:gridSpan w:val="2"/>
          </w:tcPr>
          <w:p>
            <w:pPr>
              <w:spacing w:after="0" w:line="118" w:lineRule="exact"/>
              <w:rPr>
                <w:sz w:val="20"/>
                <w:szCs w:val="20"/>
                <w:color w:val="auto"/>
              </w:rPr>
            </w:pPr>
            <w:r>
              <w:rPr>
                <w:rFonts w:ascii="Arial" w:cs="Arial" w:eastAsia="Arial" w:hAnsi="Arial"/>
                <w:sz w:val="12"/>
                <w:szCs w:val="12"/>
                <w:color w:val="auto"/>
              </w:rPr>
              <w:t>Accumulated</w:t>
            </w:r>
          </w:p>
        </w:tc>
      </w:tr>
      <w:tr>
        <w:trPr>
          <w:trHeight w:val="173"/>
        </w:trPr>
        <w:tc>
          <w:tcPr>
            <w:tcW w:w="4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380" w:type="dxa"/>
            <w:vAlign w:val="bottom"/>
            <w:tcBorders>
              <w:bottom w:val="single" w:sz="8" w:color="auto"/>
            </w:tcBorders>
          </w:tcPr>
          <w:p>
            <w:pPr>
              <w:jc w:val="center"/>
              <w:ind w:left="245"/>
              <w:spacing w:after="0"/>
              <w:rPr>
                <w:sz w:val="20"/>
                <w:szCs w:val="20"/>
                <w:color w:val="auto"/>
              </w:rPr>
            </w:pPr>
            <w:r>
              <w:rPr>
                <w:rFonts w:ascii="Arial" w:cs="Arial" w:eastAsia="Arial" w:hAnsi="Arial"/>
                <w:sz w:val="14"/>
                <w:szCs w:val="14"/>
                <w:color w:val="auto"/>
                <w:w w:val="83"/>
              </w:rPr>
              <w:t>2011</w:t>
            </w:r>
          </w:p>
        </w:tc>
        <w:tc>
          <w:tcPr>
            <w:tcW w:w="7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w w:val="99"/>
              </w:rPr>
              <w:t>Amount</w:t>
            </w:r>
          </w:p>
        </w:tc>
        <w:tc>
          <w:tcPr>
            <w:tcW w:w="170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color w:val="auto"/>
              </w:rPr>
              <w:t>Amortization</w:t>
            </w:r>
          </w:p>
        </w:tc>
        <w:tc>
          <w:tcPr>
            <w:tcW w:w="4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781"/>
              <w:spacing w:after="0"/>
              <w:rPr>
                <w:sz w:val="20"/>
                <w:szCs w:val="20"/>
                <w:color w:val="auto"/>
              </w:rPr>
            </w:pPr>
            <w:r>
              <w:rPr>
                <w:rFonts w:ascii="Arial" w:cs="Arial" w:eastAsia="Arial" w:hAnsi="Arial"/>
                <w:sz w:val="14"/>
                <w:szCs w:val="14"/>
                <w:color w:val="auto"/>
                <w:w w:val="99"/>
              </w:rPr>
              <w:t>Amount</w:t>
            </w: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Amortization</w:t>
            </w:r>
          </w:p>
        </w:tc>
      </w:tr>
      <w:tr>
        <w:trPr>
          <w:trHeight w:val="210"/>
        </w:trPr>
        <w:tc>
          <w:tcPr>
            <w:tcW w:w="4240" w:type="dxa"/>
            <w:vAlign w:val="bottom"/>
            <w:shd w:val="clear" w:color="auto" w:fill="E5E5E5"/>
          </w:tcPr>
          <w:p>
            <w:pPr>
              <w:spacing w:after="0"/>
              <w:rPr>
                <w:sz w:val="20"/>
                <w:szCs w:val="20"/>
                <w:color w:val="auto"/>
              </w:rPr>
            </w:pPr>
            <w:r>
              <w:rPr>
                <w:rFonts w:ascii="Arial" w:cs="Arial" w:eastAsia="Arial" w:hAnsi="Arial"/>
                <w:sz w:val="18"/>
                <w:szCs w:val="18"/>
                <w:color w:val="auto"/>
              </w:rPr>
              <w:t>Other intangible assets</w:t>
            </w:r>
          </w:p>
        </w:tc>
        <w:tc>
          <w:tcPr>
            <w:tcW w:w="1380" w:type="dxa"/>
            <w:vAlign w:val="bottom"/>
            <w:shd w:val="clear" w:color="auto" w:fill="E5E5E5"/>
          </w:tcPr>
          <w:p>
            <w:pPr>
              <w:jc w:val="right"/>
              <w:ind w:right="25"/>
              <w:spacing w:after="0"/>
              <w:rPr>
                <w:sz w:val="20"/>
                <w:szCs w:val="20"/>
                <w:color w:val="auto"/>
              </w:rPr>
            </w:pPr>
            <w:r>
              <w:rPr>
                <w:rFonts w:ascii="Arial" w:cs="Arial" w:eastAsia="Arial" w:hAnsi="Arial"/>
                <w:sz w:val="18"/>
                <w:szCs w:val="18"/>
                <w:color w:val="auto"/>
              </w:rPr>
              <w:t>2-25 years</w:t>
            </w:r>
          </w:p>
        </w:tc>
        <w:tc>
          <w:tcPr>
            <w:tcW w:w="700" w:type="dxa"/>
            <w:vAlign w:val="bottom"/>
            <w:shd w:val="clear" w:color="auto" w:fill="E5E5E5"/>
          </w:tcPr>
          <w:p>
            <w:pPr>
              <w:ind w:left="560"/>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8,880</w:t>
            </w:r>
          </w:p>
        </w:tc>
        <w:tc>
          <w:tcPr>
            <w:tcW w:w="780" w:type="dxa"/>
            <w:vAlign w:val="bottom"/>
            <w:shd w:val="clear" w:color="auto" w:fill="E5E5E5"/>
          </w:tcPr>
          <w:p>
            <w:pPr>
              <w:ind w:left="600"/>
              <w:spacing w:after="0"/>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(5,777)</w:t>
            </w:r>
          </w:p>
        </w:tc>
        <w:tc>
          <w:tcPr>
            <w:tcW w:w="44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jc w:val="right"/>
              <w:ind w:right="581"/>
              <w:spacing w:after="0"/>
              <w:rPr>
                <w:sz w:val="20"/>
                <w:szCs w:val="20"/>
                <w:color w:val="auto"/>
              </w:rPr>
            </w:pPr>
            <w:r>
              <w:rPr>
                <w:rFonts w:ascii="Arial" w:cs="Arial" w:eastAsia="Arial" w:hAnsi="Arial"/>
                <w:sz w:val="18"/>
                <w:szCs w:val="18"/>
                <w:color w:val="auto"/>
              </w:rPr>
              <w:t>12,271</w:t>
            </w:r>
          </w:p>
        </w:tc>
        <w:tc>
          <w:tcPr>
            <w:tcW w:w="180" w:type="dxa"/>
            <w:vAlign w:val="bottom"/>
            <w:shd w:val="clear" w:color="auto" w:fill="E5E5E5"/>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(8,840)</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w w:val="99"/>
              </w:rPr>
              <w:t>Acquired NBCUniversal and UCDP intangible assets:</w:t>
            </w:r>
          </w:p>
        </w:tc>
        <w:tc>
          <w:tcPr>
            <w:tcW w:w="1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42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Finite-lived intangible assets</w:t>
            </w:r>
          </w:p>
        </w:tc>
        <w:tc>
          <w:tcPr>
            <w:tcW w:w="1380" w:type="dxa"/>
            <w:vAlign w:val="bottom"/>
            <w:shd w:val="clear" w:color="auto" w:fill="E5E5E5"/>
          </w:tcPr>
          <w:p>
            <w:pPr>
              <w:jc w:val="right"/>
              <w:ind w:right="25"/>
              <w:spacing w:after="0"/>
              <w:rPr>
                <w:sz w:val="20"/>
                <w:szCs w:val="20"/>
                <w:color w:val="auto"/>
              </w:rPr>
            </w:pPr>
            <w:r>
              <w:rPr>
                <w:rFonts w:ascii="Arial" w:cs="Arial" w:eastAsia="Arial" w:hAnsi="Arial"/>
                <w:sz w:val="18"/>
                <w:szCs w:val="18"/>
                <w:color w:val="auto"/>
              </w:rPr>
              <w:t>4-20 years</w:t>
            </w:r>
          </w:p>
        </w:tc>
        <w:tc>
          <w:tcPr>
            <w:tcW w:w="700" w:type="dxa"/>
            <w:vAlign w:val="bottom"/>
            <w:shd w:val="clear" w:color="auto" w:fill="E5E5E5"/>
          </w:tcPr>
          <w:p>
            <w:pPr>
              <w:spacing w:after="0"/>
              <w:rPr>
                <w:sz w:val="18"/>
                <w:szCs w:val="18"/>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11,566</w:t>
            </w:r>
          </w:p>
        </w:tc>
        <w:tc>
          <w:tcPr>
            <w:tcW w:w="78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(483)</w:t>
            </w:r>
          </w:p>
        </w:tc>
        <w:tc>
          <w:tcPr>
            <w:tcW w:w="440" w:type="dxa"/>
            <w:vAlign w:val="bottom"/>
            <w:shd w:val="clear" w:color="auto" w:fill="E5E5E5"/>
          </w:tcPr>
          <w:p>
            <w:pPr>
              <w:spacing w:after="0"/>
              <w:rPr>
                <w:sz w:val="18"/>
                <w:szCs w:val="18"/>
                <w:color w:val="auto"/>
              </w:rPr>
            </w:pPr>
          </w:p>
        </w:tc>
        <w:tc>
          <w:tcPr>
            <w:tcW w:w="1360" w:type="dxa"/>
            <w:vAlign w:val="bottom"/>
            <w:shd w:val="clear" w:color="auto" w:fill="E5E5E5"/>
          </w:tcPr>
          <w:p>
            <w:pPr>
              <w:jc w:val="right"/>
              <w:ind w:right="581"/>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42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Indefinite-lived intangible assets</w:t>
            </w:r>
          </w:p>
        </w:tc>
        <w:tc>
          <w:tcPr>
            <w:tcW w:w="1380" w:type="dxa"/>
            <w:vAlign w:val="bottom"/>
            <w:tcBorders>
              <w:bottom w:val="single" w:sz="8" w:color="auto"/>
            </w:tcBorders>
          </w:tcPr>
          <w:p>
            <w:pPr>
              <w:jc w:val="right"/>
              <w:ind w:right="25"/>
              <w:spacing w:after="0"/>
              <w:rPr>
                <w:sz w:val="20"/>
                <w:szCs w:val="20"/>
                <w:color w:val="auto"/>
              </w:rPr>
            </w:pPr>
            <w:r>
              <w:rPr>
                <w:rFonts w:ascii="Arial" w:cs="Arial" w:eastAsia="Arial" w:hAnsi="Arial"/>
                <w:sz w:val="18"/>
                <w:szCs w:val="18"/>
                <w:color w:val="auto"/>
              </w:rPr>
              <w:t>N/A</w:t>
            </w:r>
          </w:p>
        </w:tc>
        <w:tc>
          <w:tcPr>
            <w:tcW w:w="7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3,200</w:t>
            </w:r>
          </w:p>
        </w:tc>
        <w:tc>
          <w:tcPr>
            <w:tcW w:w="7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8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r>
      <w:tr>
        <w:trPr>
          <w:trHeight w:val="217"/>
        </w:trPr>
        <w:tc>
          <w:tcPr>
            <w:tcW w:w="42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ind w:left="56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23,646</w:t>
            </w:r>
          </w:p>
        </w:tc>
        <w:tc>
          <w:tcPr>
            <w:tcW w:w="780" w:type="dxa"/>
            <w:vAlign w:val="bottom"/>
            <w:tcBorders>
              <w:bottom w:val="single" w:sz="8" w:color="auto"/>
            </w:tcBorders>
            <w:shd w:val="clear" w:color="auto" w:fill="E5E5E5"/>
          </w:tcPr>
          <w:p>
            <w:pPr>
              <w:ind w:left="60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E5E5E5"/>
          </w:tcPr>
          <w:p>
            <w:pPr>
              <w:jc w:val="right"/>
              <w:ind w:right="232"/>
              <w:spacing w:after="0"/>
              <w:rPr>
                <w:sz w:val="20"/>
                <w:szCs w:val="20"/>
                <w:color w:val="auto"/>
              </w:rPr>
            </w:pPr>
            <w:r>
              <w:rPr>
                <w:rFonts w:ascii="Arial" w:cs="Arial" w:eastAsia="Arial" w:hAnsi="Arial"/>
                <w:sz w:val="18"/>
                <w:szCs w:val="18"/>
                <w:b w:val="1"/>
                <w:bCs w:val="1"/>
                <w:color w:val="auto"/>
              </w:rPr>
              <w:t>(6,260)</w:t>
            </w:r>
          </w:p>
        </w:tc>
        <w:tc>
          <w:tcPr>
            <w:tcW w:w="440" w:type="dxa"/>
            <w:vAlign w:val="bottom"/>
            <w:tcBorders>
              <w:bottom w:val="single" w:sz="8" w:color="auto"/>
            </w:tcBorders>
            <w:shd w:val="clear" w:color="auto" w:fill="E5E5E5"/>
          </w:tcPr>
          <w:p>
            <w:pPr>
              <w:ind w:left="30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shd w:val="clear" w:color="auto" w:fill="E5E5E5"/>
          </w:tcPr>
          <w:p>
            <w:pPr>
              <w:jc w:val="right"/>
              <w:ind w:right="581"/>
              <w:spacing w:after="0"/>
              <w:rPr>
                <w:sz w:val="20"/>
                <w:szCs w:val="20"/>
                <w:color w:val="auto"/>
              </w:rPr>
            </w:pPr>
            <w:r>
              <w:rPr>
                <w:rFonts w:ascii="Arial" w:cs="Arial" w:eastAsia="Arial" w:hAnsi="Arial"/>
                <w:sz w:val="18"/>
                <w:szCs w:val="18"/>
                <w:b w:val="1"/>
                <w:bCs w:val="1"/>
                <w:color w:val="auto"/>
              </w:rPr>
              <w:t>12,271</w:t>
            </w:r>
          </w:p>
        </w:tc>
        <w:tc>
          <w:tcPr>
            <w:tcW w:w="1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(8,840)</w:t>
            </w:r>
          </w:p>
        </w:tc>
      </w:tr>
    </w:tbl>
    <w:p>
      <w:pPr>
        <w:spacing w:after="0" w:line="5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decrease in the gross carrying amount and accumulated amortization of other intangible assets for the nine months ended September 30, 2011 was due to the write-off of fully amortized customer relationship and other intangible assets.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The intangible assets recorded as a result of the NBCUniversal transaction include finite-lived intangible assets, primarily relationships with advertisers and multichannel video providers, and indefinite-lived intangible assets, primarily trade names and Federal Communications Commission licenses.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intangible assets recorded as a result of the UCDP transaction primarily consist of the rights to use certain characters and trademarks in our theme parks.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additional information on the NBCUniversal and UCDP transactions.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Long-Term Debt</w:t>
      </w:r>
    </w:p>
    <w:p>
      <w:pPr>
        <w:spacing w:after="0" w:line="8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of September 30, 2011, our debt had an estimated fair value of approximately $46 billion. The estimated fair value of our publicly traded debt is based on quoted market values for the debt. To estimate the fair value of debt for which there are no quoted market prices, we use interest rates available to us for debt with similar terms and remaining maturities.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and UCDP Notes</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NBCUniversal issued $9.1 billion principal amount of senior debt securities during 2010 in connection with the NBCUniversal transaction. On July 1, 2011, NBCUniversal acquired the remaining 50% equity interest in UCDP that it did not already own (see Note 4) and consolidated UCDP’s senior notes due 2015 and senior subordinated notes due 2016. In accordance with acquisition accounting, the debt securities were recorded at fair value based on interest rates available to us for debt with similar terms and remaining maturities as of the respective acquisition dates. The table below presents the carrying value of NBCUniversal and UCDP debt securities included in our balance sheet as of September 30, 2011.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gridSpan w:val="2"/>
          </w:tcPr>
          <w:p>
            <w:pPr>
              <w:ind w:left="540"/>
              <w:spacing w:after="0"/>
              <w:rPr>
                <w:sz w:val="20"/>
                <w:szCs w:val="20"/>
                <w:color w:val="auto"/>
              </w:rPr>
            </w:pPr>
            <w:r>
              <w:rPr>
                <w:rFonts w:ascii="Arial" w:cs="Arial" w:eastAsia="Arial" w:hAnsi="Arial"/>
                <w:sz w:val="14"/>
                <w:szCs w:val="14"/>
                <w:color w:val="auto"/>
                <w:w w:val="93"/>
              </w:rPr>
              <w:t>September 30,</w:t>
            </w:r>
          </w:p>
        </w:tc>
        <w:tc>
          <w:tcPr>
            <w:tcW w:w="0" w:type="dxa"/>
            <w:vAlign w:val="bottom"/>
          </w:tcPr>
          <w:p>
            <w:pPr>
              <w:spacing w:after="0"/>
              <w:rPr>
                <w:sz w:val="1"/>
                <w:szCs w:val="1"/>
                <w:color w:val="auto"/>
              </w:rPr>
            </w:pPr>
          </w:p>
        </w:tc>
      </w:tr>
      <w:tr>
        <w:trPr>
          <w:trHeight w:val="159"/>
        </w:trPr>
        <w:tc>
          <w:tcPr>
            <w:tcW w:w="86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1360" w:type="dxa"/>
            <w:vAlign w:val="bottom"/>
            <w:tcBorders>
              <w:bottom w:val="single" w:sz="8" w:color="auto"/>
            </w:tcBorders>
          </w:tcPr>
          <w:p>
            <w:pPr>
              <w:jc w:val="right"/>
              <w:ind w:right="314"/>
              <w:spacing w:after="0" w:line="159" w:lineRule="exact"/>
              <w:rPr>
                <w:sz w:val="20"/>
                <w:szCs w:val="20"/>
                <w:color w:val="auto"/>
              </w:rPr>
            </w:pPr>
            <w:r>
              <w:rPr>
                <w:rFonts w:ascii="Arial" w:cs="Arial" w:eastAsia="Arial" w:hAnsi="Arial"/>
                <w:sz w:val="14"/>
                <w:szCs w:val="14"/>
                <w:color w:val="auto"/>
              </w:rPr>
              <w:t>Interest Rate</w:t>
            </w:r>
          </w:p>
        </w:tc>
        <w:tc>
          <w:tcPr>
            <w:tcW w:w="7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74"/>
              <w:spacing w:after="0" w:line="159"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10"/>
        </w:trPr>
        <w:tc>
          <w:tcPr>
            <w:tcW w:w="8640" w:type="dxa"/>
            <w:vAlign w:val="bottom"/>
            <w:shd w:val="clear" w:color="auto" w:fill="E5E5E5"/>
          </w:tcPr>
          <w:p>
            <w:pPr>
              <w:spacing w:after="0"/>
              <w:rPr>
                <w:sz w:val="20"/>
                <w:szCs w:val="20"/>
                <w:color w:val="auto"/>
              </w:rPr>
            </w:pPr>
            <w:r>
              <w:rPr>
                <w:rFonts w:ascii="Arial" w:cs="Arial" w:eastAsia="Arial" w:hAnsi="Arial"/>
                <w:sz w:val="18"/>
                <w:szCs w:val="18"/>
                <w:color w:val="auto"/>
              </w:rPr>
              <w:t>NBCUniversal:</w:t>
            </w:r>
          </w:p>
        </w:tc>
        <w:tc>
          <w:tcPr>
            <w:tcW w:w="13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440"/>
              <w:spacing w:after="0"/>
              <w:rPr>
                <w:sz w:val="20"/>
                <w:szCs w:val="20"/>
                <w:color w:val="auto"/>
              </w:rPr>
            </w:pPr>
            <w:r>
              <w:rPr>
                <w:rFonts w:ascii="Arial" w:cs="Arial" w:eastAsia="Arial" w:hAnsi="Arial"/>
                <w:sz w:val="18"/>
                <w:szCs w:val="18"/>
                <w:color w:val="auto"/>
              </w:rPr>
              <w:t>Senior notes due 2014</w:t>
            </w:r>
          </w:p>
        </w:tc>
        <w:tc>
          <w:tcPr>
            <w:tcW w:w="1360" w:type="dxa"/>
            <w:vAlign w:val="bottom"/>
          </w:tcPr>
          <w:p>
            <w:pPr>
              <w:jc w:val="right"/>
              <w:ind w:right="154"/>
              <w:spacing w:after="0"/>
              <w:rPr>
                <w:sz w:val="20"/>
                <w:szCs w:val="20"/>
                <w:color w:val="auto"/>
              </w:rPr>
            </w:pPr>
            <w:r>
              <w:rPr>
                <w:rFonts w:ascii="Arial" w:cs="Arial" w:eastAsia="Arial" w:hAnsi="Arial"/>
                <w:sz w:val="18"/>
                <w:szCs w:val="18"/>
                <w:color w:val="auto"/>
              </w:rPr>
              <w:t>2.100%</w:t>
            </w:r>
          </w:p>
        </w:tc>
        <w:tc>
          <w:tcPr>
            <w:tcW w:w="720" w:type="dxa"/>
            <w:vAlign w:val="bottom"/>
          </w:tcPr>
          <w:p>
            <w:pPr>
              <w:ind w:left="5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6"/>
        </w:trPr>
        <w:tc>
          <w:tcPr>
            <w:tcW w:w="86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Senior notes due 2015</w:t>
            </w:r>
          </w:p>
        </w:tc>
        <w:tc>
          <w:tcPr>
            <w:tcW w:w="136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3.650%</w:t>
            </w:r>
          </w:p>
        </w:tc>
        <w:tc>
          <w:tcPr>
            <w:tcW w:w="7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16"/>
        </w:trPr>
        <w:tc>
          <w:tcPr>
            <w:tcW w:w="8640" w:type="dxa"/>
            <w:vAlign w:val="bottom"/>
          </w:tcPr>
          <w:p>
            <w:pPr>
              <w:ind w:left="440"/>
              <w:spacing w:after="0"/>
              <w:rPr>
                <w:sz w:val="20"/>
                <w:szCs w:val="20"/>
                <w:color w:val="auto"/>
              </w:rPr>
            </w:pPr>
            <w:r>
              <w:rPr>
                <w:rFonts w:ascii="Arial" w:cs="Arial" w:eastAsia="Arial" w:hAnsi="Arial"/>
                <w:sz w:val="18"/>
                <w:szCs w:val="18"/>
                <w:color w:val="auto"/>
              </w:rPr>
              <w:t>Senior notes due 2016</w:t>
            </w:r>
          </w:p>
        </w:tc>
        <w:tc>
          <w:tcPr>
            <w:tcW w:w="1360" w:type="dxa"/>
            <w:vAlign w:val="bottom"/>
          </w:tcPr>
          <w:p>
            <w:pPr>
              <w:jc w:val="right"/>
              <w:ind w:right="154"/>
              <w:spacing w:after="0"/>
              <w:rPr>
                <w:sz w:val="20"/>
                <w:szCs w:val="20"/>
                <w:color w:val="auto"/>
              </w:rPr>
            </w:pPr>
            <w:r>
              <w:rPr>
                <w:rFonts w:ascii="Arial" w:cs="Arial" w:eastAsia="Arial" w:hAnsi="Arial"/>
                <w:sz w:val="18"/>
                <w:szCs w:val="18"/>
                <w:color w:val="auto"/>
              </w:rPr>
              <w:t>2.875%</w:t>
            </w:r>
          </w:p>
        </w:tc>
        <w:tc>
          <w:tcPr>
            <w:tcW w:w="72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16"/>
        </w:trPr>
        <w:tc>
          <w:tcPr>
            <w:tcW w:w="86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Senior notes due 2020</w:t>
            </w:r>
          </w:p>
        </w:tc>
        <w:tc>
          <w:tcPr>
            <w:tcW w:w="136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5.150%</w:t>
            </w:r>
          </w:p>
        </w:tc>
        <w:tc>
          <w:tcPr>
            <w:tcW w:w="7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16"/>
        </w:trPr>
        <w:tc>
          <w:tcPr>
            <w:tcW w:w="8640" w:type="dxa"/>
            <w:vAlign w:val="bottom"/>
          </w:tcPr>
          <w:p>
            <w:pPr>
              <w:ind w:left="440"/>
              <w:spacing w:after="0"/>
              <w:rPr>
                <w:sz w:val="20"/>
                <w:szCs w:val="20"/>
                <w:color w:val="auto"/>
              </w:rPr>
            </w:pPr>
            <w:r>
              <w:rPr>
                <w:rFonts w:ascii="Arial" w:cs="Arial" w:eastAsia="Arial" w:hAnsi="Arial"/>
                <w:sz w:val="18"/>
                <w:szCs w:val="18"/>
                <w:color w:val="auto"/>
              </w:rPr>
              <w:t>Senior notes due 2021</w:t>
            </w:r>
          </w:p>
        </w:tc>
        <w:tc>
          <w:tcPr>
            <w:tcW w:w="1360" w:type="dxa"/>
            <w:vAlign w:val="bottom"/>
          </w:tcPr>
          <w:p>
            <w:pPr>
              <w:jc w:val="right"/>
              <w:ind w:right="154"/>
              <w:spacing w:after="0"/>
              <w:rPr>
                <w:sz w:val="20"/>
                <w:szCs w:val="20"/>
                <w:color w:val="auto"/>
              </w:rPr>
            </w:pPr>
            <w:r>
              <w:rPr>
                <w:rFonts w:ascii="Arial" w:cs="Arial" w:eastAsia="Arial" w:hAnsi="Arial"/>
                <w:sz w:val="18"/>
                <w:szCs w:val="18"/>
                <w:color w:val="auto"/>
              </w:rPr>
              <w:t>4.375%</w:t>
            </w:r>
          </w:p>
        </w:tc>
        <w:tc>
          <w:tcPr>
            <w:tcW w:w="72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1,939</w:t>
            </w:r>
          </w:p>
        </w:tc>
        <w:tc>
          <w:tcPr>
            <w:tcW w:w="0" w:type="dxa"/>
            <w:vAlign w:val="bottom"/>
          </w:tcPr>
          <w:p>
            <w:pPr>
              <w:spacing w:after="0"/>
              <w:rPr>
                <w:sz w:val="1"/>
                <w:szCs w:val="1"/>
                <w:color w:val="auto"/>
              </w:rPr>
            </w:pPr>
          </w:p>
        </w:tc>
      </w:tr>
      <w:tr>
        <w:trPr>
          <w:trHeight w:val="216"/>
        </w:trPr>
        <w:tc>
          <w:tcPr>
            <w:tcW w:w="86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Senior notes due 2040</w:t>
            </w:r>
          </w:p>
        </w:tc>
        <w:tc>
          <w:tcPr>
            <w:tcW w:w="136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6.400%</w:t>
            </w:r>
          </w:p>
        </w:tc>
        <w:tc>
          <w:tcPr>
            <w:tcW w:w="7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16"/>
        </w:trPr>
        <w:tc>
          <w:tcPr>
            <w:tcW w:w="8640" w:type="dxa"/>
            <w:vAlign w:val="bottom"/>
          </w:tcPr>
          <w:p>
            <w:pPr>
              <w:ind w:left="440"/>
              <w:spacing w:after="0"/>
              <w:rPr>
                <w:sz w:val="20"/>
                <w:szCs w:val="20"/>
                <w:color w:val="auto"/>
              </w:rPr>
            </w:pPr>
            <w:r>
              <w:rPr>
                <w:rFonts w:ascii="Arial" w:cs="Arial" w:eastAsia="Arial" w:hAnsi="Arial"/>
                <w:sz w:val="18"/>
                <w:szCs w:val="18"/>
                <w:color w:val="auto"/>
              </w:rPr>
              <w:t>Senior notes due 2041</w:t>
            </w:r>
          </w:p>
        </w:tc>
        <w:tc>
          <w:tcPr>
            <w:tcW w:w="1360" w:type="dxa"/>
            <w:vAlign w:val="bottom"/>
          </w:tcPr>
          <w:p>
            <w:pPr>
              <w:jc w:val="right"/>
              <w:ind w:right="154"/>
              <w:spacing w:after="0"/>
              <w:rPr>
                <w:sz w:val="20"/>
                <w:szCs w:val="20"/>
                <w:color w:val="auto"/>
              </w:rPr>
            </w:pPr>
            <w:r>
              <w:rPr>
                <w:rFonts w:ascii="Arial" w:cs="Arial" w:eastAsia="Arial" w:hAnsi="Arial"/>
                <w:sz w:val="18"/>
                <w:szCs w:val="18"/>
                <w:color w:val="auto"/>
              </w:rPr>
              <w:t>5.950%</w:t>
            </w:r>
          </w:p>
        </w:tc>
        <w:tc>
          <w:tcPr>
            <w:tcW w:w="72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16"/>
        </w:trPr>
        <w:tc>
          <w:tcPr>
            <w:tcW w:w="8640" w:type="dxa"/>
            <w:vAlign w:val="bottom"/>
            <w:shd w:val="clear" w:color="auto" w:fill="E5E5E5"/>
          </w:tcPr>
          <w:p>
            <w:pPr>
              <w:spacing w:after="0"/>
              <w:rPr>
                <w:sz w:val="20"/>
                <w:szCs w:val="20"/>
                <w:color w:val="auto"/>
              </w:rPr>
            </w:pPr>
            <w:r>
              <w:rPr>
                <w:rFonts w:ascii="Arial" w:cs="Arial" w:eastAsia="Arial" w:hAnsi="Arial"/>
                <w:sz w:val="18"/>
                <w:szCs w:val="18"/>
                <w:color w:val="auto"/>
              </w:rPr>
              <w:t>UCDP:</w:t>
            </w:r>
          </w:p>
        </w:tc>
        <w:tc>
          <w:tcPr>
            <w:tcW w:w="13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440"/>
              <w:spacing w:after="0"/>
              <w:rPr>
                <w:sz w:val="20"/>
                <w:szCs w:val="20"/>
                <w:color w:val="auto"/>
              </w:rPr>
            </w:pPr>
            <w:r>
              <w:rPr>
                <w:rFonts w:ascii="Arial" w:cs="Arial" w:eastAsia="Arial" w:hAnsi="Arial"/>
                <w:sz w:val="18"/>
                <w:szCs w:val="18"/>
                <w:color w:val="auto"/>
              </w:rPr>
              <w:t>Senior notes due 2015</w:t>
            </w:r>
          </w:p>
        </w:tc>
        <w:tc>
          <w:tcPr>
            <w:tcW w:w="1360" w:type="dxa"/>
            <w:vAlign w:val="bottom"/>
          </w:tcPr>
          <w:p>
            <w:pPr>
              <w:jc w:val="right"/>
              <w:ind w:right="154"/>
              <w:spacing w:after="0"/>
              <w:rPr>
                <w:sz w:val="20"/>
                <w:szCs w:val="20"/>
                <w:color w:val="auto"/>
              </w:rPr>
            </w:pPr>
            <w:r>
              <w:rPr>
                <w:rFonts w:ascii="Arial" w:cs="Arial" w:eastAsia="Arial" w:hAnsi="Arial"/>
                <w:sz w:val="18"/>
                <w:szCs w:val="18"/>
                <w:color w:val="auto"/>
              </w:rPr>
              <w:t>8.875%</w:t>
            </w:r>
          </w:p>
        </w:tc>
        <w:tc>
          <w:tcPr>
            <w:tcW w:w="72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864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Senior subordinated notes due 2016</w:t>
            </w:r>
          </w:p>
        </w:tc>
        <w:tc>
          <w:tcPr>
            <w:tcW w:w="136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10.875%</w:t>
            </w:r>
          </w:p>
        </w:tc>
        <w:tc>
          <w:tcPr>
            <w:tcW w:w="7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7"/>
        </w:trPr>
        <w:tc>
          <w:tcPr>
            <w:tcW w:w="8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9,606</w:t>
            </w:r>
          </w:p>
        </w:tc>
        <w:tc>
          <w:tcPr>
            <w:tcW w:w="0" w:type="dxa"/>
            <w:vAlign w:val="bottom"/>
          </w:tcPr>
          <w:p>
            <w:pPr>
              <w:spacing w:after="0"/>
              <w:rPr>
                <w:sz w:val="1"/>
                <w:szCs w:val="1"/>
                <w:color w:val="auto"/>
              </w:rPr>
            </w:pPr>
          </w:p>
        </w:tc>
      </w:tr>
      <w:tr>
        <w:trPr>
          <w:trHeight w:val="336"/>
        </w:trPr>
        <w:tc>
          <w:tcPr>
            <w:tcW w:w="8640" w:type="dxa"/>
            <w:vAlign w:val="bottom"/>
          </w:tcPr>
          <w:p>
            <w:pPr>
              <w:spacing w:after="0"/>
              <w:rPr>
                <w:sz w:val="20"/>
                <w:szCs w:val="20"/>
                <w:color w:val="auto"/>
              </w:rPr>
            </w:pPr>
            <w:r>
              <w:rPr>
                <w:rFonts w:ascii="Arial" w:cs="Arial" w:eastAsia="Arial" w:hAnsi="Arial"/>
                <w:sz w:val="18"/>
                <w:szCs w:val="18"/>
                <w:b w:val="1"/>
                <w:bCs w:val="1"/>
                <w:color w:val="auto"/>
              </w:rPr>
              <w:t>Repayments</w:t>
            </w:r>
          </w:p>
        </w:tc>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6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gridSpan w:val="2"/>
          </w:tcPr>
          <w:p>
            <w:pPr>
              <w:ind w:left="240"/>
              <w:spacing w:after="0"/>
              <w:rPr>
                <w:sz w:val="20"/>
                <w:szCs w:val="20"/>
                <w:color w:val="auto"/>
              </w:rPr>
            </w:pPr>
            <w:r>
              <w:rPr>
                <w:rFonts w:ascii="Arial" w:cs="Arial" w:eastAsia="Arial" w:hAnsi="Arial"/>
                <w:sz w:val="14"/>
                <w:szCs w:val="14"/>
                <w:color w:val="auto"/>
                <w:w w:val="94"/>
              </w:rPr>
              <w:t>Nine Months Ended</w:t>
            </w:r>
          </w:p>
        </w:tc>
        <w:tc>
          <w:tcPr>
            <w:tcW w:w="0" w:type="dxa"/>
            <w:vAlign w:val="bottom"/>
          </w:tcPr>
          <w:p>
            <w:pPr>
              <w:spacing w:after="0"/>
              <w:rPr>
                <w:sz w:val="1"/>
                <w:szCs w:val="1"/>
                <w:color w:val="auto"/>
              </w:rPr>
            </w:pPr>
          </w:p>
        </w:tc>
      </w:tr>
      <w:tr>
        <w:trPr>
          <w:trHeight w:val="159"/>
        </w:trPr>
        <w:tc>
          <w:tcPr>
            <w:tcW w:w="8640" w:type="dxa"/>
            <w:vAlign w:val="bottom"/>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right"/>
              <w:ind w:right="174"/>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66"/>
        </w:trPr>
        <w:tc>
          <w:tcPr>
            <w:tcW w:w="86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jc w:val="right"/>
              <w:ind w:right="194"/>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25"/>
        </w:trPr>
        <w:tc>
          <w:tcPr>
            <w:tcW w:w="8640" w:type="dxa"/>
            <w:vAlign w:val="bottom"/>
            <w:tcBorders>
              <w:bottom w:val="single" w:sz="8" w:color="auto"/>
            </w:tcBorders>
            <w:vMerge w:val="continue"/>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8640" w:type="dxa"/>
            <w:vAlign w:val="bottom"/>
            <w:shd w:val="clear" w:color="auto" w:fill="E5E5E5"/>
          </w:tcPr>
          <w:p>
            <w:pPr>
              <w:spacing w:after="0"/>
              <w:rPr>
                <w:sz w:val="20"/>
                <w:szCs w:val="20"/>
                <w:color w:val="auto"/>
              </w:rPr>
            </w:pPr>
            <w:r>
              <w:rPr>
                <w:rFonts w:ascii="Arial" w:cs="Arial" w:eastAsia="Arial" w:hAnsi="Arial"/>
                <w:sz w:val="18"/>
                <w:szCs w:val="18"/>
                <w:color w:val="auto"/>
              </w:rPr>
              <w:t>Comcast 6.75% notes due 2011</w:t>
            </w:r>
          </w:p>
        </w:tc>
        <w:tc>
          <w:tcPr>
            <w:tcW w:w="1360" w:type="dxa"/>
            <w:vAlign w:val="bottom"/>
            <w:shd w:val="clear" w:color="auto" w:fill="E5E5E5"/>
          </w:tcPr>
          <w:p>
            <w:pPr>
              <w:spacing w:after="0"/>
              <w:rPr>
                <w:sz w:val="18"/>
                <w:szCs w:val="18"/>
                <w:color w:val="auto"/>
              </w:rPr>
            </w:pPr>
          </w:p>
        </w:tc>
        <w:tc>
          <w:tcPr>
            <w:tcW w:w="72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Comcast 5.5% notes due 2011</w:t>
            </w: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8640" w:type="dxa"/>
            <w:vAlign w:val="bottom"/>
            <w:shd w:val="clear" w:color="auto" w:fill="E5E5E5"/>
          </w:tcPr>
          <w:p>
            <w:pPr>
              <w:spacing w:after="0"/>
              <w:rPr>
                <w:sz w:val="20"/>
                <w:szCs w:val="20"/>
                <w:color w:val="auto"/>
              </w:rPr>
            </w:pPr>
            <w:r>
              <w:rPr>
                <w:rFonts w:ascii="Arial" w:cs="Arial" w:eastAsia="Arial" w:hAnsi="Arial"/>
                <w:sz w:val="18"/>
                <w:szCs w:val="18"/>
                <w:color w:val="auto"/>
              </w:rPr>
              <w:t>UCDP term loan</w:t>
            </w:r>
          </w:p>
        </w:tc>
        <w:tc>
          <w:tcPr>
            <w:tcW w:w="13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UCDP 8.875% notes due 2015</w:t>
            </w: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8640" w:type="dxa"/>
            <w:vAlign w:val="bottom"/>
            <w:shd w:val="clear" w:color="auto" w:fill="E5E5E5"/>
          </w:tcPr>
          <w:p>
            <w:pPr>
              <w:spacing w:after="0"/>
              <w:rPr>
                <w:sz w:val="20"/>
                <w:szCs w:val="20"/>
                <w:color w:val="auto"/>
              </w:rPr>
            </w:pPr>
            <w:r>
              <w:rPr>
                <w:rFonts w:ascii="Arial" w:cs="Arial" w:eastAsia="Arial" w:hAnsi="Arial"/>
                <w:sz w:val="18"/>
                <w:szCs w:val="18"/>
                <w:color w:val="auto"/>
              </w:rPr>
              <w:t>UCDP 10.875% notes due 2016</w:t>
            </w:r>
          </w:p>
        </w:tc>
        <w:tc>
          <w:tcPr>
            <w:tcW w:w="13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8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7"/>
        </w:trPr>
        <w:tc>
          <w:tcPr>
            <w:tcW w:w="86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2,813</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Bank Credit Facilities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August 2011, we borrowed $300 million from our $6.8 billion revolving credit facility due 2013, which remained outstanding as of September 30, 2011. The proceeds from this borrowing will be used for general corporate working capital purposes.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Effective with the close of the NBCUniversal transaction on January 28, 2011, NBCUniversal has a revolving credit facility with a syndicate of banks that may be used for general corporate purposes. In June 2011, NBCUniversal amended its revolving credit facility, which increased the size of the facility to $1.5 billion from $750 million, reduced the interest rate payable under the facility and extended the maturity of the loan commitment to June 2016 from January 2014. On July 1, 2011, $750 million of borrowings under the revolving credit facility were used to fund a portion of NBCUniversal’s acquisition of the remaining 50% equity interest in UCDP that it did not already own and to terminate UCDP’s existing term loan immediately following the acquisition. See Note 4 for additional information on the UCDP transaction. As of September 30, 2011, the amount outstanding under NBCUniversal’s revolving credit facility was $200 million, which was repaid in full in October 2011.</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Paper</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nine months ended September 30, 2011, we issued $400 million face amount of commercial paper, net of repayments. The proceeds from these issuances will be used for general corporate working capital purposes.</w:t>
      </w:r>
    </w:p>
    <w:p>
      <w:pPr>
        <w:spacing w:after="0" w:line="3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August 2011, NBCUniversal initiated a commercial paper program to fund its short-term working capital requirements. The program is supported by NBCUniversal’s revolving credit facility and has a maximum borrowing capacity of $1.5 billion. During the three months ended September 30, 2011, NBCUniversal issued $749 million face amount of commercial paper, net of repayments. The proceeds from these issuances were used to repay the borrowings under the NBCUniversal revolving credit facility and fund our short-term working capital requirements.</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Derivative Financial Instruments</w:t>
      </w:r>
    </w:p>
    <w:p>
      <w:pPr>
        <w:spacing w:after="0" w:line="8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use derivative financial instruments to manage our exposure to the risks associated with fluctuations in interest rates, foreign exchange rates and equity prices. Our objective is to manage the financial and operational exposure arising from these risks by offsetting gains and losses on the underlying exposures with gains and losses on the derivatives used to economically hedge them. We do not engage in any speculative or leveraged derivative transactions. All derivative transactions must comply with the derivatives policy approved by our Board of Directors. Derivative financial instruments are recorded in our consolidated balance sheet at fair value. We formally document, at inception of the hedging relationship, derivative financial instruments designated to hedge the exposure to changes in the fair value of a recognized asset or liability or an unrecognized firm commitment (“fair value hedge”) or the exposure to changes in cash flows of a forecasted transaction (“cash flow hedge”), and we evaluate them for effectiveness at the time they are designated, as well as throughout the hedging period.</w:t>
      </w:r>
    </w:p>
    <w:p>
      <w:pPr>
        <w:spacing w:after="0" w:line="2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manage our exposure to fluctuations in interest rates by using derivative financial instruments such as interest rate exchange agreements (“swaps”) and interest rate lock agreements (“rate locks”). We sometimes enter into rate locks or collars to hedge the risk that the cash flows related to the interest payments on an anticipated issuance or assumption of fixed-rate debt may be adversely affected by interest rate fluctuations.</w:t>
      </w:r>
    </w:p>
    <w:p>
      <w:pPr>
        <w:spacing w:after="0" w:line="1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manage our exposure to foreign exchange risk related to NBCUniversal’s recognized balance sheet amounts in foreign currency and foreign currency denominated production costs and rights, as well as international content-related revenue and royalties, by using foreign exchange contracts such as forward contracts and currency options. We manage our exposure to foreign exchange risk related to our foreign currency denominated borrowings by using cross-currency swap agreements, effectively converting these borrowings to U.S. dollar denominated borrowings.</w:t>
      </w:r>
    </w:p>
    <w:p>
      <w:pPr>
        <w:spacing w:after="0" w:line="18"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We manage our exposure to price fluctuations in the common stock of some of our investments by using equity derivative financial instruments embedded in other contracts, such as prepaid forward sale agreements, whose values, in part, are derived from the market value of certain publicly traded common stock.</w:t>
      </w:r>
    </w:p>
    <w:p>
      <w:pPr>
        <w:spacing w:after="0" w:line="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manage the credit risks associated with our derivative financial instruments through diversification and the evaluation and monitoring of the creditworthiness of the counterparties. Although we may be exposed to losses in the event of nonperformance by the counterparties, we do not expect such losses, if any, to be significant. We have agreements with certain counterparties that include collateral provisions. These provisions require a party with an aggregate unrealized loss position in excess of certain thresholds to post cash collateral for the amount in excess 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threshold. The threshold levels in our collateral agreements are based on our and the counterparties’ credit ratings. As of September 30, 2011 and December 31, 2010, neither we nor any of the counterparties were required to post collateral under the terms of the agreements.</w:t>
      </w:r>
    </w:p>
    <w:p>
      <w:pPr>
        <w:spacing w:after="0" w:line="3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September 30, 2011, our derivative financial instruments designated as hedges included (i) our interest rate swap agreements, which are recorded to other current or noncurrent assets, (ii) certain of our foreign exchange contracts, which are recorded to other current assets or accrued expenses and other current liabilities, (iii) our cross-currency swap agreements, which are recorded to other noncurrent liabilities, and (iv) the derivative component of one of our prepaid forward sale agreements, which is recorded to other noncurrent liabilities.</w:t>
      </w:r>
    </w:p>
    <w:p>
      <w:pPr>
        <w:spacing w:after="0" w:line="4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As of September 30, 2011, our derivative financial instruments not designated as hedges were (i) certain of our foreign exchange contracts, which are recorded to other current assets or accrued expenses and other current liabilities, (ii) the derivative component of our indexed debt instruments (our ZONES debt), which is recorded to long-term debt, and (iii) the derivative component of certain of our prepaid forward sale agreements, which is recorded to noncurrent liabilities.</w:t>
      </w:r>
    </w:p>
    <w:p>
      <w:pPr>
        <w:spacing w:after="0" w:line="12" w:lineRule="exact"/>
        <w:rPr>
          <w:sz w:val="20"/>
          <w:szCs w:val="20"/>
          <w:color w:val="auto"/>
        </w:rPr>
      </w:pPr>
    </w:p>
    <w:p>
      <w:pPr>
        <w:ind w:right="1100"/>
        <w:spacing w:after="0" w:line="377" w:lineRule="auto"/>
        <w:rPr>
          <w:sz w:val="20"/>
          <w:szCs w:val="20"/>
          <w:color w:val="auto"/>
        </w:rPr>
      </w:pPr>
      <w:r>
        <w:rPr>
          <w:rFonts w:ascii="Arial" w:cs="Arial" w:eastAsia="Arial" w:hAnsi="Arial"/>
          <w:sz w:val="18"/>
          <w:szCs w:val="18"/>
          <w:color w:val="auto"/>
        </w:rPr>
        <w:t xml:space="preserve">See Note 10 for additional information on the fair values of our derivative financial instruments as of September 30, 2011 and December 31, 2010. </w:t>
      </w:r>
      <w:r>
        <w:rPr>
          <w:rFonts w:ascii="Arial" w:cs="Arial" w:eastAsia="Arial" w:hAnsi="Arial"/>
          <w:sz w:val="18"/>
          <w:szCs w:val="18"/>
          <w:b w:val="1"/>
          <w:bCs w:val="1"/>
          <w:color w:val="auto"/>
        </w:rPr>
        <w:t>Fair Value Hedges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 of Gain (Loss) Recognized in Income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0" w:type="dxa"/>
            <w:vAlign w:val="bottom"/>
            <w:gridSpan w:val="3"/>
          </w:tcPr>
          <w:p>
            <w:pPr>
              <w:jc w:val="right"/>
              <w:ind w:right="576"/>
              <w:spacing w:after="0"/>
              <w:rPr>
                <w:sz w:val="20"/>
                <w:szCs w:val="20"/>
                <w:color w:val="auto"/>
              </w:rPr>
            </w:pPr>
            <w:r>
              <w:rPr>
                <w:rFonts w:ascii="Arial" w:cs="Arial" w:eastAsia="Arial" w:hAnsi="Arial"/>
                <w:sz w:val="14"/>
                <w:szCs w:val="14"/>
                <w:color w:val="auto"/>
              </w:rPr>
              <w:t>Three Months Ended</w:t>
            </w:r>
          </w:p>
        </w:tc>
        <w:tc>
          <w:tcPr>
            <w:tcW w:w="420" w:type="dxa"/>
            <w:vAlign w:val="bottom"/>
          </w:tcPr>
          <w:p>
            <w:pPr>
              <w:spacing w:after="0"/>
              <w:rPr>
                <w:sz w:val="14"/>
                <w:szCs w:val="14"/>
                <w:color w:val="auto"/>
              </w:rPr>
            </w:pPr>
          </w:p>
        </w:tc>
        <w:tc>
          <w:tcPr>
            <w:tcW w:w="1760" w:type="dxa"/>
            <w:vAlign w:val="bottom"/>
            <w:gridSpan w:val="3"/>
          </w:tcPr>
          <w:p>
            <w:pPr>
              <w:jc w:val="right"/>
              <w:ind w:right="356"/>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65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7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56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40"/>
              <w:spacing w:after="0" w:line="142" w:lineRule="exact"/>
              <w:rPr>
                <w:sz w:val="20"/>
                <w:szCs w:val="20"/>
                <w:color w:val="auto"/>
              </w:rPr>
            </w:pPr>
            <w:r>
              <w:rPr>
                <w:rFonts w:ascii="Arial" w:cs="Arial" w:eastAsia="Arial" w:hAnsi="Arial"/>
                <w:sz w:val="14"/>
                <w:szCs w:val="14"/>
                <w:color w:val="auto"/>
                <w:w w:val="83"/>
              </w:rPr>
              <w:t>2011</w:t>
            </w:r>
          </w:p>
        </w:tc>
        <w:tc>
          <w:tcPr>
            <w:tcW w:w="4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16"/>
              <w:spacing w:after="0" w:line="142" w:lineRule="exact"/>
              <w:rPr>
                <w:sz w:val="20"/>
                <w:szCs w:val="20"/>
                <w:color w:val="auto"/>
              </w:rPr>
            </w:pPr>
            <w:r>
              <w:rPr>
                <w:rFonts w:ascii="Arial" w:cs="Arial" w:eastAsia="Arial" w:hAnsi="Arial"/>
                <w:sz w:val="14"/>
                <w:szCs w:val="14"/>
                <w:color w:val="auto"/>
                <w:w w:val="83"/>
              </w:rPr>
              <w:t>2010</w:t>
            </w:r>
          </w:p>
        </w:tc>
        <w:tc>
          <w:tcPr>
            <w:tcW w:w="4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20"/>
              <w:spacing w:after="0" w:line="142" w:lineRule="exact"/>
              <w:rPr>
                <w:sz w:val="20"/>
                <w:szCs w:val="20"/>
                <w:color w:val="auto"/>
              </w:rPr>
            </w:pPr>
            <w:r>
              <w:rPr>
                <w:rFonts w:ascii="Arial" w:cs="Arial" w:eastAsia="Arial" w:hAnsi="Arial"/>
                <w:sz w:val="14"/>
                <w:szCs w:val="14"/>
                <w:color w:val="auto"/>
                <w:w w:val="89"/>
              </w:rPr>
              <w:t>2011</w:t>
            </w:r>
          </w:p>
        </w:tc>
        <w:tc>
          <w:tcPr>
            <w:tcW w:w="4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color w:val="auto"/>
                <w:w w:val="89"/>
              </w:rPr>
              <w:t>2010</w:t>
            </w:r>
          </w:p>
        </w:tc>
        <w:tc>
          <w:tcPr>
            <w:tcW w:w="0" w:type="dxa"/>
            <w:vAlign w:val="bottom"/>
          </w:tcPr>
          <w:p>
            <w:pPr>
              <w:spacing w:after="0"/>
              <w:rPr>
                <w:sz w:val="1"/>
                <w:szCs w:val="1"/>
                <w:color w:val="auto"/>
              </w:rPr>
            </w:pPr>
          </w:p>
        </w:tc>
      </w:tr>
      <w:tr>
        <w:trPr>
          <w:trHeight w:val="210"/>
        </w:trPr>
        <w:tc>
          <w:tcPr>
            <w:tcW w:w="6560" w:type="dxa"/>
            <w:vAlign w:val="bottom"/>
            <w:shd w:val="clear" w:color="auto" w:fill="E5E5E5"/>
          </w:tcPr>
          <w:p>
            <w:pPr>
              <w:spacing w:after="0"/>
              <w:rPr>
                <w:sz w:val="20"/>
                <w:szCs w:val="20"/>
                <w:color w:val="auto"/>
              </w:rPr>
            </w:pPr>
            <w:r>
              <w:rPr>
                <w:rFonts w:ascii="Arial" w:cs="Arial" w:eastAsia="Arial" w:hAnsi="Arial"/>
                <w:sz w:val="18"/>
                <w:szCs w:val="18"/>
                <w:color w:val="auto"/>
              </w:rPr>
              <w:t>Interest Income (Expense):</w:t>
            </w:r>
          </w:p>
        </w:tc>
        <w:tc>
          <w:tcPr>
            <w:tcW w:w="6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Interest rate swap agreements (fixed to variable)</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0"/>
              <w:spacing w:after="0"/>
              <w:rPr>
                <w:sz w:val="20"/>
                <w:szCs w:val="20"/>
                <w:color w:val="auto"/>
              </w:rPr>
            </w:pPr>
            <w:r>
              <w:rPr>
                <w:rFonts w:ascii="Arial" w:cs="Arial" w:eastAsia="Arial" w:hAnsi="Arial"/>
                <w:sz w:val="18"/>
                <w:szCs w:val="18"/>
                <w:color w:val="auto"/>
              </w:rPr>
              <w:t>41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76"/>
              <w:spacing w:after="0"/>
              <w:rPr>
                <w:sz w:val="20"/>
                <w:szCs w:val="20"/>
                <w:color w:val="auto"/>
              </w:rPr>
            </w:pPr>
            <w:r>
              <w:rPr>
                <w:rFonts w:ascii="Arial" w:cs="Arial" w:eastAsia="Arial" w:hAnsi="Arial"/>
                <w:sz w:val="18"/>
                <w:szCs w:val="18"/>
                <w:color w:val="auto"/>
              </w:rPr>
              <w:t>60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80"/>
              <w:spacing w:after="0"/>
              <w:rPr>
                <w:sz w:val="20"/>
                <w:szCs w:val="20"/>
                <w:color w:val="auto"/>
              </w:rPr>
            </w:pPr>
            <w:r>
              <w:rPr>
                <w:rFonts w:ascii="Arial" w:cs="Arial" w:eastAsia="Arial" w:hAnsi="Arial"/>
                <w:sz w:val="18"/>
                <w:szCs w:val="18"/>
                <w:color w:val="auto"/>
              </w:rPr>
              <w:t>70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65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Long-term debt—interest rate swap agreements (fixed to variable)</w:t>
            </w:r>
          </w:p>
        </w:tc>
        <w:tc>
          <w:tcPr>
            <w:tcW w:w="6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40"/>
              <w:spacing w:after="0"/>
              <w:rPr>
                <w:sz w:val="20"/>
                <w:szCs w:val="20"/>
                <w:color w:val="auto"/>
              </w:rPr>
            </w:pPr>
            <w:r>
              <w:rPr>
                <w:rFonts w:ascii="Arial" w:cs="Arial" w:eastAsia="Arial" w:hAnsi="Arial"/>
                <w:sz w:val="18"/>
                <w:szCs w:val="18"/>
                <w:color w:val="auto"/>
              </w:rPr>
              <w:t>(41)</w:t>
            </w:r>
          </w:p>
        </w:tc>
        <w:tc>
          <w:tcPr>
            <w:tcW w:w="4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16"/>
              <w:spacing w:after="0"/>
              <w:rPr>
                <w:sz w:val="20"/>
                <w:szCs w:val="20"/>
                <w:color w:val="auto"/>
              </w:rPr>
            </w:pPr>
            <w:r>
              <w:rPr>
                <w:rFonts w:ascii="Arial" w:cs="Arial" w:eastAsia="Arial" w:hAnsi="Arial"/>
                <w:sz w:val="18"/>
                <w:szCs w:val="18"/>
                <w:color w:val="auto"/>
              </w:rPr>
              <w:t>(60)</w:t>
            </w: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20"/>
              <w:spacing w:after="0"/>
              <w:rPr>
                <w:sz w:val="20"/>
                <w:szCs w:val="20"/>
                <w:color w:val="auto"/>
              </w:rPr>
            </w:pPr>
            <w:r>
              <w:rPr>
                <w:rFonts w:ascii="Arial" w:cs="Arial" w:eastAsia="Arial" w:hAnsi="Arial"/>
                <w:sz w:val="18"/>
                <w:szCs w:val="18"/>
                <w:color w:val="auto"/>
              </w:rPr>
              <w:t>(70)</w:t>
            </w: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Investment Income (Loss):</w:t>
            </w: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560" w:type="dxa"/>
            <w:vAlign w:val="bottom"/>
            <w:shd w:val="clear" w:color="auto" w:fill="E5E5E5"/>
          </w:tcPr>
          <w:p>
            <w:pPr>
              <w:ind w:left="440"/>
              <w:spacing w:after="0"/>
              <w:rPr>
                <w:sz w:val="20"/>
                <w:szCs w:val="20"/>
                <w:color w:val="auto"/>
              </w:rPr>
            </w:pPr>
            <w:r>
              <w:rPr>
                <w:rFonts w:ascii="Arial" w:cs="Arial" w:eastAsia="Arial" w:hAnsi="Arial"/>
                <w:sz w:val="18"/>
                <w:szCs w:val="18"/>
                <w:color w:val="auto"/>
                <w:w w:val="99"/>
              </w:rPr>
              <w:t>Mark to market adjustments on derivative component of prepaid forward sale</w:t>
            </w:r>
          </w:p>
        </w:tc>
        <w:tc>
          <w:tcPr>
            <w:tcW w:w="6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560" w:type="dxa"/>
            <w:vAlign w:val="bottom"/>
            <w:shd w:val="clear" w:color="auto" w:fill="E5E5E5"/>
          </w:tcPr>
          <w:p>
            <w:pPr>
              <w:ind w:left="660"/>
              <w:spacing w:after="0"/>
              <w:rPr>
                <w:sz w:val="20"/>
                <w:szCs w:val="20"/>
                <w:color w:val="auto"/>
              </w:rPr>
            </w:pPr>
            <w:r>
              <w:rPr>
                <w:rFonts w:ascii="Arial" w:cs="Arial" w:eastAsia="Arial" w:hAnsi="Arial"/>
                <w:sz w:val="18"/>
                <w:szCs w:val="18"/>
                <w:color w:val="auto"/>
              </w:rPr>
              <w:t>agreement</w:t>
            </w:r>
          </w:p>
        </w:tc>
        <w:tc>
          <w:tcPr>
            <w:tcW w:w="680" w:type="dxa"/>
            <w:vAlign w:val="bottom"/>
            <w:shd w:val="clear" w:color="auto" w:fill="E5E5E5"/>
          </w:tcPr>
          <w:p>
            <w:pPr>
              <w:spacing w:after="0"/>
              <w:rPr>
                <w:sz w:val="19"/>
                <w:szCs w:val="19"/>
                <w:color w:val="auto"/>
              </w:rPr>
            </w:pPr>
          </w:p>
        </w:tc>
        <w:tc>
          <w:tcPr>
            <w:tcW w:w="800" w:type="dxa"/>
            <w:vAlign w:val="bottom"/>
            <w:shd w:val="clear" w:color="auto" w:fill="E5E5E5"/>
          </w:tcPr>
          <w:p>
            <w:pPr>
              <w:jc w:val="right"/>
              <w:ind w:right="300"/>
              <w:spacing w:after="0"/>
              <w:rPr>
                <w:sz w:val="20"/>
                <w:szCs w:val="20"/>
                <w:color w:val="auto"/>
              </w:rPr>
            </w:pPr>
            <w:r>
              <w:rPr>
                <w:rFonts w:ascii="Arial" w:cs="Arial" w:eastAsia="Arial" w:hAnsi="Arial"/>
                <w:sz w:val="18"/>
                <w:szCs w:val="18"/>
                <w:color w:val="auto"/>
              </w:rPr>
              <w:t>44</w:t>
            </w:r>
          </w:p>
        </w:tc>
        <w:tc>
          <w:tcPr>
            <w:tcW w:w="420" w:type="dxa"/>
            <w:vAlign w:val="bottom"/>
            <w:shd w:val="clear" w:color="auto" w:fill="E5E5E5"/>
          </w:tcPr>
          <w:p>
            <w:pPr>
              <w:spacing w:after="0"/>
              <w:rPr>
                <w:sz w:val="19"/>
                <w:szCs w:val="19"/>
                <w:color w:val="auto"/>
              </w:rPr>
            </w:pPr>
          </w:p>
        </w:tc>
        <w:tc>
          <w:tcPr>
            <w:tcW w:w="780" w:type="dxa"/>
            <w:vAlign w:val="bottom"/>
            <w:shd w:val="clear" w:color="auto" w:fill="E5E5E5"/>
          </w:tcPr>
          <w:p>
            <w:pPr>
              <w:jc w:val="right"/>
              <w:ind w:right="216"/>
              <w:spacing w:after="0"/>
              <w:rPr>
                <w:sz w:val="20"/>
                <w:szCs w:val="20"/>
                <w:color w:val="auto"/>
              </w:rPr>
            </w:pPr>
            <w:r>
              <w:rPr>
                <w:rFonts w:ascii="Arial" w:cs="Arial" w:eastAsia="Arial" w:hAnsi="Arial"/>
                <w:sz w:val="18"/>
                <w:szCs w:val="18"/>
                <w:color w:val="auto"/>
              </w:rPr>
              <w:t>(8)</w:t>
            </w:r>
          </w:p>
        </w:tc>
        <w:tc>
          <w:tcPr>
            <w:tcW w:w="420" w:type="dxa"/>
            <w:vAlign w:val="bottom"/>
            <w:shd w:val="clear" w:color="auto" w:fill="E5E5E5"/>
          </w:tcPr>
          <w:p>
            <w:pPr>
              <w:spacing w:after="0"/>
              <w:rPr>
                <w:sz w:val="19"/>
                <w:szCs w:val="19"/>
                <w:color w:val="auto"/>
              </w:rPr>
            </w:pPr>
          </w:p>
        </w:tc>
        <w:tc>
          <w:tcPr>
            <w:tcW w:w="800" w:type="dxa"/>
            <w:vAlign w:val="bottom"/>
            <w:shd w:val="clear" w:color="auto" w:fill="E5E5E5"/>
          </w:tcPr>
          <w:p>
            <w:pPr>
              <w:jc w:val="right"/>
              <w:ind w:right="280"/>
              <w:spacing w:after="0"/>
              <w:rPr>
                <w:sz w:val="20"/>
                <w:szCs w:val="20"/>
                <w:color w:val="auto"/>
              </w:rPr>
            </w:pPr>
            <w:r>
              <w:rPr>
                <w:rFonts w:ascii="Arial" w:cs="Arial" w:eastAsia="Arial" w:hAnsi="Arial"/>
                <w:sz w:val="18"/>
                <w:szCs w:val="18"/>
                <w:color w:val="auto"/>
              </w:rPr>
              <w:t>37</w:t>
            </w:r>
          </w:p>
        </w:tc>
        <w:tc>
          <w:tcPr>
            <w:tcW w:w="420" w:type="dxa"/>
            <w:vAlign w:val="bottom"/>
            <w:shd w:val="clear" w:color="auto" w:fill="E5E5E5"/>
          </w:tcPr>
          <w:p>
            <w:pPr>
              <w:spacing w:after="0"/>
              <w:rPr>
                <w:sz w:val="19"/>
                <w:szCs w:val="19"/>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5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93"/>
              </w:rPr>
              <w:t>Unrealized gains (losses) on securities underlying prepaid forward sale agreement</w:t>
            </w:r>
          </w:p>
        </w:tc>
        <w:tc>
          <w:tcPr>
            <w:tcW w:w="6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40"/>
              <w:spacing w:after="0"/>
              <w:rPr>
                <w:sz w:val="20"/>
                <w:szCs w:val="20"/>
                <w:color w:val="auto"/>
              </w:rPr>
            </w:pPr>
            <w:r>
              <w:rPr>
                <w:rFonts w:ascii="Arial" w:cs="Arial" w:eastAsia="Arial" w:hAnsi="Arial"/>
                <w:sz w:val="18"/>
                <w:szCs w:val="18"/>
                <w:color w:val="auto"/>
              </w:rPr>
              <w:t>(68)</w:t>
            </w: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rPr>
              <w:t>13</w:t>
            </w: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20"/>
              <w:spacing w:after="0"/>
              <w:rPr>
                <w:sz w:val="20"/>
                <w:szCs w:val="20"/>
                <w:color w:val="auto"/>
              </w:rPr>
            </w:pPr>
            <w:r>
              <w:rPr>
                <w:rFonts w:ascii="Arial" w:cs="Arial" w:eastAsia="Arial" w:hAnsi="Arial"/>
                <w:sz w:val="18"/>
                <w:szCs w:val="18"/>
                <w:color w:val="auto"/>
              </w:rPr>
              <w:t>(55)</w:t>
            </w: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7"/>
        </w:trPr>
        <w:tc>
          <w:tcPr>
            <w:tcW w:w="6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Gain (loss) on fair value hedging relationships</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(24)</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276"/>
              <w:spacing w:after="0"/>
              <w:rPr>
                <w:sz w:val="20"/>
                <w:szCs w:val="20"/>
                <w:color w:val="auto"/>
              </w:rPr>
            </w:pPr>
            <w:r>
              <w:rPr>
                <w:rFonts w:ascii="Arial" w:cs="Arial" w:eastAsia="Arial" w:hAnsi="Arial"/>
                <w:sz w:val="18"/>
                <w:szCs w:val="18"/>
                <w:b w:val="1"/>
                <w:bCs w:val="1"/>
                <w:color w:val="auto"/>
              </w:rPr>
              <w:t>5</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(18)</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During the period from January 29, 2011 through September 30, 2011, NBCUniversal entered into fixed to variable swaps on $750 million principal amount of NBCUniversal senior debt securities with maturities ranging from 2014 to 2016. These fixed to variable swaps are designated as effective fair value hedges.</w:t>
      </w:r>
    </w:p>
    <w:p>
      <w:pPr>
        <w:spacing w:after="0" w:line="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As of September 30, 2011 and December 31, 2010, the fair value of our prepaid forward sale agreement designated as a fair value hedge was an asset of $8 million and a liability of $29 million,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Pretax Amount of Gain (Loss) Recognized in Accumulated Other Comprehensive Income</w:t>
      </w:r>
    </w:p>
    <w:p>
      <w:pPr>
        <w:spacing w:after="0" w:line="125" w:lineRule="exact"/>
        <w:rPr>
          <w:sz w:val="20"/>
          <w:szCs w:val="20"/>
          <w:color w:val="auto"/>
        </w:rPr>
      </w:pPr>
    </w:p>
    <w:p>
      <w:pPr>
        <w:jc w:val="center"/>
        <w:ind w:left="5660"/>
        <w:spacing w:after="0"/>
        <w:rPr>
          <w:sz w:val="20"/>
          <w:szCs w:val="20"/>
          <w:color w:val="auto"/>
        </w:rPr>
      </w:pPr>
      <w:r>
        <w:rPr>
          <w:rFonts w:ascii="Arial" w:cs="Arial" w:eastAsia="Arial" w:hAnsi="Arial"/>
          <w:sz w:val="14"/>
          <w:szCs w:val="14"/>
          <w:color w:val="auto"/>
        </w:rPr>
        <w:t>Three Months Ended</w:t>
      </w:r>
    </w:p>
    <w:p>
      <w:pPr>
        <w:jc w:val="center"/>
        <w:ind w:left="5660"/>
        <w:spacing w:after="0"/>
        <w:rPr>
          <w:sz w:val="20"/>
          <w:szCs w:val="20"/>
          <w:color w:val="auto"/>
        </w:rPr>
      </w:pPr>
      <w:r>
        <w:rPr>
          <w:rFonts w:ascii="Arial" w:cs="Arial" w:eastAsia="Arial" w:hAnsi="Arial"/>
          <w:sz w:val="14"/>
          <w:szCs w:val="14"/>
          <w:color w:val="auto"/>
        </w:rPr>
        <w:t>September 30</w:t>
      </w:r>
    </w:p>
    <w:tbl>
      <w:tblPr>
        <w:tblLayout w:type="fixed"/>
        <w:tblInd w:w="0" w:type="dxa"/>
        <w:tblCellMar>
          <w:top w:w="0" w:type="dxa"/>
          <w:left w:w="0" w:type="dxa"/>
          <w:bottom w:w="0" w:type="dxa"/>
          <w:right w:w="0" w:type="dxa"/>
        </w:tblCellMar>
      </w:tblPr>
      <w:tr>
        <w:trPr>
          <w:trHeight w:val="142"/>
        </w:trPr>
        <w:tc>
          <w:tcPr>
            <w:tcW w:w="55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ind w:right="435"/>
              <w:spacing w:after="0" w:line="142" w:lineRule="exact"/>
              <w:rPr>
                <w:sz w:val="20"/>
                <w:szCs w:val="20"/>
                <w:color w:val="auto"/>
              </w:rPr>
            </w:pPr>
            <w:r>
              <w:rPr>
                <w:rFonts w:ascii="Arial" w:cs="Arial" w:eastAsia="Arial" w:hAnsi="Arial"/>
                <w:sz w:val="14"/>
                <w:szCs w:val="14"/>
                <w:color w:val="auto"/>
              </w:rPr>
              <w:t>2011</w:t>
            </w:r>
          </w:p>
        </w:tc>
        <w:tc>
          <w:tcPr>
            <w:tcW w:w="3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ind w:left="200"/>
              <w:spacing w:after="0" w:line="142" w:lineRule="exact"/>
              <w:rPr>
                <w:sz w:val="20"/>
                <w:szCs w:val="20"/>
                <w:color w:val="auto"/>
              </w:rPr>
            </w:pPr>
            <w:r>
              <w:rPr>
                <w:rFonts w:ascii="Arial" w:cs="Arial" w:eastAsia="Arial" w:hAnsi="Arial"/>
                <w:sz w:val="14"/>
                <w:szCs w:val="14"/>
                <w:color w:val="auto"/>
              </w:rPr>
              <w:t>2010</w:t>
            </w:r>
          </w:p>
        </w:tc>
        <w:tc>
          <w:tcPr>
            <w:tcW w:w="3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5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jc w:val="center"/>
              <w:ind w:right="135"/>
              <w:spacing w:after="0" w:line="131" w:lineRule="exact"/>
              <w:rPr>
                <w:sz w:val="20"/>
                <w:szCs w:val="20"/>
                <w:color w:val="auto"/>
              </w:rPr>
            </w:pPr>
            <w:r>
              <w:rPr>
                <w:rFonts w:ascii="Arial" w:cs="Arial" w:eastAsia="Arial" w:hAnsi="Arial"/>
                <w:sz w:val="14"/>
                <w:szCs w:val="14"/>
                <w:color w:val="auto"/>
                <w:w w:val="88"/>
              </w:rPr>
              <w:t>Foreign</w:t>
            </w: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color w:val="auto"/>
              </w:rPr>
              <w:t>Interest Rate</w:t>
            </w:r>
          </w:p>
        </w:tc>
        <w:tc>
          <w:tcPr>
            <w:tcW w:w="960" w:type="dxa"/>
            <w:vAlign w:val="bottom"/>
            <w:gridSpan w:val="2"/>
          </w:tcPr>
          <w:p>
            <w:pPr>
              <w:jc w:val="center"/>
              <w:ind w:right="55"/>
              <w:spacing w:after="0" w:line="131" w:lineRule="exact"/>
              <w:rPr>
                <w:sz w:val="20"/>
                <w:szCs w:val="20"/>
                <w:color w:val="auto"/>
              </w:rPr>
            </w:pPr>
            <w:r>
              <w:rPr>
                <w:rFonts w:ascii="Arial" w:cs="Arial" w:eastAsia="Arial" w:hAnsi="Arial"/>
                <w:sz w:val="14"/>
                <w:szCs w:val="14"/>
                <w:color w:val="auto"/>
                <w:w w:val="88"/>
              </w:rPr>
              <w:t>Foreign</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tcPr>
          <w:p>
            <w:pPr>
              <w:ind w:left="60"/>
              <w:spacing w:after="0" w:line="135" w:lineRule="exact"/>
              <w:rPr>
                <w:sz w:val="20"/>
                <w:szCs w:val="20"/>
                <w:color w:val="auto"/>
              </w:rPr>
            </w:pPr>
            <w:r>
              <w:rPr>
                <w:rFonts w:ascii="Arial" w:cs="Arial" w:eastAsia="Arial" w:hAnsi="Arial"/>
                <w:sz w:val="14"/>
                <w:szCs w:val="14"/>
                <w:color w:val="auto"/>
              </w:rPr>
              <w:t>Interest Rate</w:t>
            </w:r>
          </w:p>
        </w:tc>
        <w:tc>
          <w:tcPr>
            <w:tcW w:w="960" w:type="dxa"/>
            <w:vAlign w:val="bottom"/>
            <w:gridSpan w:val="2"/>
          </w:tcPr>
          <w:p>
            <w:pPr>
              <w:jc w:val="center"/>
              <w:ind w:right="135"/>
              <w:spacing w:after="0" w:line="135" w:lineRule="exact"/>
              <w:rPr>
                <w:sz w:val="20"/>
                <w:szCs w:val="20"/>
                <w:color w:val="auto"/>
              </w:rPr>
            </w:pPr>
            <w:r>
              <w:rPr>
                <w:rFonts w:ascii="Arial" w:cs="Arial" w:eastAsia="Arial" w:hAnsi="Arial"/>
                <w:sz w:val="14"/>
                <w:szCs w:val="14"/>
                <w:color w:val="auto"/>
                <w:w w:val="86"/>
              </w:rPr>
              <w:t>Exchange</w:t>
            </w: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960" w:type="dxa"/>
            <w:vAlign w:val="bottom"/>
            <w:gridSpan w:val="2"/>
          </w:tcPr>
          <w:p>
            <w:pPr>
              <w:jc w:val="center"/>
              <w:ind w:right="75"/>
              <w:spacing w:after="0" w:line="135" w:lineRule="exact"/>
              <w:rPr>
                <w:sz w:val="20"/>
                <w:szCs w:val="20"/>
                <w:color w:val="auto"/>
              </w:rPr>
            </w:pPr>
            <w:r>
              <w:rPr>
                <w:rFonts w:ascii="Arial" w:cs="Arial" w:eastAsia="Arial" w:hAnsi="Arial"/>
                <w:sz w:val="14"/>
                <w:szCs w:val="14"/>
                <w:color w:val="auto"/>
                <w:w w:val="83"/>
              </w:rPr>
              <w:t>Exchange</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rPr>
              <w:t>Risk</w:t>
            </w:r>
          </w:p>
        </w:tc>
        <w:tc>
          <w:tcPr>
            <w:tcW w:w="960" w:type="dxa"/>
            <w:vAlign w:val="bottom"/>
            <w:tcBorders>
              <w:bottom w:val="single" w:sz="8" w:color="auto"/>
            </w:tcBorders>
            <w:gridSpan w:val="2"/>
          </w:tcPr>
          <w:p>
            <w:pPr>
              <w:jc w:val="center"/>
              <w:ind w:right="155"/>
              <w:spacing w:after="0"/>
              <w:rPr>
                <w:sz w:val="20"/>
                <w:szCs w:val="20"/>
                <w:color w:val="auto"/>
              </w:rPr>
            </w:pPr>
            <w:r>
              <w:rPr>
                <w:rFonts w:ascii="Arial" w:cs="Arial" w:eastAsia="Arial" w:hAnsi="Arial"/>
                <w:sz w:val="14"/>
                <w:szCs w:val="14"/>
                <w:color w:val="auto"/>
                <w:w w:val="87"/>
              </w:rPr>
              <w:t>Risk</w:t>
            </w:r>
          </w:p>
        </w:tc>
        <w:tc>
          <w:tcPr>
            <w:tcW w:w="900" w:type="dxa"/>
            <w:vAlign w:val="bottom"/>
            <w:tcBorders>
              <w:bottom w:val="single" w:sz="8" w:color="auto"/>
            </w:tcBorders>
            <w:gridSpan w:val="2"/>
          </w:tcPr>
          <w:p>
            <w:pPr>
              <w:jc w:val="right"/>
              <w:ind w:right="339"/>
              <w:spacing w:after="0"/>
              <w:rPr>
                <w:sz w:val="20"/>
                <w:szCs w:val="20"/>
                <w:color w:val="auto"/>
              </w:rPr>
            </w:pPr>
            <w:r>
              <w:rPr>
                <w:rFonts w:ascii="Arial" w:cs="Arial" w:eastAsia="Arial" w:hAnsi="Arial"/>
                <w:sz w:val="14"/>
                <w:szCs w:val="14"/>
                <w:color w:val="auto"/>
              </w:rPr>
              <w:t>Total</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Risk</w:t>
            </w: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75"/>
              <w:spacing w:after="0"/>
              <w:rPr>
                <w:sz w:val="20"/>
                <w:szCs w:val="20"/>
                <w:color w:val="auto"/>
              </w:rPr>
            </w:pPr>
            <w:r>
              <w:rPr>
                <w:rFonts w:ascii="Arial" w:cs="Arial" w:eastAsia="Arial" w:hAnsi="Arial"/>
                <w:sz w:val="14"/>
                <w:szCs w:val="14"/>
                <w:color w:val="auto"/>
                <w:w w:val="87"/>
              </w:rPr>
              <w:t>Risk</w:t>
            </w:r>
          </w:p>
        </w:tc>
        <w:tc>
          <w:tcPr>
            <w:tcW w:w="780" w:type="dxa"/>
            <w:vAlign w:val="bottom"/>
            <w:tcBorders>
              <w:bottom w:val="single" w:sz="8" w:color="auto"/>
            </w:tcBorders>
            <w:gridSpan w:val="2"/>
          </w:tcPr>
          <w:p>
            <w:pPr>
              <w:jc w:val="right"/>
              <w:ind w:right="175"/>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5500" w:type="dxa"/>
            <w:vAlign w:val="bottom"/>
            <w:shd w:val="clear" w:color="auto" w:fill="E5E5E5"/>
          </w:tcPr>
          <w:p>
            <w:pPr>
              <w:spacing w:after="0"/>
              <w:rPr>
                <w:sz w:val="20"/>
                <w:szCs w:val="20"/>
                <w:color w:val="auto"/>
              </w:rPr>
            </w:pPr>
            <w:r>
              <w:rPr>
                <w:rFonts w:ascii="Arial" w:cs="Arial" w:eastAsia="Arial" w:hAnsi="Arial"/>
                <w:sz w:val="18"/>
                <w:szCs w:val="18"/>
                <w:color w:val="auto"/>
              </w:rPr>
              <w:t>Deferred gain (loss) recognized</w:t>
            </w:r>
          </w:p>
        </w:tc>
        <w:tc>
          <w:tcPr>
            <w:tcW w:w="660" w:type="dxa"/>
            <w:vAlign w:val="bottom"/>
            <w:gridSpan w:val="2"/>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jc w:val="right"/>
              <w:ind w:right="215"/>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jc w:val="right"/>
              <w:ind w:right="165"/>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w w:val="87"/>
              </w:rPr>
              <w:t>(94)</w:t>
            </w:r>
          </w:p>
        </w:tc>
        <w:tc>
          <w:tcPr>
            <w:tcW w:w="38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119"/>
              <w:spacing w:after="0"/>
              <w:rPr>
                <w:sz w:val="20"/>
                <w:szCs w:val="20"/>
                <w:color w:val="auto"/>
              </w:rPr>
            </w:pPr>
            <w:r>
              <w:rPr>
                <w:rFonts w:ascii="Arial" w:cs="Arial" w:eastAsia="Arial" w:hAnsi="Arial"/>
                <w:sz w:val="18"/>
                <w:szCs w:val="18"/>
                <w:color w:val="auto"/>
                <w:w w:val="93"/>
              </w:rPr>
              <w:t>(94)</w:t>
            </w:r>
          </w:p>
        </w:tc>
        <w:tc>
          <w:tcPr>
            <w:tcW w:w="600" w:type="dxa"/>
            <w:vAlign w:val="bottom"/>
            <w:shd w:val="clear" w:color="auto" w:fill="E5E5E5"/>
          </w:tcPr>
          <w:p>
            <w:pPr>
              <w:ind w:left="120"/>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E5E5E5"/>
          </w:tcPr>
          <w:p>
            <w:pPr>
              <w:jc w:val="right"/>
              <w:ind w:right="85"/>
              <w:spacing w:after="0"/>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ind w:left="100"/>
              <w:spacing w:after="0"/>
              <w:rPr>
                <w:sz w:val="20"/>
                <w:szCs w:val="20"/>
                <w:color w:val="auto"/>
              </w:rPr>
            </w:pPr>
            <w:r>
              <w:rPr>
                <w:rFonts w:ascii="Arial" w:cs="Arial" w:eastAsia="Arial" w:hAnsi="Arial"/>
                <w:sz w:val="18"/>
                <w:szCs w:val="18"/>
                <w:color w:val="auto"/>
              </w:rPr>
              <w:t>(58)</w:t>
            </w:r>
          </w:p>
        </w:tc>
        <w:tc>
          <w:tcPr>
            <w:tcW w:w="30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(gain) loss reclassified to income</w:t>
            </w: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6</w:t>
            </w:r>
          </w:p>
        </w:tc>
        <w:tc>
          <w:tcPr>
            <w:tcW w:w="4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30</w:t>
            </w:r>
          </w:p>
        </w:tc>
        <w:tc>
          <w:tcPr>
            <w:tcW w:w="3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79"/>
              <w:spacing w:after="0"/>
              <w:rPr>
                <w:sz w:val="20"/>
                <w:szCs w:val="20"/>
                <w:color w:val="auto"/>
              </w:rPr>
            </w:pPr>
            <w:r>
              <w:rPr>
                <w:rFonts w:ascii="Arial" w:cs="Arial" w:eastAsia="Arial" w:hAnsi="Arial"/>
                <w:sz w:val="18"/>
                <w:szCs w:val="18"/>
                <w:color w:val="auto"/>
              </w:rPr>
              <w:t>36</w:t>
            </w:r>
          </w:p>
        </w:tc>
        <w:tc>
          <w:tcPr>
            <w:tcW w:w="6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3</w:t>
            </w: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5"/>
        </w:trPr>
        <w:tc>
          <w:tcPr>
            <w:tcW w:w="5500" w:type="dxa"/>
            <w:vAlign w:val="bottom"/>
            <w:shd w:val="clear" w:color="auto" w:fill="E5E5E5"/>
          </w:tcPr>
          <w:p>
            <w:pPr>
              <w:spacing w:after="0" w:line="195" w:lineRule="exact"/>
              <w:rPr>
                <w:sz w:val="20"/>
                <w:szCs w:val="20"/>
                <w:color w:val="auto"/>
              </w:rPr>
            </w:pPr>
            <w:r>
              <w:rPr>
                <w:rFonts w:ascii="Arial" w:cs="Arial" w:eastAsia="Arial" w:hAnsi="Arial"/>
                <w:sz w:val="18"/>
                <w:szCs w:val="18"/>
                <w:b w:val="1"/>
                <w:bCs w:val="1"/>
                <w:color w:val="auto"/>
              </w:rPr>
              <w:t>Total change in accumulated other</w:t>
            </w:r>
          </w:p>
        </w:tc>
        <w:tc>
          <w:tcPr>
            <w:tcW w:w="22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60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60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60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550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comprehensive income</w:t>
            </w:r>
          </w:p>
        </w:tc>
        <w:tc>
          <w:tcPr>
            <w:tcW w:w="660" w:type="dxa"/>
            <w:vAlign w:val="bottom"/>
            <w:tcBorders>
              <w:bottom w:val="single" w:sz="8" w:color="auto"/>
            </w:tcBorders>
            <w:gridSpan w:val="2"/>
            <w:shd w:val="clear" w:color="auto" w:fill="E5E5E5"/>
          </w:tcPr>
          <w:p>
            <w:pPr>
              <w:ind w:left="28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b w:val="1"/>
                <w:bCs w:val="1"/>
                <w:color w:val="auto"/>
              </w:rPr>
              <w:t>6</w:t>
            </w:r>
          </w:p>
        </w:tc>
        <w:tc>
          <w:tcPr>
            <w:tcW w:w="400" w:type="dxa"/>
            <w:vAlign w:val="bottom"/>
            <w:tcBorders>
              <w:bottom w:val="single" w:sz="8" w:color="auto"/>
            </w:tcBorders>
            <w:shd w:val="clear" w:color="auto" w:fill="E5E5E5"/>
          </w:tcPr>
          <w:p>
            <w:pPr>
              <w:jc w:val="right"/>
              <w:ind w:right="165"/>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jc w:val="right"/>
              <w:ind w:right="175"/>
              <w:spacing w:after="0"/>
              <w:rPr>
                <w:sz w:val="20"/>
                <w:szCs w:val="20"/>
                <w:color w:val="auto"/>
              </w:rPr>
            </w:pPr>
            <w:r>
              <w:rPr>
                <w:rFonts w:ascii="Arial" w:cs="Arial" w:eastAsia="Arial" w:hAnsi="Arial"/>
                <w:sz w:val="18"/>
                <w:szCs w:val="18"/>
                <w:b w:val="1"/>
                <w:bCs w:val="1"/>
                <w:color w:val="auto"/>
                <w:w w:val="87"/>
              </w:rPr>
              <w:t>(64)</w:t>
            </w:r>
          </w:p>
        </w:tc>
        <w:tc>
          <w:tcPr>
            <w:tcW w:w="380" w:type="dxa"/>
            <w:vAlign w:val="bottom"/>
            <w:tcBorders>
              <w:bottom w:val="single" w:sz="8" w:color="auto"/>
            </w:tcBorders>
            <w:shd w:val="clear" w:color="auto" w:fill="E5E5E5"/>
          </w:tcPr>
          <w:p>
            <w:pPr>
              <w:jc w:val="right"/>
              <w:ind w:right="136"/>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ind w:right="119"/>
              <w:spacing w:after="0"/>
              <w:rPr>
                <w:sz w:val="20"/>
                <w:szCs w:val="20"/>
                <w:color w:val="auto"/>
              </w:rPr>
            </w:pPr>
            <w:r>
              <w:rPr>
                <w:rFonts w:ascii="Arial" w:cs="Arial" w:eastAsia="Arial" w:hAnsi="Arial"/>
                <w:sz w:val="18"/>
                <w:szCs w:val="18"/>
                <w:b w:val="1"/>
                <w:bCs w:val="1"/>
                <w:color w:val="auto"/>
                <w:w w:val="93"/>
              </w:rPr>
              <w:t>(58)</w:t>
            </w:r>
          </w:p>
        </w:tc>
        <w:tc>
          <w:tcPr>
            <w:tcW w:w="60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b w:val="1"/>
                <w:bCs w:val="1"/>
                <w:color w:val="auto"/>
              </w:rPr>
              <w:t>3</w:t>
            </w:r>
          </w:p>
        </w:tc>
        <w:tc>
          <w:tcPr>
            <w:tcW w:w="360" w:type="dxa"/>
            <w:vAlign w:val="bottom"/>
            <w:tcBorders>
              <w:bottom w:val="single" w:sz="8" w:color="auto"/>
            </w:tcBorders>
            <w:shd w:val="clear" w:color="auto" w:fill="E5E5E5"/>
          </w:tcPr>
          <w:p>
            <w:pPr>
              <w:jc w:val="right"/>
              <w:ind w:right="85"/>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rPr>
              <w:t>(58)</w:t>
            </w:r>
          </w:p>
        </w:tc>
        <w:tc>
          <w:tcPr>
            <w:tcW w:w="30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(55)</w:t>
            </w:r>
          </w:p>
        </w:tc>
        <w:tc>
          <w:tcPr>
            <w:tcW w:w="0" w:type="dxa"/>
            <w:vAlign w:val="bottom"/>
          </w:tcPr>
          <w:p>
            <w:pPr>
              <w:spacing w:after="0"/>
              <w:rPr>
                <w:sz w:val="1"/>
                <w:szCs w:val="1"/>
                <w:color w:val="auto"/>
              </w:rPr>
            </w:pPr>
          </w:p>
        </w:tc>
      </w:tr>
      <w:tr>
        <w:trPr>
          <w:trHeight w:val="354"/>
        </w:trPr>
        <w:tc>
          <w:tcPr>
            <w:tcW w:w="5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w w:val="87"/>
              </w:rPr>
              <w:t>Nine Months Ended</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102"/>
              <w:spacing w:after="0"/>
              <w:rPr>
                <w:sz w:val="20"/>
                <w:szCs w:val="20"/>
                <w:color w:val="auto"/>
              </w:rPr>
            </w:pPr>
            <w:r>
              <w:rPr>
                <w:rFonts w:ascii="Arial" w:cs="Arial" w:eastAsia="Arial" w:hAnsi="Arial"/>
                <w:sz w:val="14"/>
                <w:szCs w:val="14"/>
                <w:color w:val="auto"/>
              </w:rPr>
              <w:t>September 30</w:t>
            </w:r>
          </w:p>
        </w:tc>
        <w:tc>
          <w:tcPr>
            <w:tcW w:w="4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275"/>
              <w:spacing w:after="0" w:line="143" w:lineRule="exact"/>
              <w:rPr>
                <w:sz w:val="20"/>
                <w:szCs w:val="20"/>
                <w:color w:val="auto"/>
              </w:rPr>
            </w:pPr>
            <w:r>
              <w:rPr>
                <w:rFonts w:ascii="Arial" w:cs="Arial" w:eastAsia="Arial" w:hAnsi="Arial"/>
                <w:sz w:val="14"/>
                <w:szCs w:val="14"/>
                <w:color w:val="auto"/>
              </w:rPr>
              <w:t>2011</w:t>
            </w:r>
          </w:p>
        </w:tc>
        <w:tc>
          <w:tcPr>
            <w:tcW w:w="3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center"/>
              <w:ind w:right="75"/>
              <w:spacing w:after="0" w:line="143" w:lineRule="exact"/>
              <w:rPr>
                <w:sz w:val="20"/>
                <w:szCs w:val="20"/>
                <w:color w:val="auto"/>
              </w:rPr>
            </w:pPr>
            <w:r>
              <w:rPr>
                <w:rFonts w:ascii="Arial" w:cs="Arial" w:eastAsia="Arial" w:hAnsi="Arial"/>
                <w:sz w:val="14"/>
                <w:szCs w:val="14"/>
                <w:color w:val="auto"/>
                <w:w w:val="89"/>
              </w:rPr>
              <w:t>2010</w:t>
            </w:r>
          </w:p>
        </w:tc>
        <w:tc>
          <w:tcPr>
            <w:tcW w:w="3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5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jc w:val="center"/>
              <w:ind w:left="145"/>
              <w:spacing w:after="0" w:line="131" w:lineRule="exact"/>
              <w:rPr>
                <w:sz w:val="20"/>
                <w:szCs w:val="20"/>
                <w:color w:val="auto"/>
              </w:rPr>
            </w:pPr>
            <w:r>
              <w:rPr>
                <w:rFonts w:ascii="Arial" w:cs="Arial" w:eastAsia="Arial" w:hAnsi="Arial"/>
                <w:sz w:val="14"/>
                <w:szCs w:val="14"/>
                <w:color w:val="auto"/>
                <w:w w:val="88"/>
              </w:rPr>
              <w:t>Foreign</w:t>
            </w: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vMerge w:val="restart"/>
          </w:tcPr>
          <w:p>
            <w:pPr>
              <w:ind w:left="240"/>
              <w:spacing w:after="0"/>
              <w:rPr>
                <w:sz w:val="20"/>
                <w:szCs w:val="20"/>
                <w:color w:val="auto"/>
              </w:rPr>
            </w:pPr>
            <w:r>
              <w:rPr>
                <w:rFonts w:ascii="Arial" w:cs="Arial" w:eastAsia="Arial" w:hAnsi="Arial"/>
                <w:sz w:val="14"/>
                <w:szCs w:val="14"/>
                <w:color w:val="auto"/>
                <w:w w:val="99"/>
              </w:rPr>
              <w:t>Interest Rate</w:t>
            </w:r>
          </w:p>
        </w:tc>
        <w:tc>
          <w:tcPr>
            <w:tcW w:w="960" w:type="dxa"/>
            <w:vAlign w:val="bottom"/>
            <w:gridSpan w:val="2"/>
          </w:tcPr>
          <w:p>
            <w:pPr>
              <w:ind w:left="300"/>
              <w:spacing w:after="0" w:line="131" w:lineRule="exact"/>
              <w:rPr>
                <w:sz w:val="20"/>
                <w:szCs w:val="20"/>
                <w:color w:val="auto"/>
              </w:rPr>
            </w:pPr>
            <w:r>
              <w:rPr>
                <w:rFonts w:ascii="Arial" w:cs="Arial" w:eastAsia="Arial" w:hAnsi="Arial"/>
                <w:sz w:val="14"/>
                <w:szCs w:val="14"/>
                <w:color w:val="auto"/>
              </w:rPr>
              <w:t>Foreign</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tcPr>
          <w:p>
            <w:pPr>
              <w:ind w:left="280"/>
              <w:spacing w:after="0" w:line="135" w:lineRule="exact"/>
              <w:rPr>
                <w:sz w:val="20"/>
                <w:szCs w:val="20"/>
                <w:color w:val="auto"/>
              </w:rPr>
            </w:pPr>
            <w:r>
              <w:rPr>
                <w:rFonts w:ascii="Arial" w:cs="Arial" w:eastAsia="Arial" w:hAnsi="Arial"/>
                <w:sz w:val="14"/>
                <w:szCs w:val="14"/>
                <w:color w:val="auto"/>
                <w:w w:val="92"/>
              </w:rPr>
              <w:t>Interest Rate</w:t>
            </w:r>
          </w:p>
        </w:tc>
        <w:tc>
          <w:tcPr>
            <w:tcW w:w="960" w:type="dxa"/>
            <w:vAlign w:val="bottom"/>
            <w:gridSpan w:val="2"/>
          </w:tcPr>
          <w:p>
            <w:pPr>
              <w:jc w:val="center"/>
              <w:ind w:left="125"/>
              <w:spacing w:after="0" w:line="135" w:lineRule="exact"/>
              <w:rPr>
                <w:sz w:val="20"/>
                <w:szCs w:val="20"/>
                <w:color w:val="auto"/>
              </w:rPr>
            </w:pPr>
            <w:r>
              <w:rPr>
                <w:rFonts w:ascii="Arial" w:cs="Arial" w:eastAsia="Arial" w:hAnsi="Arial"/>
                <w:sz w:val="14"/>
                <w:szCs w:val="14"/>
                <w:color w:val="auto"/>
                <w:w w:val="83"/>
              </w:rPr>
              <w:t>Exchange</w:t>
            </w: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960" w:type="dxa"/>
            <w:vAlign w:val="bottom"/>
            <w:gridSpan w:val="2"/>
          </w:tcPr>
          <w:p>
            <w:pPr>
              <w:ind w:left="240"/>
              <w:spacing w:after="0" w:line="135" w:lineRule="exact"/>
              <w:rPr>
                <w:sz w:val="20"/>
                <w:szCs w:val="20"/>
                <w:color w:val="auto"/>
              </w:rPr>
            </w:pPr>
            <w:r>
              <w:rPr>
                <w:rFonts w:ascii="Arial" w:cs="Arial" w:eastAsia="Arial" w:hAnsi="Arial"/>
                <w:sz w:val="14"/>
                <w:szCs w:val="14"/>
                <w:color w:val="auto"/>
              </w:rPr>
              <w:t>Exchange</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color w:val="auto"/>
              </w:rPr>
              <w:t>Risk</w:t>
            </w:r>
          </w:p>
        </w:tc>
        <w:tc>
          <w:tcPr>
            <w:tcW w:w="4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color w:val="auto"/>
                <w:w w:val="87"/>
              </w:rPr>
              <w:t>Risk</w:t>
            </w:r>
          </w:p>
        </w:tc>
        <w:tc>
          <w:tcPr>
            <w:tcW w:w="3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color w:val="auto"/>
                <w:w w:val="83"/>
              </w:rPr>
              <w:t>Total</w:t>
            </w:r>
          </w:p>
        </w:tc>
        <w:tc>
          <w:tcPr>
            <w:tcW w:w="106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color w:val="auto"/>
              </w:rPr>
              <w:t>Risk</w:t>
            </w:r>
          </w:p>
        </w:tc>
        <w:tc>
          <w:tcPr>
            <w:tcW w:w="3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Risk</w:t>
            </w:r>
          </w:p>
        </w:tc>
        <w:tc>
          <w:tcPr>
            <w:tcW w:w="3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w w:val="83"/>
              </w:rPr>
              <w:t>Total</w:t>
            </w:r>
          </w:p>
        </w:tc>
        <w:tc>
          <w:tcPr>
            <w:tcW w:w="0" w:type="dxa"/>
            <w:vAlign w:val="bottom"/>
          </w:tcPr>
          <w:p>
            <w:pPr>
              <w:spacing w:after="0"/>
              <w:rPr>
                <w:sz w:val="1"/>
                <w:szCs w:val="1"/>
                <w:color w:val="auto"/>
              </w:rPr>
            </w:pPr>
          </w:p>
        </w:tc>
      </w:tr>
      <w:tr>
        <w:trPr>
          <w:trHeight w:val="210"/>
        </w:trPr>
        <w:tc>
          <w:tcPr>
            <w:tcW w:w="5500" w:type="dxa"/>
            <w:vAlign w:val="bottom"/>
            <w:shd w:val="clear" w:color="auto" w:fill="E5E5E5"/>
          </w:tcPr>
          <w:p>
            <w:pPr>
              <w:spacing w:after="0"/>
              <w:rPr>
                <w:sz w:val="20"/>
                <w:szCs w:val="20"/>
                <w:color w:val="auto"/>
              </w:rPr>
            </w:pPr>
            <w:r>
              <w:rPr>
                <w:rFonts w:ascii="Arial" w:cs="Arial" w:eastAsia="Arial" w:hAnsi="Arial"/>
                <w:sz w:val="18"/>
                <w:szCs w:val="18"/>
                <w:color w:val="auto"/>
              </w:rPr>
              <w:t>Deferred gain (loss) recognized</w:t>
            </w:r>
          </w:p>
        </w:tc>
        <w:tc>
          <w:tcPr>
            <w:tcW w:w="660" w:type="dxa"/>
            <w:vAlign w:val="bottom"/>
            <w:gridSpan w:val="2"/>
            <w:shd w:val="clear" w:color="auto" w:fill="E5E5E5"/>
          </w:tcPr>
          <w:p>
            <w:pPr>
              <w:ind w:left="500"/>
              <w:spacing w:after="0"/>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jc w:val="center"/>
              <w:ind w:left="245"/>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(90)</w:t>
            </w: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19"/>
              <w:spacing w:after="0"/>
              <w:rPr>
                <w:sz w:val="20"/>
                <w:szCs w:val="20"/>
                <w:color w:val="auto"/>
              </w:rPr>
            </w:pPr>
            <w:r>
              <w:rPr>
                <w:rFonts w:ascii="Arial" w:cs="Arial" w:eastAsia="Arial" w:hAnsi="Arial"/>
                <w:sz w:val="18"/>
                <w:szCs w:val="18"/>
                <w:color w:val="auto"/>
              </w:rPr>
              <w:t>(90)</w:t>
            </w:r>
          </w:p>
        </w:tc>
        <w:tc>
          <w:tcPr>
            <w:tcW w:w="6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ind w:left="24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E5E5E5"/>
          </w:tcPr>
          <w:p>
            <w:pPr>
              <w:ind w:left="100"/>
              <w:spacing w:after="0"/>
              <w:rPr>
                <w:sz w:val="20"/>
                <w:szCs w:val="20"/>
                <w:color w:val="auto"/>
              </w:rPr>
            </w:pPr>
            <w:r>
              <w:rPr>
                <w:rFonts w:ascii="Arial" w:cs="Arial" w:eastAsia="Arial" w:hAnsi="Arial"/>
                <w:sz w:val="18"/>
                <w:szCs w:val="18"/>
                <w:color w:val="auto"/>
              </w:rPr>
              <w:t>(124)</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(124)</w:t>
            </w:r>
          </w:p>
        </w:tc>
        <w:tc>
          <w:tcPr>
            <w:tcW w:w="0" w:type="dxa"/>
            <w:vAlign w:val="bottom"/>
          </w:tcPr>
          <w:p>
            <w:pPr>
              <w:spacing w:after="0"/>
              <w:rPr>
                <w:sz w:val="1"/>
                <w:szCs w:val="1"/>
                <w:color w:val="auto"/>
              </w:rPr>
            </w:pPr>
          </w:p>
        </w:tc>
      </w:tr>
      <w:tr>
        <w:trPr>
          <w:trHeight w:val="216"/>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(gain) loss reclassified to income</w:t>
            </w: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4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w:t>
            </w:r>
          </w:p>
        </w:tc>
        <w:tc>
          <w:tcPr>
            <w:tcW w:w="3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color w:val="auto"/>
              </w:rPr>
              <w:t>20</w:t>
            </w:r>
          </w:p>
        </w:tc>
        <w:tc>
          <w:tcPr>
            <w:tcW w:w="6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w:t>
            </w: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5"/>
        </w:trPr>
        <w:tc>
          <w:tcPr>
            <w:tcW w:w="5500" w:type="dxa"/>
            <w:vAlign w:val="bottom"/>
            <w:shd w:val="clear" w:color="auto" w:fill="E5E5E5"/>
          </w:tcPr>
          <w:p>
            <w:pPr>
              <w:spacing w:after="0" w:line="195" w:lineRule="exact"/>
              <w:rPr>
                <w:sz w:val="20"/>
                <w:szCs w:val="20"/>
                <w:color w:val="auto"/>
              </w:rPr>
            </w:pPr>
            <w:r>
              <w:rPr>
                <w:rFonts w:ascii="Arial" w:cs="Arial" w:eastAsia="Arial" w:hAnsi="Arial"/>
                <w:sz w:val="18"/>
                <w:szCs w:val="18"/>
                <w:b w:val="1"/>
                <w:bCs w:val="1"/>
                <w:color w:val="auto"/>
              </w:rPr>
              <w:t>Total change in accumulated other</w:t>
            </w:r>
          </w:p>
        </w:tc>
        <w:tc>
          <w:tcPr>
            <w:tcW w:w="22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60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60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60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550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comprehensive income</w:t>
            </w:r>
          </w:p>
        </w:tc>
        <w:tc>
          <w:tcPr>
            <w:tcW w:w="660" w:type="dxa"/>
            <w:vAlign w:val="bottom"/>
            <w:tcBorders>
              <w:bottom w:val="single" w:sz="8" w:color="auto"/>
            </w:tcBorders>
            <w:gridSpan w:val="2"/>
            <w:shd w:val="clear" w:color="auto" w:fill="E5E5E5"/>
          </w:tcPr>
          <w:p>
            <w:pPr>
              <w:ind w:left="50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17</w:t>
            </w:r>
          </w:p>
        </w:tc>
        <w:tc>
          <w:tcPr>
            <w:tcW w:w="400" w:type="dxa"/>
            <w:vAlign w:val="bottom"/>
            <w:tcBorders>
              <w:bottom w:val="single" w:sz="8" w:color="auto"/>
            </w:tcBorders>
            <w:shd w:val="clear" w:color="auto" w:fill="E5E5E5"/>
          </w:tcPr>
          <w:p>
            <w:pPr>
              <w:jc w:val="center"/>
              <w:ind w:left="245"/>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(87)</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ind w:right="19"/>
              <w:spacing w:after="0"/>
              <w:rPr>
                <w:sz w:val="20"/>
                <w:szCs w:val="20"/>
                <w:color w:val="auto"/>
              </w:rPr>
            </w:pPr>
            <w:r>
              <w:rPr>
                <w:rFonts w:ascii="Arial" w:cs="Arial" w:eastAsia="Arial" w:hAnsi="Arial"/>
                <w:sz w:val="18"/>
                <w:szCs w:val="18"/>
                <w:b w:val="1"/>
                <w:bCs w:val="1"/>
                <w:color w:val="auto"/>
              </w:rPr>
              <w:t>(70)</w:t>
            </w:r>
          </w:p>
        </w:tc>
        <w:tc>
          <w:tcPr>
            <w:tcW w:w="60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b w:val="1"/>
                <w:bCs w:val="1"/>
                <w:color w:val="auto"/>
              </w:rPr>
              <w:t>11</w:t>
            </w:r>
          </w:p>
        </w:tc>
        <w:tc>
          <w:tcPr>
            <w:tcW w:w="36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rPr>
              <w:t>(124)</w:t>
            </w:r>
          </w:p>
        </w:tc>
        <w:tc>
          <w:tcPr>
            <w:tcW w:w="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9"/>
              </w:rPr>
              <w:t>(113)</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Interest rate risk deferred losses relate to interest rate lock agreements entered into to fix the interest rates of certain of our debt obligations in advance of their issuance. Unless we retire this debt early, these unrealized losses will be reclassified as an adjustment to interest expense, primarily through 2022, in the period in which the related interest expense is recognized in earnings. As of September 30, 2011, we expect $23 million of unrealized losses, $15 million net of deferred taxes, to be reclassified as an adjustment to interest expense over the next 12 months. The foreign exchange risk deferred losses for the three and nine months ended September 30, 2011 relate to cross-currency swap agreements on foreign currency denominated debt due in 2029 and foreign exchange contracts with initial maturities generally not exceeding one year and up to 18 months in certain circumstances. As of September 30, 2011, the fair value of the foreign exchange contracts related to NBCUniversal operations that were designated as cash flow hedges was a liability of $2 million.</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Ineffectiveness related to our cash flow hedges was not material for the three and nine months ended September 30, 2011 or 2010.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Derivative Financial Instruments</w:t>
      </w:r>
    </w:p>
    <w:p>
      <w:pPr>
        <w:spacing w:after="0" w:line="11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Amount of Gain (Loss) Recognized in Income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0" w:type="dxa"/>
            <w:vAlign w:val="bottom"/>
            <w:gridSpan w:val="3"/>
          </w:tcPr>
          <w:p>
            <w:pPr>
              <w:jc w:val="right"/>
              <w:ind w:right="576"/>
              <w:spacing w:after="0"/>
              <w:rPr>
                <w:sz w:val="20"/>
                <w:szCs w:val="20"/>
                <w:color w:val="auto"/>
              </w:rPr>
            </w:pPr>
            <w:r>
              <w:rPr>
                <w:rFonts w:ascii="Arial" w:cs="Arial" w:eastAsia="Arial" w:hAnsi="Arial"/>
                <w:sz w:val="14"/>
                <w:szCs w:val="14"/>
                <w:color w:val="auto"/>
              </w:rPr>
              <w:t>Three Months Ended</w:t>
            </w:r>
          </w:p>
        </w:tc>
        <w:tc>
          <w:tcPr>
            <w:tcW w:w="420" w:type="dxa"/>
            <w:vAlign w:val="bottom"/>
          </w:tcPr>
          <w:p>
            <w:pPr>
              <w:spacing w:after="0"/>
              <w:rPr>
                <w:sz w:val="14"/>
                <w:szCs w:val="14"/>
                <w:color w:val="auto"/>
              </w:rPr>
            </w:pPr>
          </w:p>
        </w:tc>
        <w:tc>
          <w:tcPr>
            <w:tcW w:w="1760" w:type="dxa"/>
            <w:vAlign w:val="bottom"/>
            <w:gridSpan w:val="3"/>
          </w:tcPr>
          <w:p>
            <w:pPr>
              <w:jc w:val="right"/>
              <w:ind w:right="356"/>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65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7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56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40"/>
              <w:spacing w:after="0" w:line="142" w:lineRule="exact"/>
              <w:rPr>
                <w:sz w:val="20"/>
                <w:szCs w:val="20"/>
                <w:color w:val="auto"/>
              </w:rPr>
            </w:pPr>
            <w:r>
              <w:rPr>
                <w:rFonts w:ascii="Arial" w:cs="Arial" w:eastAsia="Arial" w:hAnsi="Arial"/>
                <w:sz w:val="14"/>
                <w:szCs w:val="14"/>
                <w:color w:val="auto"/>
                <w:w w:val="83"/>
              </w:rPr>
              <w:t>2011</w:t>
            </w:r>
          </w:p>
        </w:tc>
        <w:tc>
          <w:tcPr>
            <w:tcW w:w="4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16"/>
              <w:spacing w:after="0" w:line="142" w:lineRule="exact"/>
              <w:rPr>
                <w:sz w:val="20"/>
                <w:szCs w:val="20"/>
                <w:color w:val="auto"/>
              </w:rPr>
            </w:pPr>
            <w:r>
              <w:rPr>
                <w:rFonts w:ascii="Arial" w:cs="Arial" w:eastAsia="Arial" w:hAnsi="Arial"/>
                <w:sz w:val="14"/>
                <w:szCs w:val="14"/>
                <w:color w:val="auto"/>
                <w:w w:val="83"/>
              </w:rPr>
              <w:t>2010</w:t>
            </w:r>
          </w:p>
        </w:tc>
        <w:tc>
          <w:tcPr>
            <w:tcW w:w="4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20"/>
              <w:spacing w:after="0" w:line="142" w:lineRule="exact"/>
              <w:rPr>
                <w:sz w:val="20"/>
                <w:szCs w:val="20"/>
                <w:color w:val="auto"/>
              </w:rPr>
            </w:pPr>
            <w:r>
              <w:rPr>
                <w:rFonts w:ascii="Arial" w:cs="Arial" w:eastAsia="Arial" w:hAnsi="Arial"/>
                <w:sz w:val="14"/>
                <w:szCs w:val="14"/>
                <w:color w:val="auto"/>
                <w:w w:val="89"/>
              </w:rPr>
              <w:t>2011</w:t>
            </w:r>
          </w:p>
        </w:tc>
        <w:tc>
          <w:tcPr>
            <w:tcW w:w="4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color w:val="auto"/>
                <w:w w:val="89"/>
              </w:rPr>
              <w:t>2010</w:t>
            </w:r>
          </w:p>
        </w:tc>
        <w:tc>
          <w:tcPr>
            <w:tcW w:w="0" w:type="dxa"/>
            <w:vAlign w:val="bottom"/>
          </w:tcPr>
          <w:p>
            <w:pPr>
              <w:spacing w:after="0"/>
              <w:rPr>
                <w:sz w:val="1"/>
                <w:szCs w:val="1"/>
                <w:color w:val="auto"/>
              </w:rPr>
            </w:pPr>
          </w:p>
        </w:tc>
      </w:tr>
      <w:tr>
        <w:trPr>
          <w:trHeight w:val="210"/>
        </w:trPr>
        <w:tc>
          <w:tcPr>
            <w:tcW w:w="6560" w:type="dxa"/>
            <w:vAlign w:val="bottom"/>
            <w:shd w:val="clear" w:color="auto" w:fill="E5E5E5"/>
          </w:tcPr>
          <w:p>
            <w:pPr>
              <w:spacing w:after="0"/>
              <w:rPr>
                <w:sz w:val="20"/>
                <w:szCs w:val="20"/>
                <w:color w:val="auto"/>
              </w:rPr>
            </w:pPr>
            <w:r>
              <w:rPr>
                <w:rFonts w:ascii="Arial" w:cs="Arial" w:eastAsia="Arial" w:hAnsi="Arial"/>
                <w:sz w:val="18"/>
                <w:szCs w:val="18"/>
                <w:color w:val="auto"/>
              </w:rPr>
              <w:t>Operating Costs and Expenses:</w:t>
            </w:r>
          </w:p>
        </w:tc>
        <w:tc>
          <w:tcPr>
            <w:tcW w:w="6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Mark to market adjustments on foreign exchange contracts</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0"/>
              <w:spacing w:after="0"/>
              <w:rPr>
                <w:sz w:val="20"/>
                <w:szCs w:val="20"/>
                <w:color w:val="auto"/>
              </w:rPr>
            </w:pPr>
            <w:r>
              <w:rPr>
                <w:rFonts w:ascii="Arial" w:cs="Arial" w:eastAsia="Arial" w:hAnsi="Arial"/>
                <w:sz w:val="18"/>
                <w:szCs w:val="18"/>
                <w:color w:val="auto"/>
              </w:rPr>
              <w:t>9</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80"/>
              <w:spacing w:after="0"/>
              <w:rPr>
                <w:sz w:val="20"/>
                <w:szCs w:val="20"/>
                <w:color w:val="auto"/>
              </w:rPr>
            </w:pPr>
            <w:r>
              <w:rPr>
                <w:rFonts w:ascii="Arial" w:cs="Arial" w:eastAsia="Arial" w:hAnsi="Arial"/>
                <w:sz w:val="18"/>
                <w:szCs w:val="18"/>
                <w:color w:val="auto"/>
              </w:rPr>
              <w:t>5</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shd w:val="clear" w:color="auto" w:fill="E5E5E5"/>
          </w:tcPr>
          <w:p>
            <w:pPr>
              <w:spacing w:after="0"/>
              <w:rPr>
                <w:sz w:val="20"/>
                <w:szCs w:val="20"/>
                <w:color w:val="auto"/>
              </w:rPr>
            </w:pPr>
            <w:r>
              <w:rPr>
                <w:rFonts w:ascii="Arial" w:cs="Arial" w:eastAsia="Arial" w:hAnsi="Arial"/>
                <w:sz w:val="18"/>
                <w:szCs w:val="18"/>
                <w:color w:val="auto"/>
              </w:rPr>
              <w:t>Investment Income (Loss):</w:t>
            </w:r>
          </w:p>
        </w:tc>
        <w:tc>
          <w:tcPr>
            <w:tcW w:w="6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560" w:type="dxa"/>
            <w:vAlign w:val="bottom"/>
          </w:tcPr>
          <w:p>
            <w:pPr>
              <w:ind w:left="440"/>
              <w:spacing w:after="0"/>
              <w:rPr>
                <w:sz w:val="20"/>
                <w:szCs w:val="20"/>
                <w:color w:val="auto"/>
              </w:rPr>
            </w:pPr>
            <w:r>
              <w:rPr>
                <w:rFonts w:ascii="Arial" w:cs="Arial" w:eastAsia="Arial" w:hAnsi="Arial"/>
                <w:sz w:val="18"/>
                <w:szCs w:val="18"/>
                <w:color w:val="auto"/>
                <w:w w:val="99"/>
              </w:rPr>
              <w:t>Mark to market adjustments on derivative component of prepaid forward sale</w:t>
            </w: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60" w:type="dxa"/>
            <w:vAlign w:val="bottom"/>
          </w:tcPr>
          <w:p>
            <w:pPr>
              <w:ind w:left="660"/>
              <w:spacing w:after="0"/>
              <w:rPr>
                <w:sz w:val="20"/>
                <w:szCs w:val="20"/>
                <w:color w:val="auto"/>
              </w:rPr>
            </w:pPr>
            <w:r>
              <w:rPr>
                <w:rFonts w:ascii="Arial" w:cs="Arial" w:eastAsia="Arial" w:hAnsi="Arial"/>
                <w:sz w:val="18"/>
                <w:szCs w:val="18"/>
                <w:color w:val="auto"/>
              </w:rPr>
              <w:t>agreements</w:t>
            </w:r>
          </w:p>
        </w:tc>
        <w:tc>
          <w:tcPr>
            <w:tcW w:w="680" w:type="dxa"/>
            <w:vAlign w:val="bottom"/>
          </w:tcPr>
          <w:p>
            <w:pPr>
              <w:spacing w:after="0"/>
              <w:rPr>
                <w:sz w:val="19"/>
                <w:szCs w:val="19"/>
                <w:color w:val="auto"/>
              </w:rPr>
            </w:pPr>
          </w:p>
        </w:tc>
        <w:tc>
          <w:tcPr>
            <w:tcW w:w="800" w:type="dxa"/>
            <w:vAlign w:val="bottom"/>
          </w:tcPr>
          <w:p>
            <w:pPr>
              <w:jc w:val="right"/>
              <w:ind w:right="300"/>
              <w:spacing w:after="0"/>
              <w:rPr>
                <w:sz w:val="20"/>
                <w:szCs w:val="20"/>
                <w:color w:val="auto"/>
              </w:rPr>
            </w:pPr>
            <w:r>
              <w:rPr>
                <w:rFonts w:ascii="Arial" w:cs="Arial" w:eastAsia="Arial" w:hAnsi="Arial"/>
                <w:sz w:val="18"/>
                <w:szCs w:val="18"/>
                <w:color w:val="auto"/>
              </w:rPr>
              <w:t>415</w:t>
            </w:r>
          </w:p>
        </w:tc>
        <w:tc>
          <w:tcPr>
            <w:tcW w:w="420" w:type="dxa"/>
            <w:vAlign w:val="bottom"/>
          </w:tcPr>
          <w:p>
            <w:pPr>
              <w:spacing w:after="0"/>
              <w:rPr>
                <w:sz w:val="19"/>
                <w:szCs w:val="19"/>
                <w:color w:val="auto"/>
              </w:rPr>
            </w:pPr>
          </w:p>
        </w:tc>
        <w:tc>
          <w:tcPr>
            <w:tcW w:w="780" w:type="dxa"/>
            <w:vAlign w:val="bottom"/>
          </w:tcPr>
          <w:p>
            <w:pPr>
              <w:jc w:val="right"/>
              <w:ind w:right="216"/>
              <w:spacing w:after="0"/>
              <w:rPr>
                <w:sz w:val="20"/>
                <w:szCs w:val="20"/>
                <w:color w:val="auto"/>
              </w:rPr>
            </w:pPr>
            <w:r>
              <w:rPr>
                <w:rFonts w:ascii="Arial" w:cs="Arial" w:eastAsia="Arial" w:hAnsi="Arial"/>
                <w:sz w:val="18"/>
                <w:szCs w:val="18"/>
                <w:color w:val="auto"/>
              </w:rPr>
              <w:t>(391)</w:t>
            </w:r>
          </w:p>
        </w:tc>
        <w:tc>
          <w:tcPr>
            <w:tcW w:w="420" w:type="dxa"/>
            <w:vAlign w:val="bottom"/>
          </w:tcPr>
          <w:p>
            <w:pPr>
              <w:spacing w:after="0"/>
              <w:rPr>
                <w:sz w:val="19"/>
                <w:szCs w:val="19"/>
                <w:color w:val="auto"/>
              </w:rPr>
            </w:pPr>
          </w:p>
        </w:tc>
        <w:tc>
          <w:tcPr>
            <w:tcW w:w="800" w:type="dxa"/>
            <w:vAlign w:val="bottom"/>
          </w:tcPr>
          <w:p>
            <w:pPr>
              <w:jc w:val="right"/>
              <w:ind w:right="220"/>
              <w:spacing w:after="0"/>
              <w:rPr>
                <w:sz w:val="20"/>
                <w:szCs w:val="20"/>
                <w:color w:val="auto"/>
              </w:rPr>
            </w:pPr>
            <w:r>
              <w:rPr>
                <w:rFonts w:ascii="Arial" w:cs="Arial" w:eastAsia="Arial" w:hAnsi="Arial"/>
                <w:sz w:val="18"/>
                <w:szCs w:val="18"/>
                <w:color w:val="auto"/>
              </w:rPr>
              <w:t>(30)</w:t>
            </w:r>
          </w:p>
        </w:tc>
        <w:tc>
          <w:tcPr>
            <w:tcW w:w="4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7"/>
        </w:trPr>
        <w:tc>
          <w:tcPr>
            <w:tcW w:w="6560" w:type="dxa"/>
            <w:vAlign w:val="bottom"/>
            <w:shd w:val="clear" w:color="auto" w:fill="E5E5E5"/>
          </w:tcPr>
          <w:p>
            <w:pPr>
              <w:ind w:left="440"/>
              <w:spacing w:after="0"/>
              <w:rPr>
                <w:sz w:val="20"/>
                <w:szCs w:val="20"/>
                <w:color w:val="auto"/>
              </w:rPr>
            </w:pPr>
            <w:r>
              <w:rPr>
                <w:rFonts w:ascii="Arial" w:cs="Arial" w:eastAsia="Arial" w:hAnsi="Arial"/>
                <w:sz w:val="18"/>
                <w:szCs w:val="18"/>
                <w:color w:val="auto"/>
                <w:w w:val="91"/>
              </w:rPr>
              <w:t>Unrealized gains (losses) on securities underlying prepaid forward sale agreements</w:t>
            </w:r>
          </w:p>
        </w:tc>
        <w:tc>
          <w:tcPr>
            <w:tcW w:w="6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40"/>
              <w:spacing w:after="0"/>
              <w:rPr>
                <w:sz w:val="20"/>
                <w:szCs w:val="20"/>
                <w:color w:val="auto"/>
              </w:rPr>
            </w:pPr>
            <w:r>
              <w:rPr>
                <w:rFonts w:ascii="Arial" w:cs="Arial" w:eastAsia="Arial" w:hAnsi="Arial"/>
                <w:sz w:val="18"/>
                <w:szCs w:val="18"/>
                <w:color w:val="auto"/>
              </w:rPr>
              <w:t>(508)</w:t>
            </w:r>
          </w:p>
        </w:tc>
        <w:tc>
          <w:tcPr>
            <w:tcW w:w="4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rPr>
              <w:t>462</w:t>
            </w: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80"/>
              <w:spacing w:after="0"/>
              <w:rPr>
                <w:sz w:val="20"/>
                <w:szCs w:val="20"/>
                <w:color w:val="auto"/>
              </w:rPr>
            </w:pPr>
            <w:r>
              <w:rPr>
                <w:rFonts w:ascii="Arial" w:cs="Arial" w:eastAsia="Arial" w:hAnsi="Arial"/>
                <w:sz w:val="18"/>
                <w:szCs w:val="18"/>
                <w:color w:val="auto"/>
              </w:rPr>
              <w:t>14</w:t>
            </w: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16"/>
        </w:trPr>
        <w:tc>
          <w:tcPr>
            <w:tcW w:w="65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Mark to market adjustments on derivative component of ZONES</w:t>
            </w:r>
          </w:p>
        </w:tc>
        <w:tc>
          <w:tcPr>
            <w:tcW w:w="6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40"/>
              <w:spacing w:after="0"/>
              <w:rPr>
                <w:sz w:val="20"/>
                <w:szCs w:val="20"/>
                <w:color w:val="auto"/>
              </w:rPr>
            </w:pPr>
            <w:r>
              <w:rPr>
                <w:rFonts w:ascii="Arial" w:cs="Arial" w:eastAsia="Arial" w:hAnsi="Arial"/>
                <w:sz w:val="18"/>
                <w:szCs w:val="18"/>
                <w:color w:val="auto"/>
              </w:rPr>
              <w:t>(5)</w:t>
            </w: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6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gain (loss)</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(89)</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276"/>
              <w:spacing w:after="0"/>
              <w:rPr>
                <w:sz w:val="20"/>
                <w:szCs w:val="20"/>
                <w:color w:val="auto"/>
              </w:rPr>
            </w:pPr>
            <w:r>
              <w:rPr>
                <w:rFonts w:ascii="Arial" w:cs="Arial" w:eastAsia="Arial" w:hAnsi="Arial"/>
                <w:sz w:val="18"/>
                <w:szCs w:val="18"/>
                <w:b w:val="1"/>
                <w:bCs w:val="1"/>
                <w:color w:val="auto"/>
              </w:rPr>
              <w:t>70</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(11)</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b w:val="1"/>
                <w:bCs w:val="1"/>
                <w:color w:val="auto"/>
              </w:rPr>
              <w:t>148</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As of September 30, 2011, foreign exchange contracts related to NBCUniversal operations that were not designated had a total notional value of $759 million. The notional amount is a measure of the activity related to our risk exposure and does not represent the amount of our exposure to credit loss or market loss, or reflect the gains or losses associated with the exposures and transactions that the foreign exchange contracts are intended to</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offset. The amounts ultimately realized upon settlement of these derivative financial instruments, together with the gains and losses on the underlying exposures, will depend on actual market conditions during the remaining life of the derivative financial instruments.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Fair Value Measurements</w:t>
      </w:r>
    </w:p>
    <w:p>
      <w:pPr>
        <w:spacing w:after="0" w:line="8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accounting guidance related to financial assets and financial liabilities (“financial instruments”) establishes a hierarchy that prioritizes fair value measurements based on the types of inputs used for the various valuation techniques (market approach, income approach and cost approach). Level 1 consists of financial instruments whose values are based on quoted market prices for identical financial instruments in an active market. Level 2 consists of financial instruments that are valued using models or other valuation methodologies. These models use inputs that are observable in the marketplace either directly or indirectly. Level 3 consists of financial instruments whose values are determined using pricing models that use significant inputs that are primarily unobservable, discounted cash flow methodologies, or similar techniques, as well as instruments for which the determination of fair value requires significant management judgment or estimation. Our financial instruments that are accounted for at fair value on a recurring basis are presented in the table below.</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Recurring Fair Value Measures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gridSpan w:val="2"/>
          </w:tcPr>
          <w:p>
            <w:pPr>
              <w:ind w:left="260"/>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59"/>
        </w:trPr>
        <w:tc>
          <w:tcPr>
            <w:tcW w:w="62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5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4"/>
          </w:tcPr>
          <w:p>
            <w:pPr>
              <w:jc w:val="right"/>
              <w:ind w:right="32"/>
              <w:spacing w:after="0" w:line="159" w:lineRule="exact"/>
              <w:rPr>
                <w:sz w:val="20"/>
                <w:szCs w:val="20"/>
                <w:color w:val="auto"/>
              </w:rPr>
            </w:pPr>
            <w:r>
              <w:rPr>
                <w:rFonts w:ascii="Arial" w:cs="Arial" w:eastAsia="Arial" w:hAnsi="Arial"/>
                <w:sz w:val="14"/>
                <w:szCs w:val="14"/>
                <w:color w:val="auto"/>
                <w:w w:val="89"/>
              </w:rPr>
              <w:t>Fair Value as of September 30, 2011</w:t>
            </w: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5"/>
              <w:spacing w:after="0" w:line="159" w:lineRule="exact"/>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42"/>
        </w:trPr>
        <w:tc>
          <w:tcPr>
            <w:tcW w:w="6240" w:type="dxa"/>
            <w:vAlign w:val="bottom"/>
            <w:tcBorders>
              <w:bottom w:val="single" w:sz="8" w:color="auto"/>
            </w:tcBorders>
            <w:vMerge w:val="continue"/>
          </w:tcPr>
          <w:p>
            <w:pPr>
              <w:spacing w:after="0"/>
              <w:rPr>
                <w:sz w:val="12"/>
                <w:szCs w:val="12"/>
                <w:color w:val="auto"/>
              </w:rPr>
            </w:pPr>
          </w:p>
        </w:tc>
        <w:tc>
          <w:tcPr>
            <w:tcW w:w="1020" w:type="dxa"/>
            <w:vAlign w:val="bottom"/>
            <w:tcBorders>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color w:val="auto"/>
              </w:rPr>
              <w:t>Level 1</w:t>
            </w:r>
          </w:p>
        </w:tc>
        <w:tc>
          <w:tcPr>
            <w:tcW w:w="1120" w:type="dxa"/>
            <w:vAlign w:val="bottom"/>
            <w:tcBorders>
              <w:bottom w:val="single" w:sz="8" w:color="auto"/>
            </w:tcBorders>
            <w:gridSpan w:val="2"/>
          </w:tcPr>
          <w:p>
            <w:pPr>
              <w:jc w:val="right"/>
              <w:ind w:right="192"/>
              <w:spacing w:after="0" w:line="142" w:lineRule="exact"/>
              <w:rPr>
                <w:sz w:val="20"/>
                <w:szCs w:val="20"/>
                <w:color w:val="auto"/>
              </w:rPr>
            </w:pPr>
            <w:r>
              <w:rPr>
                <w:rFonts w:ascii="Arial" w:cs="Arial" w:eastAsia="Arial" w:hAnsi="Arial"/>
                <w:sz w:val="14"/>
                <w:szCs w:val="14"/>
                <w:color w:val="auto"/>
              </w:rPr>
              <w:t>Level 2</w:t>
            </w:r>
          </w:p>
        </w:tc>
        <w:tc>
          <w:tcPr>
            <w:tcW w:w="1060" w:type="dxa"/>
            <w:vAlign w:val="bottom"/>
            <w:tcBorders>
              <w:bottom w:val="single" w:sz="8" w:color="auto"/>
            </w:tcBorders>
            <w:gridSpan w:val="2"/>
          </w:tcPr>
          <w:p>
            <w:pPr>
              <w:ind w:left="260"/>
              <w:spacing w:after="0" w:line="142" w:lineRule="exact"/>
              <w:rPr>
                <w:sz w:val="20"/>
                <w:szCs w:val="20"/>
                <w:color w:val="auto"/>
              </w:rPr>
            </w:pPr>
            <w:r>
              <w:rPr>
                <w:rFonts w:ascii="Arial" w:cs="Arial" w:eastAsia="Arial" w:hAnsi="Arial"/>
                <w:sz w:val="14"/>
                <w:szCs w:val="14"/>
                <w:color w:val="auto"/>
              </w:rPr>
              <w:t>Level 3</w:t>
            </w: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color w:val="auto"/>
                <w:w w:val="83"/>
              </w:rPr>
              <w:t>Total</w:t>
            </w: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62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Trading securities</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2"/>
              <w:spacing w:after="0"/>
              <w:rPr>
                <w:sz w:val="20"/>
                <w:szCs w:val="20"/>
                <w:color w:val="auto"/>
              </w:rPr>
            </w:pPr>
            <w:r>
              <w:rPr>
                <w:rFonts w:ascii="Arial" w:cs="Arial" w:eastAsia="Arial" w:hAnsi="Arial"/>
                <w:sz w:val="18"/>
                <w:szCs w:val="18"/>
                <w:color w:val="auto"/>
                <w:w w:val="84"/>
              </w:rPr>
              <w:t>2,666</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ind w:left="26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4"/>
              <w:spacing w:after="0"/>
              <w:rPr>
                <w:sz w:val="20"/>
                <w:szCs w:val="20"/>
                <w:color w:val="auto"/>
              </w:rPr>
            </w:pPr>
            <w:r>
              <w:rPr>
                <w:rFonts w:ascii="Arial" w:cs="Arial" w:eastAsia="Arial" w:hAnsi="Arial"/>
                <w:sz w:val="18"/>
                <w:szCs w:val="18"/>
                <w:color w:val="auto"/>
                <w:w w:val="84"/>
              </w:rPr>
              <w:t>2,666</w:t>
            </w:r>
          </w:p>
        </w:tc>
        <w:tc>
          <w:tcPr>
            <w:tcW w:w="420" w:type="dxa"/>
            <w:vAlign w:val="bottom"/>
          </w:tcPr>
          <w:p>
            <w:pPr>
              <w:ind w:left="2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2,688</w:t>
            </w:r>
          </w:p>
        </w:tc>
        <w:tc>
          <w:tcPr>
            <w:tcW w:w="0" w:type="dxa"/>
            <w:vAlign w:val="bottom"/>
          </w:tcPr>
          <w:p>
            <w:pPr>
              <w:spacing w:after="0"/>
              <w:rPr>
                <w:sz w:val="1"/>
                <w:szCs w:val="1"/>
                <w:color w:val="auto"/>
              </w:rPr>
            </w:pPr>
          </w:p>
        </w:tc>
      </w:tr>
      <w:tr>
        <w:trPr>
          <w:trHeight w:val="216"/>
        </w:trPr>
        <w:tc>
          <w:tcPr>
            <w:tcW w:w="6240" w:type="dxa"/>
            <w:vAlign w:val="bottom"/>
            <w:shd w:val="clear" w:color="auto" w:fill="E5E5E5"/>
          </w:tcPr>
          <w:p>
            <w:pPr>
              <w:spacing w:after="0"/>
              <w:rPr>
                <w:sz w:val="20"/>
                <w:szCs w:val="20"/>
                <w:color w:val="auto"/>
              </w:rPr>
            </w:pPr>
            <w:r>
              <w:rPr>
                <w:rFonts w:ascii="Arial" w:cs="Arial" w:eastAsia="Arial" w:hAnsi="Arial"/>
                <w:sz w:val="18"/>
                <w:szCs w:val="18"/>
                <w:color w:val="auto"/>
              </w:rPr>
              <w:t>Available-for-sale securities</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86</w:t>
            </w:r>
          </w:p>
        </w:tc>
        <w:tc>
          <w:tcPr>
            <w:tcW w:w="4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292"/>
              <w:spacing w:after="0"/>
              <w:rPr>
                <w:sz w:val="20"/>
                <w:szCs w:val="20"/>
                <w:color w:val="auto"/>
              </w:rPr>
            </w:pPr>
            <w:r>
              <w:rPr>
                <w:rFonts w:ascii="Arial" w:cs="Arial" w:eastAsia="Arial" w:hAnsi="Arial"/>
                <w:sz w:val="18"/>
                <w:szCs w:val="18"/>
                <w:color w:val="auto"/>
              </w:rPr>
              <w:t>21</w:t>
            </w: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107</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Equity warrants</w:t>
            </w:r>
          </w:p>
        </w:tc>
        <w:tc>
          <w:tcPr>
            <w:tcW w:w="500" w:type="dxa"/>
            <w:vAlign w:val="bottom"/>
          </w:tcPr>
          <w:p>
            <w:pPr>
              <w:spacing w:after="0"/>
              <w:rPr>
                <w:sz w:val="18"/>
                <w:szCs w:val="18"/>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40" w:type="dxa"/>
            <w:vAlign w:val="bottom"/>
          </w:tcPr>
          <w:p>
            <w:pPr>
              <w:jc w:val="right"/>
              <w:ind w:right="292"/>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640" w:type="dxa"/>
            <w:vAlign w:val="bottom"/>
          </w:tcPr>
          <w:p>
            <w:pPr>
              <w:jc w:val="right"/>
              <w:ind w:right="154"/>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240" w:type="dxa"/>
            <w:vAlign w:val="bottom"/>
            <w:shd w:val="clear" w:color="auto" w:fill="E5E5E5"/>
          </w:tcPr>
          <w:p>
            <w:pPr>
              <w:spacing w:after="0"/>
              <w:rPr>
                <w:sz w:val="20"/>
                <w:szCs w:val="20"/>
                <w:color w:val="auto"/>
              </w:rPr>
            </w:pPr>
            <w:r>
              <w:rPr>
                <w:rFonts w:ascii="Arial" w:cs="Arial" w:eastAsia="Arial" w:hAnsi="Arial"/>
                <w:sz w:val="18"/>
                <w:szCs w:val="18"/>
                <w:color w:val="auto"/>
              </w:rPr>
              <w:t>Interest rate swap agreements</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302</w:t>
            </w:r>
          </w:p>
        </w:tc>
        <w:tc>
          <w:tcPr>
            <w:tcW w:w="4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29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302</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6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contracts</w:t>
            </w:r>
          </w:p>
        </w:tc>
        <w:tc>
          <w:tcPr>
            <w:tcW w:w="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14</w:t>
            </w:r>
          </w:p>
        </w:tc>
        <w:tc>
          <w:tcPr>
            <w:tcW w:w="4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14</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62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w w:val="84"/>
              </w:rPr>
              <w:t>2,752</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316</w:t>
            </w:r>
          </w:p>
        </w:tc>
        <w:tc>
          <w:tcPr>
            <w:tcW w:w="42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E5E5E5"/>
          </w:tcPr>
          <w:p>
            <w:pPr>
              <w:jc w:val="right"/>
              <w:ind w:right="292"/>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w w:val="84"/>
              </w:rPr>
              <w:t>3,091</w:t>
            </w:r>
          </w:p>
        </w:tc>
        <w:tc>
          <w:tcPr>
            <w:tcW w:w="42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3,047</w:t>
            </w:r>
          </w:p>
        </w:tc>
        <w:tc>
          <w:tcPr>
            <w:tcW w:w="0" w:type="dxa"/>
            <w:vAlign w:val="bottom"/>
          </w:tcPr>
          <w:p>
            <w:pPr>
              <w:spacing w:after="0"/>
              <w:rPr>
                <w:sz w:val="1"/>
                <w:szCs w:val="1"/>
                <w:color w:val="auto"/>
              </w:rPr>
            </w:pPr>
          </w:p>
        </w:tc>
      </w:tr>
      <w:tr>
        <w:trPr>
          <w:trHeight w:val="309"/>
        </w:trPr>
        <w:tc>
          <w:tcPr>
            <w:tcW w:w="62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240" w:type="dxa"/>
            <w:vAlign w:val="bottom"/>
            <w:shd w:val="clear" w:color="auto" w:fill="E5E5E5"/>
          </w:tcPr>
          <w:p>
            <w:pPr>
              <w:spacing w:after="0"/>
              <w:rPr>
                <w:sz w:val="20"/>
                <w:szCs w:val="20"/>
                <w:color w:val="auto"/>
              </w:rPr>
            </w:pPr>
            <w:r>
              <w:rPr>
                <w:rFonts w:ascii="Arial" w:cs="Arial" w:eastAsia="Arial" w:hAnsi="Arial"/>
                <w:sz w:val="18"/>
                <w:szCs w:val="18"/>
                <w:color w:val="auto"/>
              </w:rPr>
              <w:t>Derivative component of ZONES</w:t>
            </w: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8</w:t>
            </w:r>
          </w:p>
        </w:tc>
        <w:tc>
          <w:tcPr>
            <w:tcW w:w="42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29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8</w:t>
            </w:r>
          </w:p>
        </w:tc>
        <w:tc>
          <w:tcPr>
            <w:tcW w:w="42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8"/>
        </w:trPr>
        <w:tc>
          <w:tcPr>
            <w:tcW w:w="6240" w:type="dxa"/>
            <w:vAlign w:val="bottom"/>
          </w:tcPr>
          <w:p>
            <w:pPr>
              <w:spacing w:after="0"/>
              <w:rPr>
                <w:sz w:val="20"/>
                <w:szCs w:val="20"/>
                <w:color w:val="auto"/>
              </w:rPr>
            </w:pPr>
            <w:r>
              <w:rPr>
                <w:rFonts w:ascii="Arial" w:cs="Arial" w:eastAsia="Arial" w:hAnsi="Arial"/>
                <w:sz w:val="18"/>
                <w:szCs w:val="18"/>
                <w:color w:val="auto"/>
              </w:rPr>
              <w:t>Derivative component of prepaid forward sale</w:t>
            </w: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40" w:type="dxa"/>
            <w:vAlign w:val="bottom"/>
          </w:tcPr>
          <w:p>
            <w:pPr>
              <w:ind w:left="220"/>
              <w:spacing w:after="0"/>
              <w:rPr>
                <w:sz w:val="20"/>
                <w:szCs w:val="20"/>
                <w:color w:val="auto"/>
              </w:rPr>
            </w:pPr>
            <w:r>
              <w:rPr>
                <w:rFonts w:ascii="Arial" w:cs="Arial" w:eastAsia="Arial" w:hAnsi="Arial"/>
                <w:sz w:val="18"/>
                <w:szCs w:val="18"/>
                <w:color w:val="auto"/>
              </w:rPr>
              <w:t>agreements</w:t>
            </w:r>
          </w:p>
        </w:tc>
        <w:tc>
          <w:tcPr>
            <w:tcW w:w="500" w:type="dxa"/>
            <w:vAlign w:val="bottom"/>
          </w:tcPr>
          <w:p>
            <w:pPr>
              <w:spacing w:after="0"/>
              <w:rPr>
                <w:sz w:val="19"/>
                <w:szCs w:val="19"/>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1,100</w:t>
            </w:r>
          </w:p>
        </w:tc>
        <w:tc>
          <w:tcPr>
            <w:tcW w:w="420" w:type="dxa"/>
            <w:vAlign w:val="bottom"/>
          </w:tcPr>
          <w:p>
            <w:pPr>
              <w:spacing w:after="0"/>
              <w:rPr>
                <w:sz w:val="19"/>
                <w:szCs w:val="19"/>
                <w:color w:val="auto"/>
              </w:rPr>
            </w:pPr>
          </w:p>
        </w:tc>
        <w:tc>
          <w:tcPr>
            <w:tcW w:w="64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40" w:type="dxa"/>
            <w:vAlign w:val="bottom"/>
          </w:tcPr>
          <w:p>
            <w:pPr>
              <w:jc w:val="right"/>
              <w:ind w:right="154"/>
              <w:spacing w:after="0"/>
              <w:rPr>
                <w:sz w:val="20"/>
                <w:szCs w:val="20"/>
                <w:color w:val="auto"/>
              </w:rPr>
            </w:pPr>
            <w:r>
              <w:rPr>
                <w:rFonts w:ascii="Arial" w:cs="Arial" w:eastAsia="Arial" w:hAnsi="Arial"/>
                <w:sz w:val="18"/>
                <w:szCs w:val="18"/>
                <w:color w:val="auto"/>
                <w:w w:val="84"/>
              </w:rPr>
              <w:t>1,100</w:t>
            </w:r>
          </w:p>
        </w:tc>
        <w:tc>
          <w:tcPr>
            <w:tcW w:w="420" w:type="dxa"/>
            <w:vAlign w:val="bottom"/>
          </w:tcPr>
          <w:p>
            <w:pPr>
              <w:spacing w:after="0"/>
              <w:rPr>
                <w:sz w:val="19"/>
                <w:szCs w:val="19"/>
                <w:color w:val="auto"/>
              </w:rPr>
            </w:pP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18"/>
        </w:trPr>
        <w:tc>
          <w:tcPr>
            <w:tcW w:w="6240" w:type="dxa"/>
            <w:vAlign w:val="bottom"/>
            <w:shd w:val="clear" w:color="auto" w:fill="E5E5E5"/>
          </w:tcPr>
          <w:p>
            <w:pPr>
              <w:spacing w:after="0"/>
              <w:rPr>
                <w:sz w:val="20"/>
                <w:szCs w:val="20"/>
                <w:color w:val="auto"/>
              </w:rPr>
            </w:pPr>
            <w:r>
              <w:rPr>
                <w:rFonts w:ascii="Arial" w:cs="Arial" w:eastAsia="Arial" w:hAnsi="Arial"/>
                <w:sz w:val="18"/>
                <w:szCs w:val="18"/>
                <w:color w:val="auto"/>
              </w:rPr>
              <w:t>Cross-currency swap agreements</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118</w:t>
            </w:r>
          </w:p>
        </w:tc>
        <w:tc>
          <w:tcPr>
            <w:tcW w:w="4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29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118</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6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contracts</w:t>
            </w:r>
          </w:p>
        </w:tc>
        <w:tc>
          <w:tcPr>
            <w:tcW w:w="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14</w:t>
            </w:r>
          </w:p>
        </w:tc>
        <w:tc>
          <w:tcPr>
            <w:tcW w:w="4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14</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62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w w:val="84"/>
              </w:rPr>
              <w:t>1,240</w:t>
            </w:r>
          </w:p>
        </w:tc>
        <w:tc>
          <w:tcPr>
            <w:tcW w:w="42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E5E5E5"/>
          </w:tcPr>
          <w:p>
            <w:pPr>
              <w:jc w:val="right"/>
              <w:ind w:right="2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w w:val="84"/>
              </w:rPr>
              <w:t>1,240</w:t>
            </w:r>
          </w:p>
        </w:tc>
        <w:tc>
          <w:tcPr>
            <w:tcW w:w="42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financial instruments included in Level 3 primarily consist of available-for-sale securities that we acquired in connection with the NBCUniversal transaction. These investments are initially recorded at cost and remeasured to fair value on a recurring basis at the end of each period using unobservable inputs, which include company-specific information and other third-party transactions. We did not incur any other-than-temporary impairments for these investments in the periods presented. The changes in our Level 3 financial instruments were not material for the periods presented.</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Noncontrolling Interests</w:t>
      </w:r>
    </w:p>
    <w:p>
      <w:pPr>
        <w:spacing w:after="0" w:line="8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Certain of the subsidiaries that we consolidate are not wholly owned. Some of the agreements with the minority partners of these subsidiaries contain redemption features whereby interests held by the minority partners are redeemable either (i) at the option of the holder or (ii) upon the occurrence of an event that is not solely within our control. If interests were to be redeemed under these agreements, we would generally be required to purchase the interest at fair value on the date of redemption. These interests are presented on the balance sheet outside of equity under the caption “Redeemable noncontrolling interests.” Noncontrolling interests that do not contain such redemption features are presented in equity.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connection with the NBCUniversal transaction in January 2011, GE obtained a 49% indirect noncontrolling interest in the Comcast Content Business in exchange for a portion of our interest in NBCUniversal Holdings. The difference between the fair value received and the historical carrying value of the noncontrolling interest in the Comcast Content Business resulted in an increase of $1.6 billion, net of taxes, to additional paid-in capital of Comcast Corporation.</w:t>
      </w:r>
    </w:p>
    <w:p>
      <w:pPr>
        <w:spacing w:after="0" w:line="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GE’s 49% interest in NBCUniversal Holdings is recorded as a redeemable noncontrolling interest in our consolidated financial statements due to the redemption provisions discussed in Note 4. The initial value for the redeemable noncontrolling interest was based on the fair value for the portion attributable to the net assets we acquired and our historical cost for the portion attributable to the Comcast Content Business. We adjust GE’s redeemable noncontrolling interest for its 49% interest in NBCUniversal Holdings’ and NBCUniversal’s earnings and changes in other comprehensive income, as well as for other capital transactions attributable to GE.</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changes in equity resulting from net income attributable to Comcast Corporation and transfers from or to noncontrolling interests.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1860" w:type="dxa"/>
            <w:vAlign w:val="bottom"/>
            <w:gridSpan w:val="2"/>
          </w:tcPr>
          <w:p>
            <w:pPr>
              <w:jc w:val="right"/>
              <w:ind w:right="176"/>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95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860" w:type="dxa"/>
            <w:vAlign w:val="bottom"/>
            <w:tcBorders>
              <w:bottom w:val="single" w:sz="8" w:color="auto"/>
            </w:tcBorders>
            <w:gridSpan w:val="2"/>
          </w:tcPr>
          <w:p>
            <w:pPr>
              <w:jc w:val="right"/>
              <w:ind w:right="356"/>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9560" w:type="dxa"/>
            <w:vAlign w:val="bottom"/>
            <w:tcBorders>
              <w:bottom w:val="single" w:sz="8" w:color="auto"/>
            </w:tcBorders>
            <w:vMerge w:val="continue"/>
          </w:tcPr>
          <w:p>
            <w:pPr>
              <w:spacing w:after="0"/>
              <w:rPr>
                <w:sz w:val="12"/>
                <w:szCs w:val="12"/>
                <w:color w:val="auto"/>
              </w:rPr>
            </w:pPr>
          </w:p>
        </w:tc>
        <w:tc>
          <w:tcPr>
            <w:tcW w:w="1040" w:type="dxa"/>
            <w:vAlign w:val="bottom"/>
            <w:tcBorders>
              <w:bottom w:val="single" w:sz="8" w:color="auto"/>
            </w:tcBorders>
          </w:tcPr>
          <w:p>
            <w:pPr>
              <w:jc w:val="right"/>
              <w:ind w:right="241"/>
              <w:spacing w:after="0" w:line="142" w:lineRule="exact"/>
              <w:rPr>
                <w:sz w:val="20"/>
                <w:szCs w:val="20"/>
                <w:color w:val="auto"/>
              </w:rPr>
            </w:pPr>
            <w:r>
              <w:rPr>
                <w:rFonts w:ascii="Arial" w:cs="Arial" w:eastAsia="Arial" w:hAnsi="Arial"/>
                <w:sz w:val="14"/>
                <w:szCs w:val="14"/>
                <w:color w:val="auto"/>
              </w:rPr>
              <w:t>2011</w:t>
            </w:r>
          </w:p>
        </w:tc>
        <w:tc>
          <w:tcPr>
            <w:tcW w:w="82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210"/>
        </w:trPr>
        <w:tc>
          <w:tcPr>
            <w:tcW w:w="9560" w:type="dxa"/>
            <w:vAlign w:val="bottom"/>
            <w:shd w:val="clear" w:color="auto" w:fill="E5E5E5"/>
          </w:tcPr>
          <w:p>
            <w:pPr>
              <w:spacing w:after="0"/>
              <w:rPr>
                <w:sz w:val="20"/>
                <w:szCs w:val="20"/>
                <w:color w:val="auto"/>
              </w:rPr>
            </w:pPr>
            <w:r>
              <w:rPr>
                <w:rFonts w:ascii="Arial" w:cs="Arial" w:eastAsia="Arial" w:hAnsi="Arial"/>
                <w:sz w:val="18"/>
                <w:szCs w:val="18"/>
                <w:color w:val="auto"/>
              </w:rPr>
              <w:t>Net income attributable to Comcast Corporation</w:t>
            </w:r>
          </w:p>
        </w:tc>
        <w:tc>
          <w:tcPr>
            <w:tcW w:w="1040" w:type="dxa"/>
            <w:vAlign w:val="bottom"/>
            <w:shd w:val="clear" w:color="auto" w:fill="E5E5E5"/>
          </w:tcPr>
          <w:p>
            <w:pPr>
              <w:jc w:val="right"/>
              <w:ind w:right="121"/>
              <w:spacing w:after="0"/>
              <w:rPr>
                <w:sz w:val="20"/>
                <w:szCs w:val="20"/>
                <w:color w:val="auto"/>
              </w:rPr>
            </w:pPr>
            <w:r>
              <w:rPr>
                <w:rFonts w:ascii="Arial" w:cs="Arial" w:eastAsia="Arial" w:hAnsi="Arial"/>
                <w:sz w:val="18"/>
                <w:szCs w:val="18"/>
                <w:color w:val="auto"/>
              </w:rPr>
              <w:t>$2,873</w:t>
            </w:r>
          </w:p>
        </w:tc>
        <w:tc>
          <w:tcPr>
            <w:tcW w:w="82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Transfers from (to) noncontrolling interests:</w:t>
            </w: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E5E5E5"/>
          </w:tcPr>
          <w:p>
            <w:pPr>
              <w:ind w:left="440"/>
              <w:spacing w:after="0"/>
              <w:rPr>
                <w:sz w:val="20"/>
                <w:szCs w:val="20"/>
                <w:color w:val="auto"/>
              </w:rPr>
            </w:pPr>
            <w:r>
              <w:rPr>
                <w:rFonts w:ascii="Arial" w:cs="Arial" w:eastAsia="Arial" w:hAnsi="Arial"/>
                <w:sz w:val="18"/>
                <w:szCs w:val="18"/>
                <w:color w:val="auto"/>
                <w:w w:val="97"/>
              </w:rPr>
              <w:t>Increase in Comcast Corporation additional paid-in capital resulting from the issuance of noncontrolling equity interest</w:t>
            </w:r>
          </w:p>
        </w:tc>
        <w:tc>
          <w:tcPr>
            <w:tcW w:w="1040" w:type="dxa"/>
            <w:vAlign w:val="bottom"/>
            <w:shd w:val="clear" w:color="auto" w:fill="E5E5E5"/>
          </w:tcPr>
          <w:p>
            <w:pPr>
              <w:jc w:val="right"/>
              <w:ind w:right="121"/>
              <w:spacing w:after="0"/>
              <w:rPr>
                <w:sz w:val="20"/>
                <w:szCs w:val="20"/>
                <w:color w:val="auto"/>
              </w:rPr>
            </w:pPr>
            <w:r>
              <w:rPr>
                <w:rFonts w:ascii="Arial" w:cs="Arial" w:eastAsia="Arial" w:hAnsi="Arial"/>
                <w:sz w:val="18"/>
                <w:szCs w:val="18"/>
                <w:color w:val="auto"/>
              </w:rPr>
              <w:t>1,657</w:t>
            </w:r>
          </w:p>
        </w:tc>
        <w:tc>
          <w:tcPr>
            <w:tcW w:w="82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5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Increase in Comcast Corporation additional paid-in capital resulting from the purchase of noncontrolling interest</w:t>
            </w:r>
          </w:p>
        </w:tc>
        <w:tc>
          <w:tcPr>
            <w:tcW w:w="1040" w:type="dxa"/>
            <w:vAlign w:val="bottom"/>
            <w:tcBorders>
              <w:bottom w:val="single" w:sz="8" w:color="auto"/>
            </w:tcBorders>
          </w:tcPr>
          <w:p>
            <w:pPr>
              <w:jc w:val="right"/>
              <w:ind w:right="121"/>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7"/>
        </w:trPr>
        <w:tc>
          <w:tcPr>
            <w:tcW w:w="9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w w:val="93"/>
              </w:rPr>
              <w:t>Changes in equity from net income attributable to Comcast Corporation and transfers from (to) noncontrolling interests</w:t>
            </w:r>
          </w:p>
        </w:tc>
        <w:tc>
          <w:tcPr>
            <w:tcW w:w="1040" w:type="dxa"/>
            <w:vAlign w:val="bottom"/>
            <w:tcBorders>
              <w:bottom w:val="single" w:sz="8" w:color="auto"/>
            </w:tcBorders>
            <w:shd w:val="clear" w:color="auto" w:fill="E5E5E5"/>
          </w:tcPr>
          <w:p>
            <w:pPr>
              <w:jc w:val="right"/>
              <w:ind w:right="121"/>
              <w:spacing w:after="0"/>
              <w:rPr>
                <w:sz w:val="20"/>
                <w:szCs w:val="20"/>
                <w:color w:val="auto"/>
              </w:rPr>
            </w:pPr>
            <w:r>
              <w:rPr>
                <w:rFonts w:ascii="Arial" w:cs="Arial" w:eastAsia="Arial" w:hAnsi="Arial"/>
                <w:sz w:val="18"/>
                <w:szCs w:val="18"/>
                <w:b w:val="1"/>
                <w:bCs w:val="1"/>
                <w:color w:val="auto"/>
              </w:rPr>
              <w:t>$4,530</w:t>
            </w:r>
          </w:p>
        </w:tc>
        <w:tc>
          <w:tcPr>
            <w:tcW w:w="82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b w:val="1"/>
                <w:bCs w:val="1"/>
                <w:color w:val="auto"/>
              </w:rPr>
              <w:t>$2,628</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Postretirement, Pension and Other Employee Benefit Plans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Employee Benefit Plans</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Following the close of the NBCUniversal transaction on January 28, 2011, NBCUniversal established new employee benefit plans for its U.S. employees, including defined benefit pension plans and postretirement medical and life insurance plans. Additionally, NBCUniversal assumed certain liabilities related to its obligation to reimburse GE for amounts paid by GE for specified employee benefits and insurance programs that GE will continue to administer. NBCUniversal’s defined benefit pension plans for NBCUniversal employees (the “qualified plan”) and executives (the “nonqualified plan”) provide a lifetime income benefit based on an individual’s length of service and related compensation. The nonqualified plan gives credit to eligible participants for length of service provided before the close of the NBCUniversal transaction to the extent that participants did not vest in a supplemental pension plan sponsored by GE. The qualified plan is closed to new participants. The postretirement medical and life insurance benefit plans that were established provide continued coverage to employees eligible to receive such benefits and give credit for length of service provided before the close of the NBCUniversal transaction. Certain covered employees also retain the right, upon retirement, to elect to participate in corresponding plans sponsored by GE. To the extent our employees make such elections, NBCUniversal will reimburse GE for any amounts due. We did not, however, assume any obligation for benefits due to employees who were retired at the close of the NBCUniversal transaction and were eligible to receive benefits under GE’s postretirement medical and life insurance programs.</w:t>
      </w:r>
    </w:p>
    <w:p>
      <w:pPr>
        <w:spacing w:after="0" w:line="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NBCUniversal funds the nonqualified plan and the postretirement medical and life insurance plans on a pay-as-you-go basis. NBCUniversal expects to contribute approximately $8 million in 2011 to fund these benefits, which includes estimated payments to GE for NBCUniversal’s obligation associated with GE’s supplemental pension plan. NBCUniversal does not plan to fund its qualified plan until the second quarter of 2012, at which time it expects to fund it in the amount of approximately $100 million.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condensed information on the NBCUniversal pension and postretirement benefit plans.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jc w:val="center"/>
              <w:ind w:right="246"/>
              <w:spacing w:after="0"/>
              <w:rPr>
                <w:sz w:val="20"/>
                <w:szCs w:val="20"/>
                <w:color w:val="auto"/>
              </w:rPr>
            </w:pPr>
            <w:r>
              <w:rPr>
                <w:rFonts w:ascii="Arial" w:cs="Arial" w:eastAsia="Arial" w:hAnsi="Arial"/>
                <w:sz w:val="14"/>
                <w:szCs w:val="14"/>
                <w:color w:val="auto"/>
                <w:w w:val="87"/>
              </w:rPr>
              <w:t>Three Months Ended</w:t>
            </w: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ind w:left="20"/>
              <w:spacing w:after="0"/>
              <w:rPr>
                <w:sz w:val="20"/>
                <w:szCs w:val="20"/>
                <w:color w:val="auto"/>
              </w:rPr>
            </w:pPr>
            <w:r>
              <w:rPr>
                <w:rFonts w:ascii="Arial" w:cs="Arial" w:eastAsia="Arial" w:hAnsi="Arial"/>
                <w:sz w:val="14"/>
                <w:szCs w:val="14"/>
                <w:color w:val="auto"/>
              </w:rPr>
              <w:t>Nine Months Ended</w:t>
            </w:r>
          </w:p>
        </w:tc>
        <w:tc>
          <w:tcPr>
            <w:tcW w:w="220" w:type="dxa"/>
            <w:vAlign w:val="bottom"/>
          </w:tcPr>
          <w:p>
            <w:pPr>
              <w:spacing w:after="0"/>
              <w:rPr>
                <w:sz w:val="14"/>
                <w:szCs w:val="14"/>
                <w:color w:val="auto"/>
              </w:rPr>
            </w:pPr>
          </w:p>
        </w:tc>
      </w:tr>
      <w:tr>
        <w:trPr>
          <w:trHeight w:val="159"/>
        </w:trPr>
        <w:tc>
          <w:tcPr>
            <w:tcW w:w="562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center"/>
              <w:ind w:right="266"/>
              <w:spacing w:after="0" w:line="159" w:lineRule="exact"/>
              <w:rPr>
                <w:sz w:val="20"/>
                <w:szCs w:val="20"/>
                <w:color w:val="auto"/>
              </w:rPr>
            </w:pPr>
            <w:r>
              <w:rPr>
                <w:rFonts w:ascii="Arial" w:cs="Arial" w:eastAsia="Arial" w:hAnsi="Arial"/>
                <w:sz w:val="14"/>
                <w:szCs w:val="14"/>
                <w:color w:val="auto"/>
                <w:w w:val="85"/>
              </w:rPr>
              <w:t>September 30, 2011</w:t>
            </w:r>
          </w:p>
        </w:tc>
        <w:tc>
          <w:tcPr>
            <w:tcW w:w="5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ind w:left="20"/>
              <w:spacing w:after="0" w:line="159" w:lineRule="exact"/>
              <w:rPr>
                <w:sz w:val="20"/>
                <w:szCs w:val="20"/>
                <w:color w:val="auto"/>
              </w:rPr>
            </w:pPr>
            <w:r>
              <w:rPr>
                <w:rFonts w:ascii="Arial" w:cs="Arial" w:eastAsia="Arial" w:hAnsi="Arial"/>
                <w:sz w:val="14"/>
                <w:szCs w:val="14"/>
                <w:color w:val="auto"/>
              </w:rPr>
              <w:t>September 30, 2011</w:t>
            </w:r>
          </w:p>
        </w:tc>
        <w:tc>
          <w:tcPr>
            <w:tcW w:w="220" w:type="dxa"/>
            <w:vAlign w:val="bottom"/>
            <w:tcBorders>
              <w:bottom w:val="single" w:sz="8" w:color="auto"/>
            </w:tcBorders>
          </w:tcPr>
          <w:p>
            <w:pPr>
              <w:spacing w:after="0"/>
              <w:rPr>
                <w:sz w:val="13"/>
                <w:szCs w:val="13"/>
                <w:color w:val="auto"/>
              </w:rPr>
            </w:pPr>
          </w:p>
        </w:tc>
      </w:tr>
      <w:tr>
        <w:trPr>
          <w:trHeight w:val="131"/>
        </w:trPr>
        <w:tc>
          <w:tcPr>
            <w:tcW w:w="5620" w:type="dxa"/>
            <w:vAlign w:val="bottom"/>
          </w:tcPr>
          <w:p>
            <w:pPr>
              <w:spacing w:after="0"/>
              <w:rPr>
                <w:sz w:val="11"/>
                <w:szCs w:val="11"/>
                <w:color w:val="auto"/>
              </w:rPr>
            </w:pPr>
          </w:p>
        </w:tc>
        <w:tc>
          <w:tcPr>
            <w:tcW w:w="1180" w:type="dxa"/>
            <w:vAlign w:val="bottom"/>
            <w:gridSpan w:val="2"/>
          </w:tcPr>
          <w:p>
            <w:pPr>
              <w:ind w:left="740"/>
              <w:spacing w:after="0" w:line="131" w:lineRule="exact"/>
              <w:rPr>
                <w:sz w:val="20"/>
                <w:szCs w:val="20"/>
                <w:color w:val="auto"/>
              </w:rPr>
            </w:pPr>
            <w:r>
              <w:rPr>
                <w:rFonts w:ascii="Arial" w:cs="Arial" w:eastAsia="Arial" w:hAnsi="Arial"/>
                <w:sz w:val="14"/>
                <w:szCs w:val="14"/>
                <w:color w:val="auto"/>
                <w:w w:val="82"/>
              </w:rPr>
              <w:t>Pension</w:t>
            </w:r>
          </w:p>
        </w:tc>
        <w:tc>
          <w:tcPr>
            <w:tcW w:w="2040" w:type="dxa"/>
            <w:vAlign w:val="bottom"/>
            <w:gridSpan w:val="2"/>
          </w:tcPr>
          <w:p>
            <w:pPr>
              <w:ind w:left="820"/>
              <w:spacing w:after="0" w:line="131" w:lineRule="exact"/>
              <w:rPr>
                <w:sz w:val="20"/>
                <w:szCs w:val="20"/>
                <w:color w:val="auto"/>
              </w:rPr>
            </w:pPr>
            <w:r>
              <w:rPr>
                <w:rFonts w:ascii="Arial" w:cs="Arial" w:eastAsia="Arial" w:hAnsi="Arial"/>
                <w:sz w:val="14"/>
                <w:szCs w:val="14"/>
                <w:color w:val="auto"/>
              </w:rPr>
              <w:t>Postretirement</w:t>
            </w:r>
          </w:p>
        </w:tc>
        <w:tc>
          <w:tcPr>
            <w:tcW w:w="880" w:type="dxa"/>
            <w:vAlign w:val="bottom"/>
            <w:gridSpan w:val="2"/>
          </w:tcPr>
          <w:p>
            <w:pPr>
              <w:ind w:left="420"/>
              <w:spacing w:after="0" w:line="131" w:lineRule="exact"/>
              <w:rPr>
                <w:sz w:val="20"/>
                <w:szCs w:val="20"/>
                <w:color w:val="auto"/>
              </w:rPr>
            </w:pPr>
            <w:r>
              <w:rPr>
                <w:rFonts w:ascii="Arial" w:cs="Arial" w:eastAsia="Arial" w:hAnsi="Arial"/>
                <w:sz w:val="14"/>
                <w:szCs w:val="14"/>
                <w:color w:val="auto"/>
                <w:w w:val="86"/>
              </w:rPr>
              <w:t>Pension</w:t>
            </w:r>
          </w:p>
        </w:tc>
        <w:tc>
          <w:tcPr>
            <w:tcW w:w="1700" w:type="dxa"/>
            <w:vAlign w:val="bottom"/>
            <w:gridSpan w:val="2"/>
          </w:tcPr>
          <w:p>
            <w:pPr>
              <w:ind w:left="820"/>
              <w:spacing w:after="0" w:line="131" w:lineRule="exact"/>
              <w:rPr>
                <w:sz w:val="20"/>
                <w:szCs w:val="20"/>
                <w:color w:val="auto"/>
              </w:rPr>
            </w:pPr>
            <w:r>
              <w:rPr>
                <w:rFonts w:ascii="Arial" w:cs="Arial" w:eastAsia="Arial" w:hAnsi="Arial"/>
                <w:sz w:val="14"/>
                <w:szCs w:val="14"/>
                <w:color w:val="auto"/>
                <w:w w:val="94"/>
              </w:rPr>
              <w:t>Postretirement</w:t>
            </w:r>
          </w:p>
        </w:tc>
      </w:tr>
      <w:tr>
        <w:trPr>
          <w:trHeight w:val="159"/>
        </w:trPr>
        <w:tc>
          <w:tcPr>
            <w:tcW w:w="56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1180" w:type="dxa"/>
            <w:vAlign w:val="bottom"/>
            <w:tcBorders>
              <w:bottom w:val="single" w:sz="8" w:color="auto"/>
            </w:tcBorders>
            <w:gridSpan w:val="2"/>
          </w:tcPr>
          <w:p>
            <w:pPr>
              <w:ind w:left="720"/>
              <w:spacing w:after="0" w:line="159" w:lineRule="exact"/>
              <w:rPr>
                <w:sz w:val="20"/>
                <w:szCs w:val="20"/>
                <w:color w:val="auto"/>
              </w:rPr>
            </w:pPr>
            <w:r>
              <w:rPr>
                <w:rFonts w:ascii="Arial" w:cs="Arial" w:eastAsia="Arial" w:hAnsi="Arial"/>
                <w:sz w:val="14"/>
                <w:szCs w:val="14"/>
                <w:color w:val="auto"/>
                <w:w w:val="86"/>
              </w:rPr>
              <w:t>Benefits</w:t>
            </w:r>
          </w:p>
        </w:tc>
        <w:tc>
          <w:tcPr>
            <w:tcW w:w="1500" w:type="dxa"/>
            <w:vAlign w:val="bottom"/>
            <w:tcBorders>
              <w:bottom w:val="single" w:sz="8" w:color="auto"/>
            </w:tcBorders>
          </w:tcPr>
          <w:p>
            <w:pPr>
              <w:ind w:left="1000"/>
              <w:spacing w:after="0" w:line="159" w:lineRule="exact"/>
              <w:rPr>
                <w:sz w:val="20"/>
                <w:szCs w:val="20"/>
                <w:color w:val="auto"/>
              </w:rPr>
            </w:pPr>
            <w:r>
              <w:rPr>
                <w:rFonts w:ascii="Arial" w:cs="Arial" w:eastAsia="Arial" w:hAnsi="Arial"/>
                <w:sz w:val="14"/>
                <w:szCs w:val="14"/>
                <w:color w:val="auto"/>
                <w:w w:val="94"/>
              </w:rPr>
              <w:t>Benefits</w:t>
            </w: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ind w:left="420"/>
              <w:spacing w:after="0" w:line="159" w:lineRule="exact"/>
              <w:rPr>
                <w:sz w:val="20"/>
                <w:szCs w:val="20"/>
                <w:color w:val="auto"/>
              </w:rPr>
            </w:pPr>
            <w:r>
              <w:rPr>
                <w:rFonts w:ascii="Arial" w:cs="Arial" w:eastAsia="Arial" w:hAnsi="Arial"/>
                <w:sz w:val="14"/>
                <w:szCs w:val="14"/>
                <w:color w:val="auto"/>
                <w:w w:val="86"/>
              </w:rPr>
              <w:t>Benefits</w:t>
            </w:r>
          </w:p>
        </w:tc>
        <w:tc>
          <w:tcPr>
            <w:tcW w:w="1480" w:type="dxa"/>
            <w:vAlign w:val="bottom"/>
            <w:tcBorders>
              <w:bottom w:val="single" w:sz="8" w:color="auto"/>
            </w:tcBorders>
          </w:tcPr>
          <w:p>
            <w:pPr>
              <w:ind w:left="980"/>
              <w:spacing w:after="0" w:line="159" w:lineRule="exact"/>
              <w:rPr>
                <w:sz w:val="20"/>
                <w:szCs w:val="20"/>
                <w:color w:val="auto"/>
              </w:rPr>
            </w:pPr>
            <w:r>
              <w:rPr>
                <w:rFonts w:ascii="Arial" w:cs="Arial" w:eastAsia="Arial" w:hAnsi="Arial"/>
                <w:sz w:val="14"/>
                <w:szCs w:val="14"/>
                <w:color w:val="auto"/>
                <w:w w:val="94"/>
              </w:rPr>
              <w:t>Benefits</w:t>
            </w:r>
          </w:p>
        </w:tc>
        <w:tc>
          <w:tcPr>
            <w:tcW w:w="220" w:type="dxa"/>
            <w:vAlign w:val="bottom"/>
            <w:tcBorders>
              <w:bottom w:val="single" w:sz="8" w:color="auto"/>
            </w:tcBorders>
          </w:tcPr>
          <w:p>
            <w:pPr>
              <w:spacing w:after="0"/>
              <w:rPr>
                <w:sz w:val="13"/>
                <w:szCs w:val="13"/>
                <w:color w:val="auto"/>
              </w:rPr>
            </w:pPr>
          </w:p>
        </w:tc>
      </w:tr>
      <w:tr>
        <w:trPr>
          <w:trHeight w:val="210"/>
        </w:trPr>
        <w:tc>
          <w:tcPr>
            <w:tcW w:w="5620" w:type="dxa"/>
            <w:vAlign w:val="bottom"/>
            <w:shd w:val="clear" w:color="auto" w:fill="E5E5E5"/>
          </w:tcPr>
          <w:p>
            <w:pPr>
              <w:spacing w:after="0"/>
              <w:rPr>
                <w:sz w:val="20"/>
                <w:szCs w:val="20"/>
                <w:color w:val="auto"/>
              </w:rPr>
            </w:pPr>
            <w:r>
              <w:rPr>
                <w:rFonts w:ascii="Arial" w:cs="Arial" w:eastAsia="Arial" w:hAnsi="Arial"/>
                <w:sz w:val="18"/>
                <w:szCs w:val="18"/>
                <w:color w:val="auto"/>
              </w:rPr>
              <w:t>Service cost</w:t>
            </w:r>
          </w:p>
        </w:tc>
        <w:tc>
          <w:tcPr>
            <w:tcW w:w="900" w:type="dxa"/>
            <w:vAlign w:val="bottom"/>
            <w:shd w:val="clear" w:color="auto" w:fill="E5E5E5"/>
          </w:tcPr>
          <w:p>
            <w:pPr>
              <w:ind w:left="7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w:t>
            </w:r>
          </w:p>
        </w:tc>
        <w:tc>
          <w:tcPr>
            <w:tcW w:w="1500" w:type="dxa"/>
            <w:vAlign w:val="bottom"/>
            <w:shd w:val="clear" w:color="auto" w:fill="E5E5E5"/>
          </w:tcPr>
          <w:p>
            <w:pPr>
              <w:ind w:left="820"/>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332"/>
              <w:spacing w:after="0"/>
              <w:rPr>
                <w:sz w:val="20"/>
                <w:szCs w:val="20"/>
                <w:color w:val="auto"/>
              </w:rPr>
            </w:pPr>
            <w:r>
              <w:rPr>
                <w:rFonts w:ascii="Arial" w:cs="Arial" w:eastAsia="Arial" w:hAnsi="Arial"/>
                <w:sz w:val="18"/>
                <w:szCs w:val="18"/>
                <w:color w:val="auto"/>
                <w:w w:val="99"/>
              </w:rPr>
              <w:t>1</w:t>
            </w:r>
          </w:p>
        </w:tc>
        <w:tc>
          <w:tcPr>
            <w:tcW w:w="600" w:type="dxa"/>
            <w:vAlign w:val="bottom"/>
            <w:shd w:val="clear" w:color="auto" w:fill="E5E5E5"/>
          </w:tcPr>
          <w:p>
            <w:pPr>
              <w:ind w:lef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72</w:t>
            </w:r>
          </w:p>
        </w:tc>
        <w:tc>
          <w:tcPr>
            <w:tcW w:w="1480" w:type="dxa"/>
            <w:vAlign w:val="bottom"/>
            <w:shd w:val="clear" w:color="auto" w:fill="E5E5E5"/>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99"/>
              </w:rPr>
              <w:t>4</w:t>
            </w:r>
          </w:p>
        </w:tc>
      </w:tr>
      <w:tr>
        <w:trPr>
          <w:trHeight w:val="216"/>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cost</w:t>
            </w:r>
          </w:p>
        </w:tc>
        <w:tc>
          <w:tcPr>
            <w:tcW w:w="90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5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99"/>
              </w:rPr>
              <w:t>2</w:t>
            </w:r>
          </w:p>
        </w:tc>
        <w:tc>
          <w:tcPr>
            <w:tcW w:w="6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4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6</w:t>
            </w:r>
          </w:p>
        </w:tc>
      </w:tr>
    </w:tbl>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400" w:type="dxa"/>
            <w:vAlign w:val="bottom"/>
          </w:tcPr>
          <w:p>
            <w:pPr>
              <w:ind w:left="120"/>
              <w:spacing w:after="0"/>
              <w:rPr>
                <w:sz w:val="20"/>
                <w:szCs w:val="20"/>
                <w:color w:val="auto"/>
              </w:rPr>
            </w:pPr>
            <w:r>
              <w:rPr>
                <w:rFonts w:ascii="Arial" w:cs="Arial" w:eastAsia="Arial" w:hAnsi="Arial"/>
                <w:sz w:val="14"/>
                <w:szCs w:val="14"/>
                <w:color w:val="auto"/>
              </w:rPr>
              <w:t>Pension</w:t>
            </w:r>
          </w:p>
        </w:tc>
        <w:tc>
          <w:tcPr>
            <w:tcW w:w="1520" w:type="dxa"/>
            <w:vAlign w:val="bottom"/>
            <w:gridSpan w:val="2"/>
          </w:tcPr>
          <w:p>
            <w:pPr>
              <w:ind w:left="520"/>
              <w:spacing w:after="0"/>
              <w:rPr>
                <w:sz w:val="20"/>
                <w:szCs w:val="20"/>
                <w:color w:val="auto"/>
              </w:rPr>
            </w:pPr>
            <w:r>
              <w:rPr>
                <w:rFonts w:ascii="Arial" w:cs="Arial" w:eastAsia="Arial" w:hAnsi="Arial"/>
                <w:sz w:val="14"/>
                <w:szCs w:val="14"/>
                <w:color w:val="auto"/>
              </w:rPr>
              <w:t>Postretirement</w:t>
            </w:r>
          </w:p>
        </w:tc>
      </w:tr>
      <w:tr>
        <w:trPr>
          <w:trHeight w:val="159"/>
        </w:trPr>
        <w:tc>
          <w:tcPr>
            <w:tcW w:w="52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As of September 30, 2011 (in millions)</w:t>
            </w:r>
          </w:p>
        </w:tc>
        <w:tc>
          <w:tcPr>
            <w:tcW w:w="32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ind w:left="100"/>
              <w:spacing w:after="0" w:line="159" w:lineRule="exact"/>
              <w:rPr>
                <w:sz w:val="20"/>
                <w:szCs w:val="20"/>
                <w:color w:val="auto"/>
              </w:rPr>
            </w:pPr>
            <w:r>
              <w:rPr>
                <w:rFonts w:ascii="Arial" w:cs="Arial" w:eastAsia="Arial" w:hAnsi="Arial"/>
                <w:sz w:val="14"/>
                <w:szCs w:val="14"/>
                <w:color w:val="auto"/>
              </w:rPr>
              <w:t>Benefits</w:t>
            </w:r>
          </w:p>
        </w:tc>
        <w:tc>
          <w:tcPr>
            <w:tcW w:w="6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99"/>
              <w:spacing w:after="0" w:line="159" w:lineRule="exact"/>
              <w:rPr>
                <w:sz w:val="20"/>
                <w:szCs w:val="20"/>
                <w:color w:val="auto"/>
              </w:rPr>
            </w:pPr>
            <w:r>
              <w:rPr>
                <w:rFonts w:ascii="Arial" w:cs="Arial" w:eastAsia="Arial" w:hAnsi="Arial"/>
                <w:sz w:val="14"/>
                <w:szCs w:val="14"/>
                <w:color w:val="auto"/>
                <w:w w:val="90"/>
              </w:rPr>
              <w:t>Benefits</w:t>
            </w:r>
          </w:p>
        </w:tc>
      </w:tr>
      <w:tr>
        <w:trPr>
          <w:trHeight w:val="210"/>
        </w:trPr>
        <w:tc>
          <w:tcPr>
            <w:tcW w:w="5260" w:type="dxa"/>
            <w:vAlign w:val="bottom"/>
            <w:shd w:val="clear" w:color="auto" w:fill="E5E5E5"/>
          </w:tcPr>
          <w:p>
            <w:pPr>
              <w:spacing w:after="0"/>
              <w:rPr>
                <w:sz w:val="20"/>
                <w:szCs w:val="20"/>
                <w:color w:val="auto"/>
              </w:rPr>
            </w:pPr>
            <w:r>
              <w:rPr>
                <w:rFonts w:ascii="Arial" w:cs="Arial" w:eastAsia="Arial" w:hAnsi="Arial"/>
                <w:sz w:val="18"/>
                <w:szCs w:val="18"/>
                <w:color w:val="auto"/>
              </w:rPr>
              <w:t>Benefit obligation</w:t>
            </w:r>
          </w:p>
        </w:tc>
        <w:tc>
          <w:tcPr>
            <w:tcW w:w="32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E5E5E5"/>
          </w:tcPr>
          <w:p>
            <w:pPr>
              <w:jc w:val="right"/>
              <w:ind w:right="582"/>
              <w:spacing w:after="0"/>
              <w:rPr>
                <w:sz w:val="20"/>
                <w:szCs w:val="20"/>
                <w:color w:val="auto"/>
              </w:rPr>
            </w:pPr>
            <w:r>
              <w:rPr>
                <w:rFonts w:ascii="Arial" w:cs="Arial" w:eastAsia="Arial" w:hAnsi="Arial"/>
                <w:sz w:val="18"/>
                <w:szCs w:val="18"/>
                <w:color w:val="auto"/>
              </w:rPr>
              <w:t>326</w:t>
            </w:r>
          </w:p>
        </w:tc>
        <w:tc>
          <w:tcPr>
            <w:tcW w:w="660" w:type="dxa"/>
            <w:vAlign w:val="bottom"/>
            <w:shd w:val="clear" w:color="auto" w:fill="E5E5E5"/>
          </w:tcPr>
          <w:p>
            <w:pPr>
              <w:ind w:left="52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119"/>
              <w:spacing w:after="0"/>
              <w:rPr>
                <w:sz w:val="20"/>
                <w:szCs w:val="20"/>
                <w:color w:val="auto"/>
              </w:rPr>
            </w:pPr>
            <w:r>
              <w:rPr>
                <w:rFonts w:ascii="Arial" w:cs="Arial" w:eastAsia="Arial" w:hAnsi="Arial"/>
                <w:sz w:val="18"/>
                <w:szCs w:val="18"/>
                <w:color w:val="auto"/>
              </w:rPr>
              <w:t>170</w:t>
            </w:r>
          </w:p>
        </w:tc>
      </w:tr>
      <w:tr>
        <w:trPr>
          <w:trHeight w:val="216"/>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Discount rate</w:t>
            </w:r>
          </w:p>
        </w:tc>
        <w:tc>
          <w:tcPr>
            <w:tcW w:w="3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422"/>
              <w:spacing w:after="0"/>
              <w:rPr>
                <w:sz w:val="20"/>
                <w:szCs w:val="20"/>
                <w:color w:val="auto"/>
              </w:rPr>
            </w:pPr>
            <w:r>
              <w:rPr>
                <w:rFonts w:ascii="Arial" w:cs="Arial" w:eastAsia="Arial" w:hAnsi="Arial"/>
                <w:sz w:val="18"/>
                <w:szCs w:val="18"/>
                <w:color w:val="auto"/>
                <w:w w:val="89"/>
              </w:rPr>
              <w:t>5.5% - 6.0%</w:t>
            </w:r>
          </w:p>
        </w:tc>
        <w:tc>
          <w:tcPr>
            <w:tcW w:w="6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r>
    </w:tbl>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NBCUniversal also established a 401(k) defined contribution retirement plan for U.S. employees with 100% matching contributions on the first 3.5% of pay plus additional contributions based on employee classification and management discretion. The related expense for the three and nine months ended September 30, 2011 was $20 million and $41 million, respectively.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Other Employee Benefit Plans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condensed consolidated financial statements include the assets and liabilities of certain legacy NBCUniversal benefit plans, as well as the assets and liabilities for benefit plans of certain foreign subsidiaries. NBCUniversal also participates in various multiemployer pension plans covering some of its employees who are represented by labor unions. NBCUniversal makes periodic contributions to these plans in accordance with the terms of applicable collective bargaining agreements and laws but does not sponsor or administer these plans.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Share-Based Compensation</w:t>
      </w:r>
    </w:p>
    <w:p>
      <w:pPr>
        <w:spacing w:after="0" w:line="82" w:lineRule="exact"/>
        <w:rPr>
          <w:sz w:val="20"/>
          <w:szCs w:val="20"/>
          <w:color w:val="auto"/>
        </w:rPr>
      </w:pPr>
    </w:p>
    <w:p>
      <w:pPr>
        <w:jc w:val="both"/>
        <w:ind w:right="20"/>
        <w:spacing w:after="0" w:line="325" w:lineRule="auto"/>
        <w:rPr>
          <w:sz w:val="20"/>
          <w:szCs w:val="20"/>
          <w:color w:val="auto"/>
        </w:rPr>
      </w:pPr>
      <w:r>
        <w:rPr>
          <w:rFonts w:ascii="Arial" w:cs="Arial" w:eastAsia="Arial" w:hAnsi="Arial"/>
          <w:sz w:val="16"/>
          <w:szCs w:val="16"/>
          <w:color w:val="auto"/>
        </w:rPr>
        <w:t>Our Board of Directors may grant share-based awards, in the form of stock options and RSUs, to certain employees and directors. Additionally, through our employee stock purchase plans, employees are able to purchase shares of Comcast Class A common stock at a discount through payroll deductions.</w:t>
      </w:r>
    </w:p>
    <w:p>
      <w:pPr>
        <w:spacing w:after="0" w:line="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March 2011, we granted 23.8 million stock options and 6.6 million RSUs related to our annual management grant program. The weighted-average fair values associated with these grants were $6.97 per stock option and $23.33 per RSU.</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w w:val="91"/>
              </w:rPr>
              <w:t>Three Months Ended</w:t>
            </w: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gridSpan w:val="3"/>
          </w:tcPr>
          <w:p>
            <w:pPr>
              <w:jc w:val="right"/>
              <w:ind w:right="356"/>
              <w:spacing w:after="0"/>
              <w:rPr>
                <w:sz w:val="20"/>
                <w:szCs w:val="20"/>
                <w:color w:val="auto"/>
              </w:rPr>
            </w:pPr>
            <w:r>
              <w:rPr>
                <w:rFonts w:ascii="Arial" w:cs="Arial" w:eastAsia="Arial" w:hAnsi="Arial"/>
                <w:sz w:val="14"/>
                <w:szCs w:val="14"/>
                <w:color w:val="auto"/>
                <w:w w:val="95"/>
              </w:rPr>
              <w:t>Nine Months Ended</w:t>
            </w:r>
          </w:p>
        </w:tc>
        <w:tc>
          <w:tcPr>
            <w:tcW w:w="0" w:type="dxa"/>
            <w:vAlign w:val="bottom"/>
          </w:tcPr>
          <w:p>
            <w:pPr>
              <w:spacing w:after="0"/>
              <w:rPr>
                <w:sz w:val="1"/>
                <w:szCs w:val="1"/>
                <w:color w:val="auto"/>
              </w:rPr>
            </w:pPr>
          </w:p>
        </w:tc>
      </w:tr>
      <w:tr>
        <w:trPr>
          <w:trHeight w:val="159"/>
        </w:trPr>
        <w:tc>
          <w:tcPr>
            <w:tcW w:w="70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September 30</w:t>
            </w: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02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621"/>
              <w:spacing w:after="0" w:line="142" w:lineRule="exact"/>
              <w:rPr>
                <w:sz w:val="20"/>
                <w:szCs w:val="20"/>
                <w:color w:val="auto"/>
              </w:rPr>
            </w:pPr>
            <w:r>
              <w:rPr>
                <w:rFonts w:ascii="Arial" w:cs="Arial" w:eastAsia="Arial" w:hAnsi="Arial"/>
                <w:sz w:val="14"/>
                <w:szCs w:val="14"/>
                <w:color w:val="auto"/>
                <w:w w:val="96"/>
              </w:rPr>
              <w:t>2011</w:t>
            </w:r>
          </w:p>
        </w:tc>
        <w:tc>
          <w:tcPr>
            <w:tcW w:w="700" w:type="dxa"/>
            <w:vAlign w:val="bottom"/>
            <w:tcBorders>
              <w:bottom w:val="single" w:sz="8" w:color="auto"/>
            </w:tcBorders>
            <w:gridSpan w:val="2"/>
          </w:tcPr>
          <w:p>
            <w:pPr>
              <w:jc w:val="right"/>
              <w:ind w:right="272"/>
              <w:spacing w:after="0" w:line="142" w:lineRule="exact"/>
              <w:rPr>
                <w:sz w:val="20"/>
                <w:szCs w:val="20"/>
                <w:color w:val="auto"/>
              </w:rPr>
            </w:pPr>
            <w:r>
              <w:rPr>
                <w:rFonts w:ascii="Arial" w:cs="Arial" w:eastAsia="Arial" w:hAnsi="Arial"/>
                <w:sz w:val="14"/>
                <w:szCs w:val="14"/>
                <w:color w:val="auto"/>
              </w:rPr>
              <w:t>2010</w:t>
            </w:r>
          </w:p>
        </w:tc>
        <w:tc>
          <w:tcPr>
            <w:tcW w:w="4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41"/>
              <w:spacing w:after="0" w:line="142" w:lineRule="exact"/>
              <w:rPr>
                <w:sz w:val="20"/>
                <w:szCs w:val="20"/>
                <w:color w:val="auto"/>
              </w:rPr>
            </w:pPr>
            <w:r>
              <w:rPr>
                <w:rFonts w:ascii="Arial" w:cs="Arial" w:eastAsia="Arial" w:hAnsi="Arial"/>
                <w:sz w:val="14"/>
                <w:szCs w:val="14"/>
                <w:color w:val="auto"/>
                <w:w w:val="83"/>
              </w:rPr>
              <w:t>2011</w:t>
            </w:r>
          </w:p>
        </w:tc>
        <w:tc>
          <w:tcPr>
            <w:tcW w:w="4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color w:val="auto"/>
                <w:w w:val="89"/>
              </w:rPr>
              <w:t>2010</w:t>
            </w:r>
          </w:p>
        </w:tc>
        <w:tc>
          <w:tcPr>
            <w:tcW w:w="0" w:type="dxa"/>
            <w:vAlign w:val="bottom"/>
          </w:tcPr>
          <w:p>
            <w:pPr>
              <w:spacing w:after="0"/>
              <w:rPr>
                <w:sz w:val="1"/>
                <w:szCs w:val="1"/>
                <w:color w:val="auto"/>
              </w:rPr>
            </w:pPr>
          </w:p>
        </w:tc>
      </w:tr>
      <w:tr>
        <w:trPr>
          <w:trHeight w:val="210"/>
        </w:trPr>
        <w:tc>
          <w:tcPr>
            <w:tcW w:w="7020" w:type="dxa"/>
            <w:vAlign w:val="bottom"/>
            <w:shd w:val="clear" w:color="auto" w:fill="E5E5E5"/>
          </w:tcPr>
          <w:p>
            <w:pPr>
              <w:spacing w:after="0"/>
              <w:rPr>
                <w:sz w:val="20"/>
                <w:szCs w:val="20"/>
                <w:color w:val="auto"/>
              </w:rPr>
            </w:pPr>
            <w:r>
              <w:rPr>
                <w:rFonts w:ascii="Arial" w:cs="Arial" w:eastAsia="Arial" w:hAnsi="Arial"/>
                <w:sz w:val="18"/>
                <w:szCs w:val="18"/>
                <w:color w:val="auto"/>
              </w:rPr>
              <w:t>Stock options</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ind w:right="541"/>
              <w:spacing w:after="0"/>
              <w:rPr>
                <w:sz w:val="20"/>
                <w:szCs w:val="20"/>
                <w:color w:val="auto"/>
              </w:rPr>
            </w:pPr>
            <w:r>
              <w:rPr>
                <w:rFonts w:ascii="Arial" w:cs="Arial" w:eastAsia="Arial" w:hAnsi="Arial"/>
                <w:sz w:val="18"/>
                <w:szCs w:val="18"/>
                <w:color w:val="auto"/>
              </w:rPr>
              <w:t>30</w:t>
            </w:r>
          </w:p>
        </w:tc>
        <w:tc>
          <w:tcPr>
            <w:tcW w:w="200" w:type="dxa"/>
            <w:vAlign w:val="bottom"/>
            <w:shd w:val="clear" w:color="auto" w:fill="E5E5E5"/>
          </w:tcPr>
          <w:p>
            <w:pPr>
              <w:jc w:val="right"/>
              <w:ind w:right="1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w w:val="89"/>
              </w:rPr>
              <w:t>25</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241"/>
              <w:spacing w:after="0"/>
              <w:rPr>
                <w:sz w:val="20"/>
                <w:szCs w:val="20"/>
                <w:color w:val="auto"/>
              </w:rPr>
            </w:pPr>
            <w:r>
              <w:rPr>
                <w:rFonts w:ascii="Arial" w:cs="Arial" w:eastAsia="Arial" w:hAnsi="Arial"/>
                <w:sz w:val="18"/>
                <w:szCs w:val="18"/>
                <w:color w:val="auto"/>
              </w:rPr>
              <w:t>86</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Restricted share units</w:t>
            </w:r>
          </w:p>
        </w:tc>
        <w:tc>
          <w:tcPr>
            <w:tcW w:w="640" w:type="dxa"/>
            <w:vAlign w:val="bottom"/>
          </w:tcPr>
          <w:p>
            <w:pPr>
              <w:spacing w:after="0"/>
              <w:rPr>
                <w:sz w:val="18"/>
                <w:szCs w:val="18"/>
                <w:color w:val="auto"/>
              </w:rPr>
            </w:pPr>
          </w:p>
        </w:tc>
        <w:tc>
          <w:tcPr>
            <w:tcW w:w="1020" w:type="dxa"/>
            <w:vAlign w:val="bottom"/>
          </w:tcPr>
          <w:p>
            <w:pPr>
              <w:jc w:val="right"/>
              <w:ind w:right="541"/>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500" w:type="dxa"/>
            <w:vAlign w:val="bottom"/>
          </w:tcPr>
          <w:p>
            <w:pPr>
              <w:jc w:val="right"/>
              <w:ind w:right="212"/>
              <w:spacing w:after="0"/>
              <w:rPr>
                <w:sz w:val="20"/>
                <w:szCs w:val="20"/>
                <w:color w:val="auto"/>
              </w:rPr>
            </w:pPr>
            <w:r>
              <w:rPr>
                <w:rFonts w:ascii="Arial" w:cs="Arial" w:eastAsia="Arial" w:hAnsi="Arial"/>
                <w:sz w:val="18"/>
                <w:szCs w:val="18"/>
                <w:color w:val="auto"/>
                <w:w w:val="89"/>
              </w:rPr>
              <w:t>32</w:t>
            </w:r>
          </w:p>
        </w:tc>
        <w:tc>
          <w:tcPr>
            <w:tcW w:w="400" w:type="dxa"/>
            <w:vAlign w:val="bottom"/>
          </w:tcPr>
          <w:p>
            <w:pPr>
              <w:spacing w:after="0"/>
              <w:rPr>
                <w:sz w:val="18"/>
                <w:szCs w:val="18"/>
                <w:color w:val="auto"/>
              </w:rPr>
            </w:pPr>
          </w:p>
        </w:tc>
        <w:tc>
          <w:tcPr>
            <w:tcW w:w="700" w:type="dxa"/>
            <w:vAlign w:val="bottom"/>
          </w:tcPr>
          <w:p>
            <w:pPr>
              <w:jc w:val="right"/>
              <w:ind w:right="241"/>
              <w:spacing w:after="0"/>
              <w:rPr>
                <w:sz w:val="20"/>
                <w:szCs w:val="20"/>
                <w:color w:val="auto"/>
              </w:rPr>
            </w:pPr>
            <w:r>
              <w:rPr>
                <w:rFonts w:ascii="Arial" w:cs="Arial" w:eastAsia="Arial" w:hAnsi="Arial"/>
                <w:sz w:val="18"/>
                <w:szCs w:val="18"/>
                <w:color w:val="auto"/>
              </w:rPr>
              <w:t>113</w:t>
            </w:r>
          </w:p>
        </w:tc>
        <w:tc>
          <w:tcPr>
            <w:tcW w:w="420" w:type="dxa"/>
            <w:vAlign w:val="bottom"/>
          </w:tcPr>
          <w:p>
            <w:pPr>
              <w:spacing w:after="0"/>
              <w:rPr>
                <w:sz w:val="18"/>
                <w:szCs w:val="18"/>
                <w:color w:val="auto"/>
              </w:rPr>
            </w:pPr>
          </w:p>
        </w:tc>
        <w:tc>
          <w:tcPr>
            <w:tcW w:w="520" w:type="dxa"/>
            <w:vAlign w:val="bottom"/>
          </w:tcPr>
          <w:p>
            <w:pPr>
              <w:jc w:val="right"/>
              <w:ind w:right="16"/>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0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Employee stock purchase plans</w:t>
            </w:r>
          </w:p>
        </w:tc>
        <w:tc>
          <w:tcPr>
            <w:tcW w:w="64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jc w:val="right"/>
              <w:ind w:right="541"/>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color w:val="auto"/>
              </w:rPr>
              <w:t>3</w:t>
            </w:r>
          </w:p>
        </w:tc>
        <w:tc>
          <w:tcPr>
            <w:tcW w:w="4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241"/>
              <w:spacing w:after="0"/>
              <w:rPr>
                <w:sz w:val="20"/>
                <w:szCs w:val="20"/>
                <w:color w:val="auto"/>
              </w:rPr>
            </w:pPr>
            <w:r>
              <w:rPr>
                <w:rFonts w:ascii="Arial" w:cs="Arial" w:eastAsia="Arial" w:hAnsi="Arial"/>
                <w:sz w:val="18"/>
                <w:szCs w:val="18"/>
                <w:color w:val="auto"/>
              </w:rPr>
              <w:t>10</w:t>
            </w:r>
          </w:p>
        </w:tc>
        <w:tc>
          <w:tcPr>
            <w:tcW w:w="4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7"/>
        </w:trPr>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541"/>
              <w:spacing w:after="0"/>
              <w:rPr>
                <w:sz w:val="20"/>
                <w:szCs w:val="20"/>
                <w:color w:val="auto"/>
              </w:rPr>
            </w:pPr>
            <w:r>
              <w:rPr>
                <w:rFonts w:ascii="Arial" w:cs="Arial" w:eastAsia="Arial" w:hAnsi="Arial"/>
                <w:sz w:val="18"/>
                <w:szCs w:val="18"/>
                <w:b w:val="1"/>
                <w:bCs w:val="1"/>
                <w:color w:val="auto"/>
              </w:rPr>
              <w:t>69</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89"/>
              </w:rPr>
              <w:t>60</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241"/>
              <w:spacing w:after="0"/>
              <w:rPr>
                <w:sz w:val="20"/>
                <w:szCs w:val="20"/>
                <w:color w:val="auto"/>
              </w:rPr>
            </w:pPr>
            <w:r>
              <w:rPr>
                <w:rFonts w:ascii="Arial" w:cs="Arial" w:eastAsia="Arial" w:hAnsi="Arial"/>
                <w:sz w:val="18"/>
                <w:szCs w:val="18"/>
                <w:b w:val="1"/>
                <w:bCs w:val="1"/>
                <w:color w:val="auto"/>
              </w:rPr>
              <w:t>209</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187</w:t>
            </w: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September 30, 2011, we had $345 million of unrecognized pretax compensation costs related to nonvested stock options and $353 million related to nonvested RSUs.</w:t>
      </w:r>
    </w:p>
    <w:p>
      <w:pPr>
        <w:spacing w:after="0" w:line="3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employee cost associated with participation in the employee stock purchase plans was satisfied with payroll deductions of approximately $16 million and $44 million for the three and nine months ended September 30, 2011, respectively. For the three and nine months ended September 30, 2010, the employee cost was $13 million and $39 million, respectively.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Supplemental Financial Information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20" w:type="dxa"/>
            <w:vAlign w:val="bottom"/>
          </w:tcPr>
          <w:p>
            <w:pPr>
              <w:jc w:val="right"/>
              <w:ind w:right="499"/>
              <w:spacing w:after="0"/>
              <w:rPr>
                <w:sz w:val="20"/>
                <w:szCs w:val="20"/>
                <w:color w:val="auto"/>
              </w:rPr>
            </w:pPr>
            <w:r>
              <w:rPr>
                <w:rFonts w:ascii="Arial" w:cs="Arial" w:eastAsia="Arial" w:hAnsi="Arial"/>
                <w:sz w:val="14"/>
                <w:szCs w:val="14"/>
                <w:color w:val="auto"/>
                <w:w w:val="89"/>
              </w:rPr>
              <w:t>September 30,</w:t>
            </w:r>
          </w:p>
        </w:tc>
        <w:tc>
          <w:tcPr>
            <w:tcW w:w="540" w:type="dxa"/>
            <w:vAlign w:val="bottom"/>
          </w:tcPr>
          <w:p>
            <w:pPr>
              <w:spacing w:after="0"/>
              <w:rPr>
                <w:sz w:val="14"/>
                <w:szCs w:val="14"/>
                <w:color w:val="auto"/>
              </w:rPr>
            </w:pPr>
          </w:p>
        </w:tc>
        <w:tc>
          <w:tcPr>
            <w:tcW w:w="1120" w:type="dxa"/>
            <w:vAlign w:val="bottom"/>
          </w:tcPr>
          <w:p>
            <w:pPr>
              <w:jc w:val="right"/>
              <w:ind w:right="219"/>
              <w:spacing w:after="0"/>
              <w:rPr>
                <w:sz w:val="20"/>
                <w:szCs w:val="20"/>
                <w:color w:val="auto"/>
              </w:rPr>
            </w:pPr>
            <w:r>
              <w:rPr>
                <w:rFonts w:ascii="Arial" w:cs="Arial" w:eastAsia="Arial" w:hAnsi="Arial"/>
                <w:sz w:val="14"/>
                <w:szCs w:val="14"/>
                <w:color w:val="auto"/>
                <w:w w:val="90"/>
              </w:rPr>
              <w:t>December 31,</w:t>
            </w:r>
          </w:p>
        </w:tc>
      </w:tr>
      <w:tr>
        <w:trPr>
          <w:trHeight w:val="159"/>
        </w:trPr>
        <w:tc>
          <w:tcPr>
            <w:tcW w:w="59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23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759"/>
              <w:spacing w:after="0" w:line="159" w:lineRule="exact"/>
              <w:rPr>
                <w:sz w:val="20"/>
                <w:szCs w:val="20"/>
                <w:color w:val="auto"/>
              </w:rPr>
            </w:pPr>
            <w:r>
              <w:rPr>
                <w:rFonts w:ascii="Arial" w:cs="Arial" w:eastAsia="Arial" w:hAnsi="Arial"/>
                <w:sz w:val="14"/>
                <w:szCs w:val="14"/>
                <w:color w:val="auto"/>
              </w:rPr>
              <w:t>2011</w:t>
            </w:r>
          </w:p>
        </w:tc>
        <w:tc>
          <w:tcPr>
            <w:tcW w:w="5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59"/>
              <w:spacing w:after="0" w:line="159" w:lineRule="exact"/>
              <w:rPr>
                <w:sz w:val="20"/>
                <w:szCs w:val="20"/>
                <w:color w:val="auto"/>
              </w:rPr>
            </w:pPr>
            <w:r>
              <w:rPr>
                <w:rFonts w:ascii="Arial" w:cs="Arial" w:eastAsia="Arial" w:hAnsi="Arial"/>
                <w:sz w:val="14"/>
                <w:szCs w:val="14"/>
                <w:color w:val="auto"/>
              </w:rPr>
              <w:t>2010</w:t>
            </w:r>
          </w:p>
        </w:tc>
      </w:tr>
      <w:tr>
        <w:trPr>
          <w:trHeight w:val="210"/>
        </w:trPr>
        <w:tc>
          <w:tcPr>
            <w:tcW w:w="5960" w:type="dxa"/>
            <w:vAlign w:val="bottom"/>
            <w:shd w:val="clear" w:color="auto" w:fill="E5E5E5"/>
          </w:tcPr>
          <w:p>
            <w:pPr>
              <w:spacing w:after="0"/>
              <w:rPr>
                <w:sz w:val="20"/>
                <w:szCs w:val="20"/>
                <w:color w:val="auto"/>
              </w:rPr>
            </w:pPr>
            <w:r>
              <w:rPr>
                <w:rFonts w:ascii="Arial" w:cs="Arial" w:eastAsia="Arial" w:hAnsi="Arial"/>
                <w:sz w:val="18"/>
                <w:szCs w:val="18"/>
                <w:color w:val="auto"/>
              </w:rPr>
              <w:t>Receivables, gross</w:t>
            </w:r>
          </w:p>
        </w:tc>
        <w:tc>
          <w:tcPr>
            <w:tcW w:w="2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E5E5E5"/>
          </w:tcPr>
          <w:p>
            <w:pPr>
              <w:jc w:val="right"/>
              <w:ind w:right="299"/>
              <w:spacing w:after="0"/>
              <w:rPr>
                <w:sz w:val="20"/>
                <w:szCs w:val="20"/>
                <w:color w:val="auto"/>
              </w:rPr>
            </w:pPr>
            <w:r>
              <w:rPr>
                <w:rFonts w:ascii="Arial" w:cs="Arial" w:eastAsia="Arial" w:hAnsi="Arial"/>
                <w:sz w:val="18"/>
                <w:szCs w:val="18"/>
                <w:color w:val="auto"/>
              </w:rPr>
              <w:t>4,650</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E5E5E5"/>
          </w:tcPr>
          <w:p>
            <w:pPr>
              <w:jc w:val="right"/>
              <w:ind w:right="19"/>
              <w:spacing w:after="0"/>
              <w:rPr>
                <w:sz w:val="20"/>
                <w:szCs w:val="20"/>
                <w:color w:val="auto"/>
              </w:rPr>
            </w:pPr>
            <w:r>
              <w:rPr>
                <w:rFonts w:ascii="Arial" w:cs="Arial" w:eastAsia="Arial" w:hAnsi="Arial"/>
                <w:sz w:val="18"/>
                <w:szCs w:val="18"/>
                <w:color w:val="auto"/>
              </w:rPr>
              <w:t>2,028</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Less: Allowance for returns and customer incentives</w:t>
            </w:r>
          </w:p>
        </w:tc>
        <w:tc>
          <w:tcPr>
            <w:tcW w:w="2380" w:type="dxa"/>
            <w:vAlign w:val="bottom"/>
          </w:tcPr>
          <w:p>
            <w:pPr>
              <w:spacing w:after="0"/>
              <w:rPr>
                <w:sz w:val="18"/>
                <w:szCs w:val="18"/>
                <w:color w:val="auto"/>
              </w:rPr>
            </w:pPr>
          </w:p>
        </w:tc>
        <w:tc>
          <w:tcPr>
            <w:tcW w:w="1420" w:type="dxa"/>
            <w:vAlign w:val="bottom"/>
          </w:tcPr>
          <w:p>
            <w:pPr>
              <w:jc w:val="right"/>
              <w:ind w:right="299"/>
              <w:spacing w:after="0"/>
              <w:rPr>
                <w:sz w:val="20"/>
                <w:szCs w:val="20"/>
                <w:color w:val="auto"/>
              </w:rPr>
            </w:pPr>
            <w:r>
              <w:rPr>
                <w:rFonts w:ascii="Arial" w:cs="Arial" w:eastAsia="Arial" w:hAnsi="Arial"/>
                <w:sz w:val="18"/>
                <w:szCs w:val="18"/>
                <w:color w:val="auto"/>
              </w:rPr>
              <w:t>351</w:t>
            </w:r>
          </w:p>
        </w:tc>
        <w:tc>
          <w:tcPr>
            <w:tcW w:w="54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Less: Allowance for doubtful accounts</w:t>
            </w:r>
          </w:p>
        </w:tc>
        <w:tc>
          <w:tcPr>
            <w:tcW w:w="2380" w:type="dxa"/>
            <w:vAlign w:val="bottom"/>
            <w:tcBorders>
              <w:bottom w:val="single" w:sz="8" w:color="auto"/>
            </w:tcBorders>
            <w:shd w:val="clear" w:color="auto" w:fill="E5E5E5"/>
          </w:tcPr>
          <w:p>
            <w:pPr>
              <w:spacing w:after="0"/>
              <w:rPr>
                <w:sz w:val="18"/>
                <w:szCs w:val="18"/>
                <w:color w:val="auto"/>
              </w:rPr>
            </w:pPr>
          </w:p>
        </w:tc>
        <w:tc>
          <w:tcPr>
            <w:tcW w:w="1420" w:type="dxa"/>
            <w:vAlign w:val="bottom"/>
            <w:tcBorders>
              <w:bottom w:val="single" w:sz="8" w:color="auto"/>
            </w:tcBorders>
            <w:shd w:val="clear" w:color="auto" w:fill="E5E5E5"/>
          </w:tcPr>
          <w:p>
            <w:pPr>
              <w:jc w:val="right"/>
              <w:ind w:right="299"/>
              <w:spacing w:after="0"/>
              <w:rPr>
                <w:sz w:val="20"/>
                <w:szCs w:val="20"/>
                <w:color w:val="auto"/>
              </w:rPr>
            </w:pPr>
            <w:r>
              <w:rPr>
                <w:rFonts w:ascii="Arial" w:cs="Arial" w:eastAsia="Arial" w:hAnsi="Arial"/>
                <w:sz w:val="18"/>
                <w:szCs w:val="18"/>
                <w:color w:val="auto"/>
              </w:rPr>
              <w:t>203</w:t>
            </w:r>
          </w:p>
        </w:tc>
        <w:tc>
          <w:tcPr>
            <w:tcW w:w="540" w:type="dxa"/>
            <w:vAlign w:val="bottom"/>
            <w:tcBorders>
              <w:bottom w:val="single" w:sz="8" w:color="auto"/>
            </w:tcBorders>
            <w:shd w:val="clear" w:color="auto" w:fill="E5E5E5"/>
          </w:tcPr>
          <w:p>
            <w:pPr>
              <w:spacing w:after="0"/>
              <w:rPr>
                <w:sz w:val="18"/>
                <w:szCs w:val="18"/>
                <w:color w:val="auto"/>
              </w:rPr>
            </w:pPr>
          </w:p>
        </w:tc>
        <w:tc>
          <w:tcPr>
            <w:tcW w:w="1120" w:type="dxa"/>
            <w:vAlign w:val="bottom"/>
            <w:tcBorders>
              <w:bottom w:val="single" w:sz="8" w:color="auto"/>
            </w:tcBorders>
            <w:shd w:val="clear" w:color="auto" w:fill="E5E5E5"/>
          </w:tcPr>
          <w:p>
            <w:pPr>
              <w:jc w:val="right"/>
              <w:ind w:right="19"/>
              <w:spacing w:after="0"/>
              <w:rPr>
                <w:sz w:val="20"/>
                <w:szCs w:val="20"/>
                <w:color w:val="auto"/>
              </w:rPr>
            </w:pPr>
            <w:r>
              <w:rPr>
                <w:rFonts w:ascii="Arial" w:cs="Arial" w:eastAsia="Arial" w:hAnsi="Arial"/>
                <w:sz w:val="18"/>
                <w:szCs w:val="18"/>
                <w:color w:val="auto"/>
              </w:rPr>
              <w:t>173</w:t>
            </w:r>
          </w:p>
        </w:tc>
      </w:tr>
      <w:tr>
        <w:trPr>
          <w:trHeight w:val="217"/>
        </w:trPr>
        <w:tc>
          <w:tcPr>
            <w:tcW w:w="5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Receivables, net</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tcBorders>
          </w:tcPr>
          <w:p>
            <w:pPr>
              <w:jc w:val="right"/>
              <w:ind w:right="299"/>
              <w:spacing w:after="0"/>
              <w:rPr>
                <w:sz w:val="20"/>
                <w:szCs w:val="20"/>
                <w:color w:val="auto"/>
              </w:rPr>
            </w:pPr>
            <w:r>
              <w:rPr>
                <w:rFonts w:ascii="Arial" w:cs="Arial" w:eastAsia="Arial" w:hAnsi="Arial"/>
                <w:sz w:val="18"/>
                <w:szCs w:val="18"/>
                <w:b w:val="1"/>
                <w:bCs w:val="1"/>
                <w:color w:val="auto"/>
              </w:rPr>
              <w:t>4,096</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1,855</w:t>
            </w:r>
          </w:p>
        </w:tc>
      </w:tr>
    </w:tbl>
    <w:p>
      <w:pPr>
        <w:spacing w:after="0" w:line="1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Allowances for returns and customer incentives are primarily attributable to our Filmed Entertainment segment.</w:t>
      </w:r>
    </w:p>
    <w:p>
      <w:pPr>
        <w:spacing w:after="0" w:line="7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table below presents our unbilled receivables related to long-term licensing arrangements included in our condensed consolidated balance sheet as of September 30, 2011. Current and noncurrent unbilled receivables are recorded in receivables, net and other noncurrent assets, net, respectively.</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0" w:type="dxa"/>
            <w:vAlign w:val="bottom"/>
            <w:gridSpan w:val="2"/>
          </w:tcPr>
          <w:p>
            <w:pPr>
              <w:jc w:val="right"/>
              <w:ind w:right="95"/>
              <w:spacing w:after="0"/>
              <w:rPr>
                <w:sz w:val="20"/>
                <w:szCs w:val="20"/>
                <w:color w:val="auto"/>
              </w:rPr>
            </w:pPr>
            <w:r>
              <w:rPr>
                <w:rFonts w:ascii="Arial" w:cs="Arial" w:eastAsia="Arial" w:hAnsi="Arial"/>
                <w:sz w:val="14"/>
                <w:szCs w:val="14"/>
                <w:color w:val="auto"/>
              </w:rPr>
              <w:t>September 30,</w:t>
            </w:r>
          </w:p>
        </w:tc>
      </w:tr>
      <w:tr>
        <w:trPr>
          <w:trHeight w:val="159"/>
        </w:trPr>
        <w:tc>
          <w:tcPr>
            <w:tcW w:w="806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jc w:val="right"/>
              <w:ind w:right="335"/>
              <w:spacing w:after="0" w:line="159" w:lineRule="exact"/>
              <w:rPr>
                <w:sz w:val="20"/>
                <w:szCs w:val="20"/>
                <w:color w:val="auto"/>
              </w:rPr>
            </w:pPr>
            <w:r>
              <w:rPr>
                <w:rFonts w:ascii="Arial" w:cs="Arial" w:eastAsia="Arial" w:hAnsi="Arial"/>
                <w:sz w:val="14"/>
                <w:szCs w:val="14"/>
                <w:color w:val="auto"/>
                <w:w w:val="96"/>
              </w:rPr>
              <w:t>2011</w:t>
            </w:r>
          </w:p>
        </w:tc>
      </w:tr>
      <w:tr>
        <w:trPr>
          <w:trHeight w:val="210"/>
        </w:trPr>
        <w:tc>
          <w:tcPr>
            <w:tcW w:w="20" w:type="dxa"/>
            <w:vAlign w:val="bottom"/>
          </w:tcPr>
          <w:p>
            <w:pPr>
              <w:spacing w:after="0"/>
              <w:rPr>
                <w:sz w:val="18"/>
                <w:szCs w:val="18"/>
                <w:color w:val="auto"/>
              </w:rPr>
            </w:pPr>
          </w:p>
        </w:tc>
        <w:tc>
          <w:tcPr>
            <w:tcW w:w="80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Current</w:t>
            </w:r>
          </w:p>
        </w:tc>
        <w:tc>
          <w:tcPr>
            <w:tcW w:w="34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90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ind w:left="38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197</w:t>
            </w:r>
          </w:p>
        </w:tc>
      </w:tr>
      <w:tr>
        <w:trPr>
          <w:trHeight w:val="216"/>
        </w:trPr>
        <w:tc>
          <w:tcPr>
            <w:tcW w:w="20" w:type="dxa"/>
            <w:vAlign w:val="bottom"/>
          </w:tcPr>
          <w:p>
            <w:pPr>
              <w:spacing w:after="0"/>
              <w:rPr>
                <w:sz w:val="18"/>
                <w:szCs w:val="18"/>
                <w:color w:val="auto"/>
              </w:rPr>
            </w:pPr>
          </w:p>
        </w:tc>
        <w:tc>
          <w:tcPr>
            <w:tcW w:w="8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Noncurrent, net of imputed interest</w:t>
            </w: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648</w:t>
            </w:r>
          </w:p>
        </w:tc>
      </w:tr>
      <w:tr>
        <w:trPr>
          <w:trHeight w:val="217"/>
        </w:trPr>
        <w:tc>
          <w:tcPr>
            <w:tcW w:w="20" w:type="dxa"/>
            <w:vAlign w:val="bottom"/>
          </w:tcPr>
          <w:p>
            <w:pPr>
              <w:spacing w:after="0"/>
              <w:rPr>
                <w:sz w:val="18"/>
                <w:szCs w:val="18"/>
                <w:color w:val="auto"/>
              </w:rPr>
            </w:pPr>
          </w:p>
        </w:tc>
        <w:tc>
          <w:tcPr>
            <w:tcW w:w="80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ind w:left="38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845</w:t>
            </w:r>
          </w:p>
        </w:tc>
      </w:tr>
      <w:tr>
        <w:trPr>
          <w:trHeight w:val="403"/>
        </w:trPr>
        <w:tc>
          <w:tcPr>
            <w:tcW w:w="20" w:type="dxa"/>
            <w:vAlign w:val="bottom"/>
          </w:tcPr>
          <w:p>
            <w:pPr>
              <w:spacing w:after="0"/>
              <w:rPr>
                <w:sz w:val="24"/>
                <w:szCs w:val="24"/>
                <w:color w:val="auto"/>
              </w:rPr>
            </w:pPr>
          </w:p>
        </w:tc>
        <w:tc>
          <w:tcPr>
            <w:tcW w:w="8040" w:type="dxa"/>
            <w:vAlign w:val="bottom"/>
          </w:tcPr>
          <w:p>
            <w:pPr>
              <w:jc w:val="center"/>
              <w:ind w:left="3272"/>
              <w:spacing w:after="0"/>
              <w:rPr>
                <w:sz w:val="20"/>
                <w:szCs w:val="20"/>
                <w:color w:val="auto"/>
              </w:rPr>
            </w:pPr>
            <w:r>
              <w:rPr>
                <w:rFonts w:ascii="Arial" w:cs="Arial" w:eastAsia="Arial" w:hAnsi="Arial"/>
                <w:sz w:val="18"/>
                <w:szCs w:val="18"/>
                <w:b w:val="1"/>
                <w:bCs w:val="1"/>
                <w:color w:val="auto"/>
                <w:w w:val="97"/>
              </w:rPr>
              <w:t>Property and Equipment</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8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2"/>
          </w:tcPr>
          <w:p>
            <w:pPr>
              <w:ind w:left="640"/>
              <w:spacing w:after="0"/>
              <w:rPr>
                <w:sz w:val="20"/>
                <w:szCs w:val="20"/>
                <w:color w:val="auto"/>
              </w:rPr>
            </w:pPr>
            <w:r>
              <w:rPr>
                <w:rFonts w:ascii="Arial" w:cs="Arial" w:eastAsia="Arial" w:hAnsi="Arial"/>
                <w:sz w:val="14"/>
                <w:szCs w:val="14"/>
                <w:color w:val="auto"/>
              </w:rPr>
              <w:t>September 30,</w:t>
            </w:r>
          </w:p>
        </w:tc>
        <w:tc>
          <w:tcPr>
            <w:tcW w:w="1400" w:type="dxa"/>
            <w:vAlign w:val="bottom"/>
            <w:gridSpan w:val="2"/>
          </w:tcPr>
          <w:p>
            <w:pPr>
              <w:ind w:left="540"/>
              <w:spacing w:after="0"/>
              <w:rPr>
                <w:sz w:val="20"/>
                <w:szCs w:val="20"/>
                <w:color w:val="auto"/>
              </w:rPr>
            </w:pPr>
            <w:r>
              <w:rPr>
                <w:rFonts w:ascii="Arial" w:cs="Arial" w:eastAsia="Arial" w:hAnsi="Arial"/>
                <w:sz w:val="14"/>
                <w:szCs w:val="14"/>
                <w:color w:val="auto"/>
                <w:w w:val="95"/>
              </w:rPr>
              <w:t>December 31,</w:t>
            </w:r>
          </w:p>
        </w:tc>
      </w:tr>
      <w:tr>
        <w:trPr>
          <w:trHeight w:val="159"/>
        </w:trPr>
        <w:tc>
          <w:tcPr>
            <w:tcW w:w="806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jc w:val="right"/>
              <w:ind w:right="374"/>
              <w:spacing w:after="0" w:line="159" w:lineRule="exact"/>
              <w:rPr>
                <w:sz w:val="20"/>
                <w:szCs w:val="20"/>
                <w:color w:val="auto"/>
              </w:rPr>
            </w:pPr>
            <w:r>
              <w:rPr>
                <w:rFonts w:ascii="Arial" w:cs="Arial" w:eastAsia="Arial" w:hAnsi="Arial"/>
                <w:sz w:val="14"/>
                <w:szCs w:val="14"/>
                <w:color w:val="auto"/>
              </w:rPr>
              <w:t>2011</w:t>
            </w:r>
          </w:p>
        </w:tc>
        <w:tc>
          <w:tcPr>
            <w:tcW w:w="660" w:type="dxa"/>
            <w:vAlign w:val="bottom"/>
          </w:tcPr>
          <w:p>
            <w:pPr>
              <w:spacing w:after="0"/>
              <w:rPr>
                <w:sz w:val="13"/>
                <w:szCs w:val="13"/>
                <w:color w:val="auto"/>
              </w:rPr>
            </w:pPr>
          </w:p>
        </w:tc>
        <w:tc>
          <w:tcPr>
            <w:tcW w:w="740" w:type="dxa"/>
            <w:vAlign w:val="bottom"/>
          </w:tcPr>
          <w:p>
            <w:pPr>
              <w:jc w:val="right"/>
              <w:ind w:right="255"/>
              <w:spacing w:after="0" w:line="159" w:lineRule="exact"/>
              <w:rPr>
                <w:sz w:val="20"/>
                <w:szCs w:val="20"/>
                <w:color w:val="auto"/>
              </w:rPr>
            </w:pPr>
            <w:r>
              <w:rPr>
                <w:rFonts w:ascii="Arial" w:cs="Arial" w:eastAsia="Arial" w:hAnsi="Arial"/>
                <w:sz w:val="14"/>
                <w:szCs w:val="14"/>
                <w:color w:val="auto"/>
              </w:rPr>
              <w:t>2010</w:t>
            </w:r>
          </w:p>
        </w:tc>
      </w:tr>
      <w:tr>
        <w:trPr>
          <w:trHeight w:val="210"/>
        </w:trPr>
        <w:tc>
          <w:tcPr>
            <w:tcW w:w="20" w:type="dxa"/>
            <w:vAlign w:val="bottom"/>
          </w:tcPr>
          <w:p>
            <w:pPr>
              <w:spacing w:after="0"/>
              <w:rPr>
                <w:sz w:val="18"/>
                <w:szCs w:val="18"/>
                <w:color w:val="auto"/>
              </w:rPr>
            </w:pPr>
          </w:p>
        </w:tc>
        <w:tc>
          <w:tcPr>
            <w:tcW w:w="80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Property and equipment, at cost</w:t>
            </w:r>
          </w:p>
        </w:tc>
        <w:tc>
          <w:tcPr>
            <w:tcW w:w="34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ind w:left="62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rPr>
              <w:t>57,953</w:t>
            </w:r>
          </w:p>
        </w:tc>
        <w:tc>
          <w:tcPr>
            <w:tcW w:w="660" w:type="dxa"/>
            <w:vAlign w:val="bottom"/>
            <w:tcBorders>
              <w:top w:val="single" w:sz="8" w:color="auto"/>
            </w:tcBorders>
            <w:shd w:val="clear" w:color="auto" w:fill="E5E5E5"/>
          </w:tcPr>
          <w:p>
            <w:pPr>
              <w:ind w:left="54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56,020</w:t>
            </w: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Acquired NBCUniversal property and equipment</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2,524</w:t>
            </w:r>
          </w:p>
        </w:tc>
        <w:tc>
          <w:tcPr>
            <w:tcW w:w="660" w:type="dxa"/>
            <w:vAlign w:val="bottom"/>
          </w:tcPr>
          <w:p>
            <w:pPr>
              <w:spacing w:after="0"/>
              <w:rPr>
                <w:sz w:val="18"/>
                <w:szCs w:val="18"/>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0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Acquired UCDP property and equipment</w:t>
            </w:r>
          </w:p>
        </w:tc>
        <w:tc>
          <w:tcPr>
            <w:tcW w:w="3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rPr>
              <w:t>2,479</w:t>
            </w:r>
          </w:p>
        </w:tc>
        <w:tc>
          <w:tcPr>
            <w:tcW w:w="6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Property and equipment, at cost</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62,956</w:t>
            </w:r>
          </w:p>
        </w:tc>
        <w:tc>
          <w:tcPr>
            <w:tcW w:w="660" w:type="dxa"/>
            <w:vAlign w:val="bottom"/>
          </w:tcPr>
          <w:p>
            <w:pPr>
              <w:spacing w:after="0"/>
              <w:rPr>
                <w:sz w:val="18"/>
                <w:szCs w:val="18"/>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56,020</w:t>
            </w:r>
          </w:p>
        </w:tc>
      </w:tr>
      <w:tr>
        <w:trPr>
          <w:trHeight w:val="216"/>
        </w:trPr>
        <w:tc>
          <w:tcPr>
            <w:tcW w:w="20" w:type="dxa"/>
            <w:vAlign w:val="bottom"/>
          </w:tcPr>
          <w:p>
            <w:pPr>
              <w:spacing w:after="0"/>
              <w:rPr>
                <w:sz w:val="18"/>
                <w:szCs w:val="18"/>
                <w:color w:val="auto"/>
              </w:rPr>
            </w:pPr>
          </w:p>
        </w:tc>
        <w:tc>
          <w:tcPr>
            <w:tcW w:w="80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Less: Accumulated depreciation</w:t>
            </w:r>
          </w:p>
        </w:tc>
        <w:tc>
          <w:tcPr>
            <w:tcW w:w="3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rPr>
              <w:t>35,515</w:t>
            </w:r>
          </w:p>
        </w:tc>
        <w:tc>
          <w:tcPr>
            <w:tcW w:w="6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32,505</w:t>
            </w:r>
          </w:p>
        </w:tc>
      </w:tr>
      <w:tr>
        <w:trPr>
          <w:trHeight w:val="217"/>
        </w:trPr>
        <w:tc>
          <w:tcPr>
            <w:tcW w:w="20" w:type="dxa"/>
            <w:vAlign w:val="bottom"/>
          </w:tcPr>
          <w:p>
            <w:pPr>
              <w:spacing w:after="0"/>
              <w:rPr>
                <w:sz w:val="18"/>
                <w:szCs w:val="18"/>
                <w:color w:val="auto"/>
              </w:rPr>
            </w:pPr>
          </w:p>
        </w:tc>
        <w:tc>
          <w:tcPr>
            <w:tcW w:w="8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Property and equipment, net</w:t>
            </w: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b w:val="1"/>
                <w:bCs w:val="1"/>
                <w:color w:val="auto"/>
              </w:rPr>
              <w:t>27,441</w:t>
            </w:r>
          </w:p>
        </w:tc>
        <w:tc>
          <w:tcPr>
            <w:tcW w:w="66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23,515</w:t>
            </w:r>
          </w:p>
        </w:tc>
      </w:tr>
      <w:tr>
        <w:trPr>
          <w:trHeight w:val="403"/>
        </w:trPr>
        <w:tc>
          <w:tcPr>
            <w:tcW w:w="20" w:type="dxa"/>
            <w:vAlign w:val="bottom"/>
          </w:tcPr>
          <w:p>
            <w:pPr>
              <w:spacing w:after="0"/>
              <w:rPr>
                <w:sz w:val="24"/>
                <w:szCs w:val="24"/>
                <w:color w:val="auto"/>
              </w:rPr>
            </w:pPr>
          </w:p>
        </w:tc>
        <w:tc>
          <w:tcPr>
            <w:tcW w:w="8040" w:type="dxa"/>
            <w:vAlign w:val="bottom"/>
          </w:tcPr>
          <w:p>
            <w:pPr>
              <w:jc w:val="center"/>
              <w:ind w:left="3252"/>
              <w:spacing w:after="0"/>
              <w:rPr>
                <w:sz w:val="20"/>
                <w:szCs w:val="20"/>
                <w:color w:val="auto"/>
              </w:rPr>
            </w:pPr>
            <w:r>
              <w:rPr>
                <w:rFonts w:ascii="Arial" w:cs="Arial" w:eastAsia="Arial" w:hAnsi="Arial"/>
                <w:sz w:val="18"/>
                <w:szCs w:val="18"/>
                <w:b w:val="1"/>
                <w:bCs w:val="1"/>
                <w:color w:val="auto"/>
                <w:w w:val="97"/>
              </w:rPr>
              <w:t>Accumulated Other Comprehensive Income (Loss)</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48"/>
        </w:trPr>
        <w:tc>
          <w:tcPr>
            <w:tcW w:w="20" w:type="dxa"/>
            <w:vAlign w:val="bottom"/>
          </w:tcPr>
          <w:p>
            <w:pPr>
              <w:spacing w:after="0"/>
              <w:rPr>
                <w:sz w:val="21"/>
                <w:szCs w:val="21"/>
                <w:color w:val="auto"/>
              </w:rPr>
            </w:pPr>
          </w:p>
        </w:tc>
        <w:tc>
          <w:tcPr>
            <w:tcW w:w="8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20" w:type="dxa"/>
            <w:vAlign w:val="bottom"/>
            <w:gridSpan w:val="2"/>
          </w:tcPr>
          <w:p>
            <w:pPr>
              <w:jc w:val="center"/>
              <w:ind w:right="674"/>
              <w:spacing w:after="0"/>
              <w:rPr>
                <w:sz w:val="20"/>
                <w:szCs w:val="20"/>
                <w:color w:val="auto"/>
              </w:rPr>
            </w:pPr>
            <w:r>
              <w:rPr>
                <w:rFonts w:ascii="Arial" w:cs="Arial" w:eastAsia="Arial" w:hAnsi="Arial"/>
                <w:sz w:val="14"/>
                <w:szCs w:val="14"/>
                <w:color w:val="auto"/>
                <w:w w:val="84"/>
              </w:rPr>
              <w:t>September 30,</w:t>
            </w:r>
          </w:p>
        </w:tc>
        <w:tc>
          <w:tcPr>
            <w:tcW w:w="1400" w:type="dxa"/>
            <w:vAlign w:val="bottom"/>
            <w:gridSpan w:val="2"/>
          </w:tcPr>
          <w:p>
            <w:pPr>
              <w:ind w:left="360"/>
              <w:spacing w:after="0"/>
              <w:rPr>
                <w:sz w:val="20"/>
                <w:szCs w:val="20"/>
                <w:color w:val="auto"/>
              </w:rPr>
            </w:pPr>
            <w:r>
              <w:rPr>
                <w:rFonts w:ascii="Arial" w:cs="Arial" w:eastAsia="Arial" w:hAnsi="Arial"/>
                <w:sz w:val="14"/>
                <w:szCs w:val="14"/>
                <w:color w:val="auto"/>
              </w:rPr>
              <w:t>September 30,</w:t>
            </w:r>
          </w:p>
        </w:tc>
      </w:tr>
      <w:tr>
        <w:trPr>
          <w:trHeight w:val="159"/>
        </w:trPr>
        <w:tc>
          <w:tcPr>
            <w:tcW w:w="806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13"/>
                <w:szCs w:val="13"/>
                <w:color w:val="auto"/>
              </w:rPr>
            </w:pPr>
          </w:p>
        </w:tc>
        <w:tc>
          <w:tcPr>
            <w:tcW w:w="720" w:type="dxa"/>
            <w:vAlign w:val="bottom"/>
          </w:tcPr>
          <w:p>
            <w:pPr>
              <w:jc w:val="right"/>
              <w:ind w:right="81"/>
              <w:spacing w:after="0" w:line="159" w:lineRule="exact"/>
              <w:rPr>
                <w:sz w:val="20"/>
                <w:szCs w:val="20"/>
                <w:color w:val="auto"/>
              </w:rPr>
            </w:pPr>
            <w:r>
              <w:rPr>
                <w:rFonts w:ascii="Arial" w:cs="Arial" w:eastAsia="Arial" w:hAnsi="Arial"/>
                <w:sz w:val="14"/>
                <w:szCs w:val="14"/>
                <w:color w:val="auto"/>
              </w:rPr>
              <w:t>2011</w:t>
            </w:r>
          </w:p>
        </w:tc>
        <w:tc>
          <w:tcPr>
            <w:tcW w:w="900" w:type="dxa"/>
            <w:vAlign w:val="bottom"/>
          </w:tcPr>
          <w:p>
            <w:pPr>
              <w:spacing w:after="0"/>
              <w:rPr>
                <w:sz w:val="13"/>
                <w:szCs w:val="13"/>
                <w:color w:val="auto"/>
              </w:rPr>
            </w:pPr>
          </w:p>
        </w:tc>
        <w:tc>
          <w:tcPr>
            <w:tcW w:w="1400" w:type="dxa"/>
            <w:vAlign w:val="bottom"/>
            <w:gridSpan w:val="2"/>
          </w:tcPr>
          <w:p>
            <w:pPr>
              <w:jc w:val="right"/>
              <w:ind w:right="435"/>
              <w:spacing w:after="0" w:line="159" w:lineRule="exact"/>
              <w:rPr>
                <w:sz w:val="20"/>
                <w:szCs w:val="20"/>
                <w:color w:val="auto"/>
              </w:rPr>
            </w:pPr>
            <w:r>
              <w:rPr>
                <w:rFonts w:ascii="Arial" w:cs="Arial" w:eastAsia="Arial" w:hAnsi="Arial"/>
                <w:sz w:val="14"/>
                <w:szCs w:val="14"/>
                <w:color w:val="auto"/>
              </w:rPr>
              <w:t>2010</w:t>
            </w:r>
          </w:p>
        </w:tc>
      </w:tr>
      <w:tr>
        <w:trPr>
          <w:trHeight w:val="210"/>
        </w:trPr>
        <w:tc>
          <w:tcPr>
            <w:tcW w:w="20" w:type="dxa"/>
            <w:vAlign w:val="bottom"/>
          </w:tcPr>
          <w:p>
            <w:pPr>
              <w:spacing w:after="0"/>
              <w:rPr>
                <w:sz w:val="18"/>
                <w:szCs w:val="18"/>
                <w:color w:val="auto"/>
              </w:rPr>
            </w:pPr>
          </w:p>
        </w:tc>
        <w:tc>
          <w:tcPr>
            <w:tcW w:w="80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Unrealized gains (losses) on marketable securities</w:t>
            </w:r>
          </w:p>
        </w:tc>
        <w:tc>
          <w:tcPr>
            <w:tcW w:w="3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spacing w:after="0"/>
              <w:rPr>
                <w:sz w:val="18"/>
                <w:szCs w:val="18"/>
                <w:color w:val="auto"/>
              </w:rPr>
            </w:pPr>
          </w:p>
        </w:tc>
        <w:tc>
          <w:tcPr>
            <w:tcW w:w="900" w:type="dxa"/>
            <w:vAlign w:val="bottom"/>
            <w:tcBorders>
              <w:top w:val="single" w:sz="8" w:color="auto"/>
            </w:tcBorders>
            <w:shd w:val="clear" w:color="auto" w:fill="E5E5E5"/>
          </w:tcPr>
          <w:p>
            <w:pPr>
              <w:jc w:val="right"/>
              <w:ind w:right="574"/>
              <w:spacing w:after="0"/>
              <w:rPr>
                <w:sz w:val="20"/>
                <w:szCs w:val="20"/>
                <w:color w:val="auto"/>
              </w:rPr>
            </w:pPr>
            <w:r>
              <w:rPr>
                <w:rFonts w:ascii="Arial" w:cs="Arial" w:eastAsia="Arial" w:hAnsi="Arial"/>
                <w:sz w:val="18"/>
                <w:szCs w:val="18"/>
                <w:color w:val="auto"/>
              </w:rPr>
              <w:t>22</w:t>
            </w:r>
          </w:p>
        </w:tc>
        <w:tc>
          <w:tcPr>
            <w:tcW w:w="660" w:type="dxa"/>
            <w:vAlign w:val="bottom"/>
            <w:tcBorders>
              <w:top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22</w:t>
            </w: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Deferred gains (losses) on cash flow hedges</w:t>
            </w:r>
          </w:p>
        </w:tc>
        <w:tc>
          <w:tcPr>
            <w:tcW w:w="340" w:type="dxa"/>
            <w:vAlign w:val="bottom"/>
          </w:tcPr>
          <w:p>
            <w:pPr>
              <w:spacing w:after="0"/>
              <w:rPr>
                <w:sz w:val="18"/>
                <w:szCs w:val="18"/>
                <w:color w:val="auto"/>
              </w:rPr>
            </w:pPr>
          </w:p>
        </w:tc>
        <w:tc>
          <w:tcPr>
            <w:tcW w:w="1620" w:type="dxa"/>
            <w:vAlign w:val="bottom"/>
            <w:gridSpan w:val="2"/>
          </w:tcPr>
          <w:p>
            <w:pPr>
              <w:jc w:val="right"/>
              <w:ind w:right="514"/>
              <w:spacing w:after="0"/>
              <w:rPr>
                <w:sz w:val="20"/>
                <w:szCs w:val="20"/>
                <w:color w:val="auto"/>
              </w:rPr>
            </w:pPr>
            <w:r>
              <w:rPr>
                <w:rFonts w:ascii="Arial" w:cs="Arial" w:eastAsia="Arial" w:hAnsi="Arial"/>
                <w:sz w:val="18"/>
                <w:szCs w:val="18"/>
                <w:color w:val="auto"/>
              </w:rPr>
              <w:t>(149)</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20" w:type="dxa"/>
            <w:vAlign w:val="bottom"/>
          </w:tcPr>
          <w:p>
            <w:pPr>
              <w:spacing w:after="0"/>
              <w:rPr>
                <w:sz w:val="18"/>
                <w:szCs w:val="18"/>
                <w:color w:val="auto"/>
              </w:rPr>
            </w:pPr>
          </w:p>
        </w:tc>
        <w:tc>
          <w:tcPr>
            <w:tcW w:w="8040" w:type="dxa"/>
            <w:vAlign w:val="bottom"/>
            <w:shd w:val="clear" w:color="auto" w:fill="E5E5E5"/>
          </w:tcPr>
          <w:p>
            <w:pPr>
              <w:spacing w:after="0"/>
              <w:rPr>
                <w:sz w:val="20"/>
                <w:szCs w:val="20"/>
                <w:color w:val="auto"/>
              </w:rPr>
            </w:pPr>
            <w:r>
              <w:rPr>
                <w:rFonts w:ascii="Arial" w:cs="Arial" w:eastAsia="Arial" w:hAnsi="Arial"/>
                <w:sz w:val="18"/>
                <w:szCs w:val="18"/>
                <w:color w:val="auto"/>
              </w:rPr>
              <w:t>Unrecognized gains (losses) on employee benefit obligations</w:t>
            </w:r>
          </w:p>
        </w:tc>
        <w:tc>
          <w:tcPr>
            <w:tcW w:w="3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514"/>
              <w:spacing w:after="0"/>
              <w:rPr>
                <w:sz w:val="20"/>
                <w:szCs w:val="20"/>
                <w:color w:val="auto"/>
              </w:rPr>
            </w:pPr>
            <w:r>
              <w:rPr>
                <w:rFonts w:ascii="Arial" w:cs="Arial" w:eastAsia="Arial" w:hAnsi="Arial"/>
                <w:sz w:val="18"/>
                <w:szCs w:val="18"/>
                <w:color w:val="auto"/>
                <w:w w:val="87"/>
              </w:rPr>
              <w:t>(23)</w:t>
            </w:r>
          </w:p>
        </w:tc>
        <w:tc>
          <w:tcPr>
            <w:tcW w:w="66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Currency translation adjustments</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jc w:val="right"/>
              <w:ind w:right="514"/>
              <w:spacing w:after="0"/>
              <w:rPr>
                <w:sz w:val="20"/>
                <w:szCs w:val="20"/>
                <w:color w:val="auto"/>
              </w:rPr>
            </w:pPr>
            <w:r>
              <w:rPr>
                <w:rFonts w:ascii="Arial" w:cs="Arial" w:eastAsia="Arial" w:hAnsi="Arial"/>
                <w:sz w:val="18"/>
                <w:szCs w:val="18"/>
                <w:color w:val="auto"/>
              </w:rPr>
              <w:t>(3)</w:t>
            </w:r>
          </w:p>
        </w:tc>
        <w:tc>
          <w:tcPr>
            <w:tcW w:w="660" w:type="dxa"/>
            <w:vAlign w:val="bottom"/>
          </w:tcPr>
          <w:p>
            <w:pPr>
              <w:spacing w:after="0"/>
              <w:rPr>
                <w:sz w:val="18"/>
                <w:szCs w:val="18"/>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0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Accumulated other comprehensive (income) loss attributable to noncontrolling interests</w:t>
            </w:r>
          </w:p>
        </w:tc>
        <w:tc>
          <w:tcPr>
            <w:tcW w:w="3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574"/>
              <w:spacing w:after="0"/>
              <w:rPr>
                <w:sz w:val="20"/>
                <w:szCs w:val="20"/>
                <w:color w:val="auto"/>
              </w:rPr>
            </w:pPr>
            <w:r>
              <w:rPr>
                <w:rFonts w:ascii="Arial" w:cs="Arial" w:eastAsia="Arial" w:hAnsi="Arial"/>
                <w:sz w:val="18"/>
                <w:szCs w:val="18"/>
                <w:color w:val="auto"/>
              </w:rPr>
              <w:t>6</w:t>
            </w:r>
          </w:p>
        </w:tc>
        <w:tc>
          <w:tcPr>
            <w:tcW w:w="6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w:t>
            </w:r>
          </w:p>
        </w:tc>
      </w:tr>
      <w:tr>
        <w:trPr>
          <w:trHeight w:val="217"/>
        </w:trPr>
        <w:tc>
          <w:tcPr>
            <w:tcW w:w="20" w:type="dxa"/>
            <w:vAlign w:val="bottom"/>
          </w:tcPr>
          <w:p>
            <w:pPr>
              <w:spacing w:after="0"/>
              <w:rPr>
                <w:sz w:val="18"/>
                <w:szCs w:val="18"/>
                <w:color w:val="auto"/>
              </w:rPr>
            </w:pPr>
          </w:p>
        </w:tc>
        <w:tc>
          <w:tcPr>
            <w:tcW w:w="8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Accumulated other comprehensive income (loss), net of deferred taxes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auto"/>
            </w:tcBorders>
            <w:gridSpan w:val="2"/>
          </w:tcPr>
          <w:p>
            <w:pPr>
              <w:jc w:val="right"/>
              <w:ind w:right="514"/>
              <w:spacing w:after="0"/>
              <w:rPr>
                <w:sz w:val="20"/>
                <w:szCs w:val="20"/>
                <w:color w:val="auto"/>
              </w:rPr>
            </w:pPr>
            <w:r>
              <w:rPr>
                <w:rFonts w:ascii="Arial" w:cs="Arial" w:eastAsia="Arial" w:hAnsi="Arial"/>
                <w:sz w:val="18"/>
                <w:szCs w:val="18"/>
                <w:b w:val="1"/>
                <w:bCs w:val="1"/>
                <w:color w:val="auto"/>
              </w:rPr>
              <w:t>(147)</w:t>
            </w:r>
          </w:p>
        </w:tc>
        <w:tc>
          <w:tcPr>
            <w:tcW w:w="6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w:t>
            </w:r>
          </w:p>
        </w:tc>
      </w:tr>
      <w:tr>
        <w:trPr>
          <w:trHeight w:val="363"/>
        </w:trPr>
        <w:tc>
          <w:tcPr>
            <w:tcW w:w="8060" w:type="dxa"/>
            <w:vAlign w:val="bottom"/>
            <w:gridSpan w:val="2"/>
          </w:tcPr>
          <w:p>
            <w:pPr>
              <w:jc w:val="center"/>
              <w:ind w:left="3307"/>
              <w:spacing w:after="0"/>
              <w:rPr>
                <w:sz w:val="20"/>
                <w:szCs w:val="20"/>
                <w:color w:val="auto"/>
              </w:rPr>
            </w:pPr>
            <w:r>
              <w:rPr>
                <w:rFonts w:ascii="Arial" w:cs="Arial" w:eastAsia="Arial" w:hAnsi="Arial"/>
                <w:sz w:val="18"/>
                <w:szCs w:val="18"/>
                <w:color w:val="auto"/>
                <w:w w:val="99"/>
              </w:rPr>
              <w:t>23</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Costs and Expenses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3"/>
          </w:tcPr>
          <w:p>
            <w:pPr>
              <w:jc w:val="right"/>
              <w:ind w:right="216"/>
              <w:spacing w:after="0"/>
              <w:rPr>
                <w:sz w:val="20"/>
                <w:szCs w:val="20"/>
                <w:color w:val="auto"/>
              </w:rPr>
            </w:pPr>
            <w:r>
              <w:rPr>
                <w:rFonts w:ascii="Arial" w:cs="Arial" w:eastAsia="Arial" w:hAnsi="Arial"/>
                <w:sz w:val="14"/>
                <w:szCs w:val="14"/>
                <w:color w:val="auto"/>
              </w:rPr>
              <w:t>Three Months Ended</w:t>
            </w:r>
          </w:p>
        </w:tc>
        <w:tc>
          <w:tcPr>
            <w:tcW w:w="1980" w:type="dxa"/>
            <w:vAlign w:val="bottom"/>
            <w:gridSpan w:val="2"/>
          </w:tcPr>
          <w:p>
            <w:pPr>
              <w:jc w:val="center"/>
              <w:ind w:left="138"/>
              <w:spacing w:after="0"/>
              <w:rPr>
                <w:sz w:val="20"/>
                <w:szCs w:val="20"/>
                <w:color w:val="auto"/>
              </w:rPr>
            </w:pPr>
            <w:r>
              <w:rPr>
                <w:rFonts w:ascii="Arial" w:cs="Arial" w:eastAsia="Arial" w:hAnsi="Arial"/>
                <w:sz w:val="14"/>
                <w:szCs w:val="14"/>
                <w:color w:val="auto"/>
                <w:w w:val="87"/>
              </w:rPr>
              <w:t>Nine Months Ended</w:t>
            </w:r>
          </w:p>
        </w:tc>
        <w:tc>
          <w:tcPr>
            <w:tcW w:w="0" w:type="dxa"/>
            <w:vAlign w:val="bottom"/>
          </w:tcPr>
          <w:p>
            <w:pPr>
              <w:spacing w:after="0"/>
              <w:rPr>
                <w:sz w:val="1"/>
                <w:szCs w:val="1"/>
                <w:color w:val="auto"/>
              </w:rPr>
            </w:pPr>
          </w:p>
        </w:tc>
      </w:tr>
      <w:tr>
        <w:trPr>
          <w:trHeight w:val="159"/>
        </w:trPr>
        <w:tc>
          <w:tcPr>
            <w:tcW w:w="75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jc w:val="right"/>
              <w:ind w:right="396"/>
              <w:spacing w:after="0" w:line="159" w:lineRule="exact"/>
              <w:rPr>
                <w:sz w:val="20"/>
                <w:szCs w:val="20"/>
                <w:color w:val="auto"/>
              </w:rPr>
            </w:pPr>
            <w:r>
              <w:rPr>
                <w:rFonts w:ascii="Arial" w:cs="Arial" w:eastAsia="Arial" w:hAnsi="Arial"/>
                <w:sz w:val="14"/>
                <w:szCs w:val="14"/>
                <w:color w:val="auto"/>
              </w:rPr>
              <w:t>September 30</w:t>
            </w:r>
          </w:p>
        </w:tc>
        <w:tc>
          <w:tcPr>
            <w:tcW w:w="1980" w:type="dxa"/>
            <w:vAlign w:val="bottom"/>
            <w:tcBorders>
              <w:bottom w:val="single" w:sz="8" w:color="auto"/>
            </w:tcBorders>
            <w:gridSpan w:val="2"/>
          </w:tcPr>
          <w:p>
            <w:pPr>
              <w:jc w:val="center"/>
              <w:ind w:left="118"/>
              <w:spacing w:after="0" w:line="159" w:lineRule="exact"/>
              <w:rPr>
                <w:sz w:val="20"/>
                <w:szCs w:val="20"/>
                <w:color w:val="auto"/>
              </w:rPr>
            </w:pPr>
            <w:r>
              <w:rPr>
                <w:rFonts w:ascii="Arial" w:cs="Arial" w:eastAsia="Arial" w:hAnsi="Arial"/>
                <w:sz w:val="14"/>
                <w:szCs w:val="14"/>
                <w:color w:val="auto"/>
                <w:w w:val="84"/>
              </w:rPr>
              <w:t>September 30</w:t>
            </w:r>
          </w:p>
        </w:tc>
        <w:tc>
          <w:tcPr>
            <w:tcW w:w="0" w:type="dxa"/>
            <w:vAlign w:val="bottom"/>
          </w:tcPr>
          <w:p>
            <w:pPr>
              <w:spacing w:after="0"/>
              <w:rPr>
                <w:sz w:val="1"/>
                <w:szCs w:val="1"/>
                <w:color w:val="auto"/>
              </w:rPr>
            </w:pPr>
          </w:p>
        </w:tc>
      </w:tr>
      <w:tr>
        <w:trPr>
          <w:trHeight w:val="142"/>
        </w:trPr>
        <w:tc>
          <w:tcPr>
            <w:tcW w:w="7500" w:type="dxa"/>
            <w:vAlign w:val="bottom"/>
            <w:tcBorders>
              <w:bottom w:val="single" w:sz="8" w:color="auto"/>
            </w:tcBorders>
            <w:gridSpan w:val="2"/>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01"/>
              <w:spacing w:after="0" w:line="142" w:lineRule="exact"/>
              <w:rPr>
                <w:sz w:val="20"/>
                <w:szCs w:val="20"/>
                <w:color w:val="auto"/>
              </w:rPr>
            </w:pPr>
            <w:r>
              <w:rPr>
                <w:rFonts w:ascii="Arial" w:cs="Arial" w:eastAsia="Arial" w:hAnsi="Arial"/>
                <w:sz w:val="14"/>
                <w:szCs w:val="14"/>
                <w:color w:val="auto"/>
              </w:rPr>
              <w:t>2011</w:t>
            </w: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color w:val="auto"/>
              </w:rPr>
              <w:t>2010</w:t>
            </w:r>
          </w:p>
        </w:tc>
        <w:tc>
          <w:tcPr>
            <w:tcW w:w="1140" w:type="dxa"/>
            <w:vAlign w:val="bottom"/>
            <w:tcBorders>
              <w:bottom w:val="single" w:sz="8" w:color="auto"/>
            </w:tcBorders>
          </w:tcPr>
          <w:p>
            <w:pPr>
              <w:jc w:val="right"/>
              <w:ind w:right="338"/>
              <w:spacing w:after="0" w:line="142" w:lineRule="exact"/>
              <w:rPr>
                <w:sz w:val="20"/>
                <w:szCs w:val="20"/>
                <w:color w:val="auto"/>
              </w:rPr>
            </w:pPr>
            <w:r>
              <w:rPr>
                <w:rFonts w:ascii="Arial" w:cs="Arial" w:eastAsia="Arial" w:hAnsi="Arial"/>
                <w:sz w:val="14"/>
                <w:szCs w:val="14"/>
                <w:color w:val="auto"/>
              </w:rPr>
              <w:t>2011</w:t>
            </w:r>
          </w:p>
        </w:tc>
        <w:tc>
          <w:tcPr>
            <w:tcW w:w="8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210"/>
        </w:trPr>
        <w:tc>
          <w:tcPr>
            <w:tcW w:w="750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Programming and production</w:t>
            </w:r>
          </w:p>
        </w:tc>
        <w:tc>
          <w:tcPr>
            <w:tcW w:w="2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81"/>
              <w:spacing w:after="0"/>
              <w:rPr>
                <w:sz w:val="20"/>
                <w:szCs w:val="20"/>
                <w:color w:val="auto"/>
              </w:rPr>
            </w:pPr>
            <w:r>
              <w:rPr>
                <w:rFonts w:ascii="Arial" w:cs="Arial" w:eastAsia="Arial" w:hAnsi="Arial"/>
                <w:sz w:val="18"/>
                <w:szCs w:val="18"/>
                <w:color w:val="auto"/>
                <w:w w:val="99"/>
              </w:rPr>
              <w:t>$ 4,344</w:t>
            </w:r>
          </w:p>
        </w:tc>
        <w:tc>
          <w:tcPr>
            <w:tcW w:w="2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36"/>
              <w:spacing w:after="0"/>
              <w:rPr>
                <w:sz w:val="20"/>
                <w:szCs w:val="20"/>
                <w:color w:val="auto"/>
              </w:rPr>
            </w:pPr>
            <w:r>
              <w:rPr>
                <w:rFonts w:ascii="Arial" w:cs="Arial" w:eastAsia="Arial" w:hAnsi="Arial"/>
                <w:sz w:val="18"/>
                <w:szCs w:val="18"/>
                <w:color w:val="auto"/>
                <w:w w:val="86"/>
              </w:rPr>
              <w:t>$ 2,002</w:t>
            </w:r>
          </w:p>
        </w:tc>
        <w:tc>
          <w:tcPr>
            <w:tcW w:w="1140" w:type="dxa"/>
            <w:vAlign w:val="bottom"/>
            <w:shd w:val="clear" w:color="auto" w:fill="E5E5E5"/>
          </w:tcPr>
          <w:p>
            <w:pPr>
              <w:jc w:val="right"/>
              <w:ind w:right="178"/>
              <w:spacing w:after="0"/>
              <w:rPr>
                <w:sz w:val="20"/>
                <w:szCs w:val="20"/>
                <w:color w:val="auto"/>
              </w:rPr>
            </w:pPr>
            <w:r>
              <w:rPr>
                <w:rFonts w:ascii="Arial" w:cs="Arial" w:eastAsia="Arial" w:hAnsi="Arial"/>
                <w:sz w:val="18"/>
                <w:szCs w:val="18"/>
                <w:color w:val="auto"/>
              </w:rPr>
              <w:t>$11,946</w:t>
            </w:r>
          </w:p>
        </w:tc>
        <w:tc>
          <w:tcPr>
            <w:tcW w:w="8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$ 6,369</w:t>
            </w:r>
          </w:p>
        </w:tc>
        <w:tc>
          <w:tcPr>
            <w:tcW w:w="0" w:type="dxa"/>
            <w:vAlign w:val="bottom"/>
          </w:tcPr>
          <w:p>
            <w:pPr>
              <w:spacing w:after="0"/>
              <w:rPr>
                <w:sz w:val="1"/>
                <w:szCs w:val="1"/>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Cable Communications technical labor</w:t>
            </w:r>
          </w:p>
        </w:tc>
        <w:tc>
          <w:tcPr>
            <w:tcW w:w="240" w:type="dxa"/>
            <w:vAlign w:val="bottom"/>
          </w:tcPr>
          <w:p>
            <w:pPr>
              <w:spacing w:after="0"/>
              <w:rPr>
                <w:sz w:val="18"/>
                <w:szCs w:val="18"/>
                <w:color w:val="auto"/>
              </w:rPr>
            </w:pPr>
          </w:p>
        </w:tc>
        <w:tc>
          <w:tcPr>
            <w:tcW w:w="780" w:type="dxa"/>
            <w:vAlign w:val="bottom"/>
          </w:tcPr>
          <w:p>
            <w:pPr>
              <w:jc w:val="right"/>
              <w:ind w:right="81"/>
              <w:spacing w:after="0"/>
              <w:rPr>
                <w:sz w:val="20"/>
                <w:szCs w:val="20"/>
                <w:color w:val="auto"/>
              </w:rPr>
            </w:pPr>
            <w:r>
              <w:rPr>
                <w:rFonts w:ascii="Arial" w:cs="Arial" w:eastAsia="Arial" w:hAnsi="Arial"/>
                <w:sz w:val="18"/>
                <w:szCs w:val="18"/>
                <w:color w:val="auto"/>
              </w:rPr>
              <w:t>587</w:t>
            </w:r>
          </w:p>
        </w:tc>
        <w:tc>
          <w:tcPr>
            <w:tcW w:w="260" w:type="dxa"/>
            <w:vAlign w:val="bottom"/>
          </w:tcPr>
          <w:p>
            <w:pPr>
              <w:spacing w:after="0"/>
              <w:rPr>
                <w:sz w:val="18"/>
                <w:szCs w:val="18"/>
                <w:color w:val="auto"/>
              </w:rPr>
            </w:pPr>
          </w:p>
        </w:tc>
        <w:tc>
          <w:tcPr>
            <w:tcW w:w="660" w:type="dxa"/>
            <w:vAlign w:val="bottom"/>
          </w:tcPr>
          <w:p>
            <w:pPr>
              <w:jc w:val="right"/>
              <w:ind w:right="36"/>
              <w:spacing w:after="0"/>
              <w:rPr>
                <w:sz w:val="20"/>
                <w:szCs w:val="20"/>
                <w:color w:val="auto"/>
              </w:rPr>
            </w:pPr>
            <w:r>
              <w:rPr>
                <w:rFonts w:ascii="Arial" w:cs="Arial" w:eastAsia="Arial" w:hAnsi="Arial"/>
                <w:sz w:val="18"/>
                <w:szCs w:val="18"/>
                <w:color w:val="auto"/>
              </w:rPr>
              <w:t>594</w:t>
            </w:r>
          </w:p>
        </w:tc>
        <w:tc>
          <w:tcPr>
            <w:tcW w:w="1140" w:type="dxa"/>
            <w:vAlign w:val="bottom"/>
          </w:tcPr>
          <w:p>
            <w:pPr>
              <w:jc w:val="right"/>
              <w:ind w:right="178"/>
              <w:spacing w:after="0"/>
              <w:rPr>
                <w:sz w:val="20"/>
                <w:szCs w:val="20"/>
                <w:color w:val="auto"/>
              </w:rPr>
            </w:pPr>
            <w:r>
              <w:rPr>
                <w:rFonts w:ascii="Arial" w:cs="Arial" w:eastAsia="Arial" w:hAnsi="Arial"/>
                <w:sz w:val="18"/>
                <w:szCs w:val="18"/>
                <w:color w:val="auto"/>
              </w:rPr>
              <w:t>1,729</w:t>
            </w: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1,696</w:t>
            </w: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Cable Communications customer service</w:t>
            </w:r>
          </w:p>
        </w:tc>
        <w:tc>
          <w:tcPr>
            <w:tcW w:w="2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81"/>
              <w:spacing w:after="0"/>
              <w:rPr>
                <w:sz w:val="20"/>
                <w:szCs w:val="20"/>
                <w:color w:val="auto"/>
              </w:rPr>
            </w:pPr>
            <w:r>
              <w:rPr>
                <w:rFonts w:ascii="Arial" w:cs="Arial" w:eastAsia="Arial" w:hAnsi="Arial"/>
                <w:sz w:val="18"/>
                <w:szCs w:val="18"/>
                <w:color w:val="auto"/>
              </w:rPr>
              <w:t>466</w:t>
            </w:r>
          </w:p>
        </w:tc>
        <w:tc>
          <w:tcPr>
            <w:tcW w:w="2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36"/>
              <w:spacing w:after="0"/>
              <w:rPr>
                <w:sz w:val="20"/>
                <w:szCs w:val="20"/>
                <w:color w:val="auto"/>
              </w:rPr>
            </w:pPr>
            <w:r>
              <w:rPr>
                <w:rFonts w:ascii="Arial" w:cs="Arial" w:eastAsia="Arial" w:hAnsi="Arial"/>
                <w:sz w:val="18"/>
                <w:szCs w:val="18"/>
                <w:color w:val="auto"/>
              </w:rPr>
              <w:t>463</w:t>
            </w:r>
          </w:p>
        </w:tc>
        <w:tc>
          <w:tcPr>
            <w:tcW w:w="1140" w:type="dxa"/>
            <w:vAlign w:val="bottom"/>
            <w:shd w:val="clear" w:color="auto" w:fill="E5E5E5"/>
          </w:tcPr>
          <w:p>
            <w:pPr>
              <w:jc w:val="right"/>
              <w:ind w:right="178"/>
              <w:spacing w:after="0"/>
              <w:rPr>
                <w:sz w:val="20"/>
                <w:szCs w:val="20"/>
                <w:color w:val="auto"/>
              </w:rPr>
            </w:pPr>
            <w:r>
              <w:rPr>
                <w:rFonts w:ascii="Arial" w:cs="Arial" w:eastAsia="Arial" w:hAnsi="Arial"/>
                <w:sz w:val="18"/>
                <w:szCs w:val="18"/>
                <w:color w:val="auto"/>
              </w:rPr>
              <w:t>1,385</w:t>
            </w:r>
          </w:p>
        </w:tc>
        <w:tc>
          <w:tcPr>
            <w:tcW w:w="8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Advertising, marketing and promotion</w:t>
            </w:r>
          </w:p>
        </w:tc>
        <w:tc>
          <w:tcPr>
            <w:tcW w:w="240" w:type="dxa"/>
            <w:vAlign w:val="bottom"/>
          </w:tcPr>
          <w:p>
            <w:pPr>
              <w:spacing w:after="0"/>
              <w:rPr>
                <w:sz w:val="18"/>
                <w:szCs w:val="18"/>
                <w:color w:val="auto"/>
              </w:rPr>
            </w:pPr>
          </w:p>
        </w:tc>
        <w:tc>
          <w:tcPr>
            <w:tcW w:w="780" w:type="dxa"/>
            <w:vAlign w:val="bottom"/>
          </w:tcPr>
          <w:p>
            <w:pPr>
              <w:jc w:val="right"/>
              <w:ind w:right="81"/>
              <w:spacing w:after="0"/>
              <w:rPr>
                <w:sz w:val="20"/>
                <w:szCs w:val="20"/>
                <w:color w:val="auto"/>
              </w:rPr>
            </w:pPr>
            <w:r>
              <w:rPr>
                <w:rFonts w:ascii="Arial" w:cs="Arial" w:eastAsia="Arial" w:hAnsi="Arial"/>
                <w:sz w:val="18"/>
                <w:szCs w:val="18"/>
                <w:color w:val="auto"/>
              </w:rPr>
              <w:t>1,102</w:t>
            </w:r>
          </w:p>
        </w:tc>
        <w:tc>
          <w:tcPr>
            <w:tcW w:w="260" w:type="dxa"/>
            <w:vAlign w:val="bottom"/>
          </w:tcPr>
          <w:p>
            <w:pPr>
              <w:spacing w:after="0"/>
              <w:rPr>
                <w:sz w:val="18"/>
                <w:szCs w:val="18"/>
                <w:color w:val="auto"/>
              </w:rPr>
            </w:pPr>
          </w:p>
        </w:tc>
        <w:tc>
          <w:tcPr>
            <w:tcW w:w="660" w:type="dxa"/>
            <w:vAlign w:val="bottom"/>
          </w:tcPr>
          <w:p>
            <w:pPr>
              <w:jc w:val="right"/>
              <w:ind w:right="36"/>
              <w:spacing w:after="0"/>
              <w:rPr>
                <w:sz w:val="20"/>
                <w:szCs w:val="20"/>
                <w:color w:val="auto"/>
              </w:rPr>
            </w:pPr>
            <w:r>
              <w:rPr>
                <w:rFonts w:ascii="Arial" w:cs="Arial" w:eastAsia="Arial" w:hAnsi="Arial"/>
                <w:sz w:val="18"/>
                <w:szCs w:val="18"/>
                <w:color w:val="auto"/>
              </w:rPr>
              <w:t>636</w:t>
            </w:r>
          </w:p>
        </w:tc>
        <w:tc>
          <w:tcPr>
            <w:tcW w:w="1140" w:type="dxa"/>
            <w:vAlign w:val="bottom"/>
          </w:tcPr>
          <w:p>
            <w:pPr>
              <w:jc w:val="right"/>
              <w:ind w:right="178"/>
              <w:spacing w:after="0"/>
              <w:rPr>
                <w:sz w:val="20"/>
                <w:szCs w:val="20"/>
                <w:color w:val="auto"/>
              </w:rPr>
            </w:pPr>
            <w:r>
              <w:rPr>
                <w:rFonts w:ascii="Arial" w:cs="Arial" w:eastAsia="Arial" w:hAnsi="Arial"/>
                <w:sz w:val="18"/>
                <w:szCs w:val="18"/>
                <w:color w:val="auto"/>
              </w:rPr>
              <w:t>3,194</w:t>
            </w: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16"/>
        </w:trPr>
        <w:tc>
          <w:tcPr>
            <w:tcW w:w="750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81"/>
              <w:spacing w:after="0"/>
              <w:rPr>
                <w:sz w:val="20"/>
                <w:szCs w:val="20"/>
                <w:color w:val="auto"/>
              </w:rPr>
            </w:pPr>
            <w:r>
              <w:rPr>
                <w:rFonts w:ascii="Arial" w:cs="Arial" w:eastAsia="Arial" w:hAnsi="Arial"/>
                <w:sz w:val="18"/>
                <w:szCs w:val="18"/>
                <w:color w:val="auto"/>
              </w:rPr>
              <w:t>3,266</w:t>
            </w:r>
          </w:p>
        </w:tc>
        <w:tc>
          <w:tcPr>
            <w:tcW w:w="26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36"/>
              <w:spacing w:after="0"/>
              <w:rPr>
                <w:sz w:val="20"/>
                <w:szCs w:val="20"/>
                <w:color w:val="auto"/>
              </w:rPr>
            </w:pPr>
            <w:r>
              <w:rPr>
                <w:rFonts w:ascii="Arial" w:cs="Arial" w:eastAsia="Arial" w:hAnsi="Arial"/>
                <w:sz w:val="18"/>
                <w:szCs w:val="18"/>
                <w:color w:val="auto"/>
              </w:rPr>
              <w:t>2,216</w:t>
            </w:r>
          </w:p>
        </w:tc>
        <w:tc>
          <w:tcPr>
            <w:tcW w:w="1140" w:type="dxa"/>
            <w:vAlign w:val="bottom"/>
            <w:tcBorders>
              <w:bottom w:val="single" w:sz="8" w:color="auto"/>
            </w:tcBorders>
            <w:shd w:val="clear" w:color="auto" w:fill="E5E5E5"/>
          </w:tcPr>
          <w:p>
            <w:pPr>
              <w:jc w:val="right"/>
              <w:ind w:right="178"/>
              <w:spacing w:after="0"/>
              <w:rPr>
                <w:sz w:val="20"/>
                <w:szCs w:val="20"/>
                <w:color w:val="auto"/>
              </w:rPr>
            </w:pPr>
            <w:r>
              <w:rPr>
                <w:rFonts w:ascii="Arial" w:cs="Arial" w:eastAsia="Arial" w:hAnsi="Arial"/>
                <w:sz w:val="18"/>
                <w:szCs w:val="18"/>
                <w:color w:val="auto"/>
              </w:rPr>
              <w:t>9,105</w:t>
            </w:r>
          </w:p>
        </w:tc>
        <w:tc>
          <w:tcPr>
            <w:tcW w:w="84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6,129</w:t>
            </w:r>
          </w:p>
        </w:tc>
        <w:tc>
          <w:tcPr>
            <w:tcW w:w="0" w:type="dxa"/>
            <w:vAlign w:val="bottom"/>
          </w:tcPr>
          <w:p>
            <w:pPr>
              <w:spacing w:after="0"/>
              <w:rPr>
                <w:sz w:val="1"/>
                <w:szCs w:val="1"/>
                <w:color w:val="auto"/>
              </w:rPr>
            </w:pPr>
          </w:p>
        </w:tc>
      </w:tr>
      <w:tr>
        <w:trPr>
          <w:trHeight w:val="195"/>
        </w:trPr>
        <w:tc>
          <w:tcPr>
            <w:tcW w:w="750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Operating costs and expenses (excluding depreciation</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50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and amortization)</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8"/>
                <w:szCs w:val="18"/>
                <w:b w:val="1"/>
                <w:bCs w:val="1"/>
                <w:color w:val="auto"/>
                <w:w w:val="99"/>
              </w:rPr>
              <w:t>$ 9,765</w:t>
            </w: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w w:val="86"/>
              </w:rPr>
              <w:t>$ 5,911</w:t>
            </w:r>
          </w:p>
        </w:tc>
        <w:tc>
          <w:tcPr>
            <w:tcW w:w="1140" w:type="dxa"/>
            <w:vAlign w:val="bottom"/>
            <w:tcBorders>
              <w:bottom w:val="single" w:sz="8" w:color="auto"/>
            </w:tcBorders>
          </w:tcPr>
          <w:p>
            <w:pPr>
              <w:jc w:val="right"/>
              <w:ind w:right="178"/>
              <w:spacing w:after="0"/>
              <w:rPr>
                <w:sz w:val="20"/>
                <w:szCs w:val="20"/>
                <w:color w:val="auto"/>
              </w:rPr>
            </w:pPr>
            <w:r>
              <w:rPr>
                <w:rFonts w:ascii="Arial" w:cs="Arial" w:eastAsia="Arial" w:hAnsi="Arial"/>
                <w:sz w:val="18"/>
                <w:szCs w:val="18"/>
                <w:b w:val="1"/>
                <w:bCs w:val="1"/>
                <w:color w:val="auto"/>
              </w:rPr>
              <w:t>$27,359</w:t>
            </w: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$17,336</w:t>
            </w:r>
          </w:p>
        </w:tc>
        <w:tc>
          <w:tcPr>
            <w:tcW w:w="0" w:type="dxa"/>
            <w:vAlign w:val="bottom"/>
          </w:tcPr>
          <w:p>
            <w:pPr>
              <w:spacing w:after="0"/>
              <w:rPr>
                <w:sz w:val="1"/>
                <w:szCs w:val="1"/>
                <w:color w:val="auto"/>
              </w:rPr>
            </w:pPr>
          </w:p>
        </w:tc>
      </w:tr>
      <w:tr>
        <w:trPr>
          <w:trHeight w:val="403"/>
        </w:trPr>
        <w:tc>
          <w:tcPr>
            <w:tcW w:w="7500" w:type="dxa"/>
            <w:vAlign w:val="bottom"/>
            <w:gridSpan w:val="2"/>
          </w:tcPr>
          <w:p>
            <w:pPr>
              <w:ind w:left="3960"/>
              <w:spacing w:after="0"/>
              <w:rPr>
                <w:sz w:val="20"/>
                <w:szCs w:val="20"/>
                <w:color w:val="auto"/>
              </w:rPr>
            </w:pPr>
            <w:r>
              <w:rPr>
                <w:rFonts w:ascii="Arial" w:cs="Arial" w:eastAsia="Arial" w:hAnsi="Arial"/>
                <w:sz w:val="18"/>
                <w:szCs w:val="18"/>
                <w:b w:val="1"/>
                <w:bCs w:val="1"/>
                <w:color w:val="auto"/>
                <w:w w:val="97"/>
              </w:rPr>
              <w:t>Net Cash Provided by Operating Activities</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980" w:type="dxa"/>
            <w:vAlign w:val="bottom"/>
            <w:gridSpan w:val="2"/>
          </w:tcPr>
          <w:p>
            <w:pPr>
              <w:jc w:val="center"/>
              <w:ind w:left="158"/>
              <w:spacing w:after="0"/>
              <w:rPr>
                <w:sz w:val="20"/>
                <w:szCs w:val="20"/>
                <w:color w:val="auto"/>
              </w:rPr>
            </w:pPr>
            <w:r>
              <w:rPr>
                <w:rFonts w:ascii="Arial" w:cs="Arial" w:eastAsia="Arial" w:hAnsi="Arial"/>
                <w:sz w:val="14"/>
                <w:szCs w:val="14"/>
                <w:color w:val="auto"/>
                <w:w w:val="89"/>
              </w:rPr>
              <w:t>Nine Months Ended</w:t>
            </w:r>
          </w:p>
        </w:tc>
        <w:tc>
          <w:tcPr>
            <w:tcW w:w="0" w:type="dxa"/>
            <w:vAlign w:val="bottom"/>
          </w:tcPr>
          <w:p>
            <w:pPr>
              <w:spacing w:after="0"/>
              <w:rPr>
                <w:sz w:val="1"/>
                <w:szCs w:val="1"/>
                <w:color w:val="auto"/>
              </w:rPr>
            </w:pPr>
          </w:p>
        </w:tc>
      </w:tr>
      <w:tr>
        <w:trPr>
          <w:trHeight w:val="159"/>
        </w:trPr>
        <w:tc>
          <w:tcPr>
            <w:tcW w:w="75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980" w:type="dxa"/>
            <w:vAlign w:val="bottom"/>
            <w:tcBorders>
              <w:bottom w:val="single" w:sz="8" w:color="auto"/>
            </w:tcBorders>
            <w:gridSpan w:val="2"/>
          </w:tcPr>
          <w:p>
            <w:pPr>
              <w:jc w:val="center"/>
              <w:ind w:left="158"/>
              <w:spacing w:after="0" w:line="159" w:lineRule="exact"/>
              <w:rPr>
                <w:sz w:val="20"/>
                <w:szCs w:val="20"/>
                <w:color w:val="auto"/>
              </w:rPr>
            </w:pPr>
            <w:r>
              <w:rPr>
                <w:rFonts w:ascii="Arial" w:cs="Arial" w:eastAsia="Arial" w:hAnsi="Arial"/>
                <w:sz w:val="14"/>
                <w:szCs w:val="14"/>
                <w:color w:val="auto"/>
                <w:w w:val="84"/>
              </w:rPr>
              <w:t>September 30</w:t>
            </w:r>
          </w:p>
        </w:tc>
        <w:tc>
          <w:tcPr>
            <w:tcW w:w="0" w:type="dxa"/>
            <w:vAlign w:val="bottom"/>
          </w:tcPr>
          <w:p>
            <w:pPr>
              <w:spacing w:after="0"/>
              <w:rPr>
                <w:sz w:val="1"/>
                <w:szCs w:val="1"/>
                <w:color w:val="auto"/>
              </w:rPr>
            </w:pPr>
          </w:p>
        </w:tc>
      </w:tr>
      <w:tr>
        <w:trPr>
          <w:trHeight w:val="142"/>
        </w:trPr>
        <w:tc>
          <w:tcPr>
            <w:tcW w:w="7500" w:type="dxa"/>
            <w:vAlign w:val="bottom"/>
            <w:tcBorders>
              <w:bottom w:val="single" w:sz="8" w:color="auto"/>
            </w:tcBorders>
            <w:gridSpan w:val="2"/>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298"/>
              <w:spacing w:after="0" w:line="142" w:lineRule="exact"/>
              <w:rPr>
                <w:sz w:val="20"/>
                <w:szCs w:val="20"/>
                <w:color w:val="auto"/>
              </w:rPr>
            </w:pPr>
            <w:r>
              <w:rPr>
                <w:rFonts w:ascii="Arial" w:cs="Arial" w:eastAsia="Arial" w:hAnsi="Arial"/>
                <w:sz w:val="14"/>
                <w:szCs w:val="14"/>
                <w:color w:val="auto"/>
              </w:rPr>
              <w:t>2011</w:t>
            </w:r>
          </w:p>
        </w:tc>
        <w:tc>
          <w:tcPr>
            <w:tcW w:w="84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210"/>
        </w:trPr>
        <w:tc>
          <w:tcPr>
            <w:tcW w:w="750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Net income from consolidated operations</w:t>
            </w:r>
          </w:p>
        </w:tc>
        <w:tc>
          <w:tcPr>
            <w:tcW w:w="24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1140" w:type="dxa"/>
            <w:vAlign w:val="bottom"/>
            <w:shd w:val="clear" w:color="auto" w:fill="E5E5E5"/>
          </w:tcPr>
          <w:p>
            <w:pPr>
              <w:jc w:val="right"/>
              <w:ind w:right="138"/>
              <w:spacing w:after="0"/>
              <w:rPr>
                <w:sz w:val="20"/>
                <w:szCs w:val="20"/>
                <w:color w:val="auto"/>
              </w:rPr>
            </w:pPr>
            <w:r>
              <w:rPr>
                <w:rFonts w:ascii="Arial" w:cs="Arial" w:eastAsia="Arial" w:hAnsi="Arial"/>
                <w:sz w:val="18"/>
                <w:szCs w:val="18"/>
                <w:color w:val="auto"/>
              </w:rPr>
              <w:t>$ 3,572</w:t>
            </w:r>
          </w:p>
        </w:tc>
        <w:tc>
          <w:tcPr>
            <w:tcW w:w="8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$2,635</w:t>
            </w:r>
          </w:p>
        </w:tc>
        <w:tc>
          <w:tcPr>
            <w:tcW w:w="0" w:type="dxa"/>
            <w:vAlign w:val="bottom"/>
          </w:tcPr>
          <w:p>
            <w:pPr>
              <w:spacing w:after="0"/>
              <w:rPr>
                <w:sz w:val="1"/>
                <w:szCs w:val="1"/>
                <w:color w:val="auto"/>
              </w:rPr>
            </w:pPr>
          </w:p>
        </w:tc>
      </w:tr>
      <w:tr>
        <w:trPr>
          <w:trHeight w:val="216"/>
        </w:trPr>
        <w:tc>
          <w:tcPr>
            <w:tcW w:w="8520" w:type="dxa"/>
            <w:vAlign w:val="bottom"/>
            <w:gridSpan w:val="4"/>
          </w:tcPr>
          <w:p>
            <w:pPr>
              <w:spacing w:after="0"/>
              <w:rPr>
                <w:sz w:val="20"/>
                <w:szCs w:val="20"/>
                <w:color w:val="auto"/>
              </w:rPr>
            </w:pPr>
            <w:r>
              <w:rPr>
                <w:rFonts w:ascii="Arial" w:cs="Arial" w:eastAsia="Arial" w:hAnsi="Arial"/>
                <w:sz w:val="18"/>
                <w:szCs w:val="18"/>
                <w:color w:val="auto"/>
                <w:w w:val="97"/>
              </w:rPr>
              <w:t>Adjustments to reconcile net income from consolidated operations to net cash provided by operating activities:</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1140" w:type="dxa"/>
            <w:vAlign w:val="bottom"/>
            <w:shd w:val="clear" w:color="auto" w:fill="E5E5E5"/>
          </w:tcPr>
          <w:p>
            <w:pPr>
              <w:jc w:val="right"/>
              <w:ind w:right="138"/>
              <w:spacing w:after="0"/>
              <w:rPr>
                <w:sz w:val="20"/>
                <w:szCs w:val="20"/>
                <w:color w:val="auto"/>
              </w:rPr>
            </w:pPr>
            <w:r>
              <w:rPr>
                <w:rFonts w:ascii="Arial" w:cs="Arial" w:eastAsia="Arial" w:hAnsi="Arial"/>
                <w:sz w:val="18"/>
                <w:szCs w:val="18"/>
                <w:color w:val="auto"/>
              </w:rPr>
              <w:t>5,638</w:t>
            </w:r>
          </w:p>
        </w:tc>
        <w:tc>
          <w:tcPr>
            <w:tcW w:w="8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4,913</w:t>
            </w:r>
          </w:p>
        </w:tc>
        <w:tc>
          <w:tcPr>
            <w:tcW w:w="0" w:type="dxa"/>
            <w:vAlign w:val="bottom"/>
          </w:tcPr>
          <w:p>
            <w:pPr>
              <w:spacing w:after="0"/>
              <w:rPr>
                <w:sz w:val="1"/>
                <w:szCs w:val="1"/>
                <w:color w:val="auto"/>
              </w:rPr>
            </w:pPr>
          </w:p>
        </w:tc>
      </w:tr>
      <w:tr>
        <w:trPr>
          <w:trHeight w:val="216"/>
        </w:trPr>
        <w:tc>
          <w:tcPr>
            <w:tcW w:w="7500" w:type="dxa"/>
            <w:vAlign w:val="bottom"/>
            <w:gridSpan w:val="2"/>
          </w:tcPr>
          <w:p>
            <w:pPr>
              <w:ind w:left="440"/>
              <w:spacing w:after="0"/>
              <w:rPr>
                <w:sz w:val="20"/>
                <w:szCs w:val="20"/>
                <w:color w:val="auto"/>
              </w:rPr>
            </w:pPr>
            <w:r>
              <w:rPr>
                <w:rFonts w:ascii="Arial" w:cs="Arial" w:eastAsia="Arial" w:hAnsi="Arial"/>
                <w:sz w:val="18"/>
                <w:szCs w:val="18"/>
                <w:color w:val="auto"/>
              </w:rPr>
              <w:t>Amortization of film and television costs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jc w:val="right"/>
              <w:ind w:right="138"/>
              <w:spacing w:after="0"/>
              <w:rPr>
                <w:sz w:val="20"/>
                <w:szCs w:val="20"/>
                <w:color w:val="auto"/>
              </w:rPr>
            </w:pPr>
            <w:r>
              <w:rPr>
                <w:rFonts w:ascii="Arial" w:cs="Arial" w:eastAsia="Arial" w:hAnsi="Arial"/>
                <w:sz w:val="18"/>
                <w:szCs w:val="18"/>
                <w:color w:val="auto"/>
              </w:rPr>
              <w:t>4,769</w:t>
            </w: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Share-based compensation</w:t>
            </w:r>
          </w:p>
        </w:tc>
        <w:tc>
          <w:tcPr>
            <w:tcW w:w="24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1140" w:type="dxa"/>
            <w:vAlign w:val="bottom"/>
            <w:shd w:val="clear" w:color="auto" w:fill="E5E5E5"/>
          </w:tcPr>
          <w:p>
            <w:pPr>
              <w:jc w:val="right"/>
              <w:ind w:right="138"/>
              <w:spacing w:after="0"/>
              <w:rPr>
                <w:sz w:val="20"/>
                <w:szCs w:val="20"/>
                <w:color w:val="auto"/>
              </w:rPr>
            </w:pPr>
            <w:r>
              <w:rPr>
                <w:rFonts w:ascii="Arial" w:cs="Arial" w:eastAsia="Arial" w:hAnsi="Arial"/>
                <w:sz w:val="18"/>
                <w:szCs w:val="18"/>
                <w:color w:val="auto"/>
              </w:rPr>
              <w:t>260</w:t>
            </w:r>
          </w:p>
        </w:tc>
        <w:tc>
          <w:tcPr>
            <w:tcW w:w="8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7500" w:type="dxa"/>
            <w:vAlign w:val="bottom"/>
            <w:gridSpan w:val="2"/>
          </w:tcPr>
          <w:p>
            <w:pPr>
              <w:ind w:left="440"/>
              <w:spacing w:after="0"/>
              <w:rPr>
                <w:sz w:val="20"/>
                <w:szCs w:val="20"/>
                <w:color w:val="auto"/>
              </w:rPr>
            </w:pPr>
            <w:r>
              <w:rPr>
                <w:rFonts w:ascii="Arial" w:cs="Arial" w:eastAsia="Arial" w:hAnsi="Arial"/>
                <w:sz w:val="18"/>
                <w:szCs w:val="18"/>
                <w:color w:val="auto"/>
              </w:rPr>
              <w:t>Noncash interest expense (income), net</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jc w:val="right"/>
              <w:ind w:right="138"/>
              <w:spacing w:after="0"/>
              <w:rPr>
                <w:sz w:val="20"/>
                <w:szCs w:val="20"/>
                <w:color w:val="auto"/>
              </w:rPr>
            </w:pPr>
            <w:r>
              <w:rPr>
                <w:rFonts w:ascii="Arial" w:cs="Arial" w:eastAsia="Arial" w:hAnsi="Arial"/>
                <w:sz w:val="18"/>
                <w:szCs w:val="18"/>
                <w:color w:val="auto"/>
              </w:rPr>
              <w:t>111</w:t>
            </w: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Equity in net (income) losses of investees, net</w:t>
            </w:r>
          </w:p>
        </w:tc>
        <w:tc>
          <w:tcPr>
            <w:tcW w:w="24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1140" w:type="dxa"/>
            <w:vAlign w:val="bottom"/>
            <w:shd w:val="clear" w:color="auto" w:fill="E5E5E5"/>
          </w:tcPr>
          <w:p>
            <w:pPr>
              <w:jc w:val="right"/>
              <w:ind w:right="138"/>
              <w:spacing w:after="0"/>
              <w:rPr>
                <w:sz w:val="20"/>
                <w:szCs w:val="20"/>
                <w:color w:val="auto"/>
              </w:rPr>
            </w:pPr>
            <w:r>
              <w:rPr>
                <w:rFonts w:ascii="Arial" w:cs="Arial" w:eastAsia="Arial" w:hAnsi="Arial"/>
                <w:sz w:val="18"/>
                <w:szCs w:val="18"/>
                <w:color w:val="auto"/>
              </w:rPr>
              <w:t>40</w:t>
            </w:r>
          </w:p>
        </w:tc>
        <w:tc>
          <w:tcPr>
            <w:tcW w:w="8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7500" w:type="dxa"/>
            <w:vAlign w:val="bottom"/>
            <w:gridSpan w:val="2"/>
          </w:tcPr>
          <w:p>
            <w:pPr>
              <w:ind w:left="440"/>
              <w:spacing w:after="0"/>
              <w:rPr>
                <w:sz w:val="20"/>
                <w:szCs w:val="20"/>
                <w:color w:val="auto"/>
              </w:rPr>
            </w:pPr>
            <w:r>
              <w:rPr>
                <w:rFonts w:ascii="Arial" w:cs="Arial" w:eastAsia="Arial" w:hAnsi="Arial"/>
                <w:sz w:val="18"/>
                <w:szCs w:val="18"/>
                <w:color w:val="auto"/>
              </w:rPr>
              <w:t>Net (gain) loss on investment activity and other</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jc w:val="right"/>
              <w:ind w:right="138"/>
              <w:spacing w:after="0"/>
              <w:rPr>
                <w:sz w:val="20"/>
                <w:szCs w:val="20"/>
                <w:color w:val="auto"/>
              </w:rPr>
            </w:pPr>
            <w:r>
              <w:rPr>
                <w:rFonts w:ascii="Arial" w:cs="Arial" w:eastAsia="Arial" w:hAnsi="Arial"/>
                <w:sz w:val="18"/>
                <w:szCs w:val="18"/>
                <w:color w:val="auto"/>
              </w:rPr>
              <w:t>325</w:t>
            </w:r>
          </w:p>
        </w:tc>
        <w:tc>
          <w:tcPr>
            <w:tcW w:w="84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1140" w:type="dxa"/>
            <w:vAlign w:val="bottom"/>
            <w:shd w:val="clear" w:color="auto" w:fill="E5E5E5"/>
          </w:tcPr>
          <w:p>
            <w:pPr>
              <w:jc w:val="right"/>
              <w:ind w:right="138"/>
              <w:spacing w:after="0"/>
              <w:rPr>
                <w:sz w:val="20"/>
                <w:szCs w:val="20"/>
                <w:color w:val="auto"/>
              </w:rPr>
            </w:pPr>
            <w:r>
              <w:rPr>
                <w:rFonts w:ascii="Arial" w:cs="Arial" w:eastAsia="Arial" w:hAnsi="Arial"/>
                <w:sz w:val="18"/>
                <w:szCs w:val="18"/>
                <w:color w:val="auto"/>
              </w:rPr>
              <w:t>770</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Change in receivables, net</w:t>
            </w:r>
          </w:p>
        </w:tc>
        <w:tc>
          <w:tcPr>
            <w:tcW w:w="24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1140" w:type="dxa"/>
            <w:vAlign w:val="bottom"/>
            <w:shd w:val="clear" w:color="auto" w:fill="E5E5E5"/>
          </w:tcPr>
          <w:p>
            <w:pPr>
              <w:jc w:val="right"/>
              <w:ind w:right="138"/>
              <w:spacing w:after="0"/>
              <w:rPr>
                <w:sz w:val="20"/>
                <w:szCs w:val="20"/>
                <w:color w:val="auto"/>
              </w:rPr>
            </w:pPr>
            <w:r>
              <w:rPr>
                <w:rFonts w:ascii="Arial" w:cs="Arial" w:eastAsia="Arial" w:hAnsi="Arial"/>
                <w:sz w:val="18"/>
                <w:szCs w:val="18"/>
                <w:color w:val="auto"/>
              </w:rPr>
              <w:t>290</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7500" w:type="dxa"/>
            <w:vAlign w:val="bottom"/>
            <w:gridSpan w:val="2"/>
          </w:tcPr>
          <w:p>
            <w:pPr>
              <w:ind w:left="440"/>
              <w:spacing w:after="0"/>
              <w:rPr>
                <w:sz w:val="20"/>
                <w:szCs w:val="20"/>
                <w:color w:val="auto"/>
              </w:rPr>
            </w:pPr>
            <w:r>
              <w:rPr>
                <w:rFonts w:ascii="Arial" w:cs="Arial" w:eastAsia="Arial" w:hAnsi="Arial"/>
                <w:sz w:val="18"/>
                <w:szCs w:val="18"/>
                <w:color w:val="auto"/>
              </w:rPr>
              <w:t>Change in film and television costs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jc w:val="right"/>
              <w:ind w:right="78"/>
              <w:spacing w:after="0"/>
              <w:rPr>
                <w:sz w:val="20"/>
                <w:szCs w:val="20"/>
                <w:color w:val="auto"/>
              </w:rPr>
            </w:pPr>
            <w:r>
              <w:rPr>
                <w:rFonts w:ascii="Arial" w:cs="Arial" w:eastAsia="Arial" w:hAnsi="Arial"/>
                <w:sz w:val="18"/>
                <w:szCs w:val="18"/>
                <w:color w:val="auto"/>
              </w:rPr>
              <w:t>(5,342)</w:t>
            </w:r>
          </w:p>
        </w:tc>
        <w:tc>
          <w:tcPr>
            <w:tcW w:w="84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Change in accounts payable and accrued expenses related to trade creditors</w:t>
            </w:r>
          </w:p>
        </w:tc>
        <w:tc>
          <w:tcPr>
            <w:tcW w:w="24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1140" w:type="dxa"/>
            <w:vAlign w:val="bottom"/>
            <w:shd w:val="clear" w:color="auto" w:fill="E5E5E5"/>
          </w:tcPr>
          <w:p>
            <w:pPr>
              <w:jc w:val="right"/>
              <w:ind w:right="78"/>
              <w:spacing w:after="0"/>
              <w:rPr>
                <w:sz w:val="20"/>
                <w:szCs w:val="20"/>
                <w:color w:val="auto"/>
              </w:rPr>
            </w:pPr>
            <w:r>
              <w:rPr>
                <w:rFonts w:ascii="Arial" w:cs="Arial" w:eastAsia="Arial" w:hAnsi="Arial"/>
                <w:sz w:val="18"/>
                <w:szCs w:val="18"/>
                <w:color w:val="auto"/>
              </w:rPr>
              <w:t>(242)</w:t>
            </w:r>
          </w:p>
        </w:tc>
        <w:tc>
          <w:tcPr>
            <w:tcW w:w="8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750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Change in other operating assets and liabilities</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15</w:t>
            </w: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7"/>
        </w:trPr>
        <w:tc>
          <w:tcPr>
            <w:tcW w:w="750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spacing w:after="0"/>
              <w:rPr>
                <w:sz w:val="18"/>
                <w:szCs w:val="18"/>
                <w:color w:val="auto"/>
              </w:rPr>
            </w:pPr>
          </w:p>
        </w:tc>
        <w:tc>
          <w:tcPr>
            <w:tcW w:w="26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spacing w:after="0"/>
              <w:rPr>
                <w:sz w:val="18"/>
                <w:szCs w:val="18"/>
                <w:color w:val="auto"/>
              </w:rPr>
            </w:pPr>
          </w:p>
        </w:tc>
        <w:tc>
          <w:tcPr>
            <w:tcW w:w="1140" w:type="dxa"/>
            <w:vAlign w:val="bottom"/>
            <w:tcBorders>
              <w:bottom w:val="single" w:sz="8" w:color="auto"/>
            </w:tcBorders>
            <w:shd w:val="clear" w:color="auto" w:fill="E5E5E5"/>
          </w:tcPr>
          <w:p>
            <w:pPr>
              <w:jc w:val="right"/>
              <w:ind w:right="138"/>
              <w:spacing w:after="0"/>
              <w:rPr>
                <w:sz w:val="20"/>
                <w:szCs w:val="20"/>
                <w:color w:val="auto"/>
              </w:rPr>
            </w:pPr>
            <w:r>
              <w:rPr>
                <w:rFonts w:ascii="Arial" w:cs="Arial" w:eastAsia="Arial" w:hAnsi="Arial"/>
                <w:sz w:val="18"/>
                <w:szCs w:val="18"/>
                <w:b w:val="1"/>
                <w:bCs w:val="1"/>
                <w:color w:val="auto"/>
              </w:rPr>
              <w:t>$10,206</w:t>
            </w:r>
          </w:p>
        </w:tc>
        <w:tc>
          <w:tcPr>
            <w:tcW w:w="84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$7,732</w:t>
            </w:r>
          </w:p>
        </w:tc>
        <w:tc>
          <w:tcPr>
            <w:tcW w:w="0" w:type="dxa"/>
            <w:vAlign w:val="bottom"/>
          </w:tcPr>
          <w:p>
            <w:pPr>
              <w:spacing w:after="0"/>
              <w:rPr>
                <w:sz w:val="1"/>
                <w:szCs w:val="1"/>
                <w:color w:val="auto"/>
              </w:rPr>
            </w:pPr>
          </w:p>
        </w:tc>
      </w:tr>
      <w:tr>
        <w:trPr>
          <w:trHeight w:val="403"/>
        </w:trPr>
        <w:tc>
          <w:tcPr>
            <w:tcW w:w="7740" w:type="dxa"/>
            <w:vAlign w:val="bottom"/>
            <w:gridSpan w:val="3"/>
          </w:tcPr>
          <w:p>
            <w:pPr>
              <w:ind w:left="3800"/>
              <w:spacing w:after="0"/>
              <w:rPr>
                <w:sz w:val="20"/>
                <w:szCs w:val="20"/>
                <w:color w:val="auto"/>
              </w:rPr>
            </w:pPr>
            <w:r>
              <w:rPr>
                <w:rFonts w:ascii="Arial" w:cs="Arial" w:eastAsia="Arial" w:hAnsi="Arial"/>
                <w:sz w:val="18"/>
                <w:szCs w:val="18"/>
                <w:b w:val="1"/>
                <w:bCs w:val="1"/>
                <w:color w:val="auto"/>
                <w:w w:val="99"/>
              </w:rPr>
              <w:t>Cash Payments for Interest and Income Taxes</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3"/>
          </w:tcPr>
          <w:p>
            <w:pPr>
              <w:jc w:val="right"/>
              <w:ind w:right="356"/>
              <w:spacing w:after="0"/>
              <w:rPr>
                <w:sz w:val="20"/>
                <w:szCs w:val="20"/>
                <w:color w:val="auto"/>
              </w:rPr>
            </w:pPr>
            <w:r>
              <w:rPr>
                <w:rFonts w:ascii="Arial" w:cs="Arial" w:eastAsia="Arial" w:hAnsi="Arial"/>
                <w:sz w:val="14"/>
                <w:szCs w:val="14"/>
                <w:color w:val="auto"/>
                <w:w w:val="94"/>
              </w:rPr>
              <w:t>Three Months Ended</w:t>
            </w:r>
          </w:p>
        </w:tc>
        <w:tc>
          <w:tcPr>
            <w:tcW w:w="1980" w:type="dxa"/>
            <w:vAlign w:val="bottom"/>
            <w:gridSpan w:val="2"/>
          </w:tcPr>
          <w:p>
            <w:pPr>
              <w:jc w:val="center"/>
              <w:ind w:left="118"/>
              <w:spacing w:after="0"/>
              <w:rPr>
                <w:sz w:val="20"/>
                <w:szCs w:val="20"/>
                <w:color w:val="auto"/>
              </w:rPr>
            </w:pPr>
            <w:r>
              <w:rPr>
                <w:rFonts w:ascii="Arial" w:cs="Arial" w:eastAsia="Arial" w:hAnsi="Arial"/>
                <w:sz w:val="14"/>
                <w:szCs w:val="14"/>
                <w:color w:val="auto"/>
                <w:w w:val="89"/>
              </w:rPr>
              <w:t>Nine Months Ended</w:t>
            </w:r>
          </w:p>
        </w:tc>
        <w:tc>
          <w:tcPr>
            <w:tcW w:w="0" w:type="dxa"/>
            <w:vAlign w:val="bottom"/>
          </w:tcPr>
          <w:p>
            <w:pPr>
              <w:spacing w:after="0"/>
              <w:rPr>
                <w:sz w:val="1"/>
                <w:szCs w:val="1"/>
                <w:color w:val="auto"/>
              </w:rPr>
            </w:pPr>
          </w:p>
        </w:tc>
      </w:tr>
      <w:tr>
        <w:trPr>
          <w:trHeight w:val="159"/>
        </w:trPr>
        <w:tc>
          <w:tcPr>
            <w:tcW w:w="72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jc w:val="right"/>
              <w:ind w:right="556"/>
              <w:spacing w:after="0" w:line="159" w:lineRule="exact"/>
              <w:rPr>
                <w:sz w:val="20"/>
                <w:szCs w:val="20"/>
                <w:color w:val="auto"/>
              </w:rPr>
            </w:pPr>
            <w:r>
              <w:rPr>
                <w:rFonts w:ascii="Arial" w:cs="Arial" w:eastAsia="Arial" w:hAnsi="Arial"/>
                <w:sz w:val="14"/>
                <w:szCs w:val="14"/>
                <w:color w:val="auto"/>
              </w:rPr>
              <w:t>September 30</w:t>
            </w:r>
          </w:p>
        </w:tc>
        <w:tc>
          <w:tcPr>
            <w:tcW w:w="1980" w:type="dxa"/>
            <w:vAlign w:val="bottom"/>
            <w:tcBorders>
              <w:bottom w:val="single" w:sz="8" w:color="auto"/>
            </w:tcBorders>
            <w:gridSpan w:val="2"/>
          </w:tcPr>
          <w:p>
            <w:pPr>
              <w:jc w:val="center"/>
              <w:ind w:left="118"/>
              <w:spacing w:after="0" w:line="159" w:lineRule="exact"/>
              <w:rPr>
                <w:sz w:val="20"/>
                <w:szCs w:val="20"/>
                <w:color w:val="auto"/>
              </w:rPr>
            </w:pPr>
            <w:r>
              <w:rPr>
                <w:rFonts w:ascii="Arial" w:cs="Arial" w:eastAsia="Arial" w:hAnsi="Arial"/>
                <w:sz w:val="14"/>
                <w:szCs w:val="14"/>
                <w:color w:val="auto"/>
                <w:w w:val="84"/>
              </w:rPr>
              <w:t>September 30</w:t>
            </w:r>
          </w:p>
        </w:tc>
        <w:tc>
          <w:tcPr>
            <w:tcW w:w="0" w:type="dxa"/>
            <w:vAlign w:val="bottom"/>
          </w:tcPr>
          <w:p>
            <w:pPr>
              <w:spacing w:after="0"/>
              <w:rPr>
                <w:sz w:val="1"/>
                <w:szCs w:val="1"/>
                <w:color w:val="auto"/>
              </w:rPr>
            </w:pPr>
          </w:p>
        </w:tc>
      </w:tr>
      <w:tr>
        <w:trPr>
          <w:trHeight w:val="142"/>
        </w:trPr>
        <w:tc>
          <w:tcPr>
            <w:tcW w:w="72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21"/>
              <w:spacing w:after="0" w:line="142" w:lineRule="exact"/>
              <w:rPr>
                <w:sz w:val="20"/>
                <w:szCs w:val="20"/>
                <w:color w:val="auto"/>
              </w:rPr>
            </w:pPr>
            <w:r>
              <w:rPr>
                <w:rFonts w:ascii="Arial" w:cs="Arial" w:eastAsia="Arial" w:hAnsi="Arial"/>
                <w:sz w:val="14"/>
                <w:szCs w:val="14"/>
                <w:color w:val="auto"/>
                <w:w w:val="83"/>
              </w:rPr>
              <w:t>2011</w:t>
            </w: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color w:val="auto"/>
                <w:w w:val="89"/>
              </w:rPr>
              <w:t>2010</w:t>
            </w:r>
          </w:p>
        </w:tc>
        <w:tc>
          <w:tcPr>
            <w:tcW w:w="11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2011</w:t>
            </w:r>
          </w:p>
        </w:tc>
        <w:tc>
          <w:tcPr>
            <w:tcW w:w="84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210"/>
        </w:trPr>
        <w:tc>
          <w:tcPr>
            <w:tcW w:w="750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Interest</w:t>
            </w:r>
          </w:p>
        </w:tc>
        <w:tc>
          <w:tcPr>
            <w:tcW w:w="2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281"/>
              <w:spacing w:after="0"/>
              <w:rPr>
                <w:sz w:val="20"/>
                <w:szCs w:val="20"/>
                <w:color w:val="auto"/>
              </w:rPr>
            </w:pPr>
            <w:r>
              <w:rPr>
                <w:rFonts w:ascii="Arial" w:cs="Arial" w:eastAsia="Arial" w:hAnsi="Arial"/>
                <w:sz w:val="18"/>
                <w:szCs w:val="18"/>
                <w:color w:val="auto"/>
              </w:rPr>
              <w:t>612</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661</w:t>
            </w:r>
          </w:p>
        </w:tc>
        <w:tc>
          <w:tcPr>
            <w:tcW w:w="114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9"/>
              </w:rPr>
              <w:t>$ 1,809</w:t>
            </w:r>
          </w:p>
        </w:tc>
        <w:tc>
          <w:tcPr>
            <w:tcW w:w="8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$ 1,630</w:t>
            </w:r>
          </w:p>
        </w:tc>
        <w:tc>
          <w:tcPr>
            <w:tcW w:w="0" w:type="dxa"/>
            <w:vAlign w:val="bottom"/>
          </w:tcPr>
          <w:p>
            <w:pPr>
              <w:spacing w:after="0"/>
              <w:rPr>
                <w:sz w:val="1"/>
                <w:szCs w:val="1"/>
                <w:color w:val="auto"/>
              </w:rPr>
            </w:pPr>
          </w:p>
        </w:tc>
      </w:tr>
      <w:tr>
        <w:trPr>
          <w:trHeight w:val="216"/>
        </w:trPr>
        <w:tc>
          <w:tcPr>
            <w:tcW w:w="7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taxes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8"/>
                <w:szCs w:val="18"/>
                <w:color w:val="auto"/>
              </w:rPr>
              <w:t>596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668</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$ 1,166</w:t>
            </w: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$ 1,794</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2011, we:</w:t>
      </w:r>
    </w:p>
    <w:p>
      <w:pPr>
        <w:spacing w:after="0" w:line="77" w:lineRule="exact"/>
        <w:rPr>
          <w:sz w:val="20"/>
          <w:szCs w:val="20"/>
          <w:color w:val="auto"/>
        </w:rPr>
      </w:pPr>
    </w:p>
    <w:p>
      <w:pPr>
        <w:ind w:left="1020" w:right="1240" w:hanging="215"/>
        <w:spacing w:after="0" w:line="268"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acquired 51% of NBCUniversal Holdings on January 28, 2011, for cash and a 49% interest in the Comcast Content Business (see Note 4 for additional information on the NBCUniversal transaction)</w:t>
      </w:r>
    </w:p>
    <w:p>
      <w:pPr>
        <w:spacing w:after="0" w:line="37"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acquired approximately $505 million of property and equipment and software that was accrued but unpaid, which is a noncash investing activity</w:t>
      </w:r>
    </w:p>
    <w:p>
      <w:pPr>
        <w:spacing w:after="0" w:line="37"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recorded a liability of approximately $307 million for a quarterly cash dividend of $0.1125 per common share paid in October 2011, which is a noncash financing activity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15: Receivables Monetization</w:t>
      </w:r>
    </w:p>
    <w:p>
      <w:pPr>
        <w:spacing w:after="0" w:line="8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a result of the close of the NBCUniversal transaction on January 28, 2011, NBCUniversal established new receivables monetization programs with a syndicate of banks. We account for receivables monetized through these programs as sales in accordance with the appropriate accounting guidance. We receive deferred consideration from the assets sold in the form of a receivable, which is funded by residual cash flows after the senior interests have been fully paid. The deferred consideration is recorded at its initial fair value, which includes a provision for estimated losses we expect to incur related to these interests. The accounts receivable we sold that underlie the deferred consideration are generally short-term in nature and, therefore, the fair value of the deferred consideration approximated its carrying value as of September 30, 2011.</w:t>
      </w:r>
    </w:p>
    <w:p>
      <w:pPr>
        <w:spacing w:after="0" w:line="2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For the majority of the receivables monetized under the securitization programs, an affiliate of GE is responsible for servicing the receivables and remitting collections to the owner and the lenders. We perform this service on the affiliate’s behalf for a fee that is equal to the prevailing market rate for such services. As a result, no servicing asset or liability has been recorded in our condensed consolidated balance sheet as of September 30, 2011. The subservicing fees are a component of net loss on sale presented in the table below, which is included in other income (expense), net.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 on Income From Receivables Monetization and Cash Flows on Transfers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040" w:type="dxa"/>
            <w:vAlign w:val="bottom"/>
            <w:gridSpan w:val="2"/>
          </w:tcPr>
          <w:p>
            <w:pPr>
              <w:ind w:left="1200"/>
              <w:spacing w:after="0"/>
              <w:rPr>
                <w:sz w:val="20"/>
                <w:szCs w:val="20"/>
                <w:color w:val="auto"/>
              </w:rPr>
            </w:pPr>
            <w:r>
              <w:rPr>
                <w:rFonts w:ascii="Arial" w:cs="Arial" w:eastAsia="Arial" w:hAnsi="Arial"/>
                <w:sz w:val="14"/>
                <w:szCs w:val="14"/>
                <w:color w:val="auto"/>
              </w:rPr>
              <w:t>Three Months Ended</w:t>
            </w:r>
          </w:p>
        </w:tc>
        <w:tc>
          <w:tcPr>
            <w:tcW w:w="1820" w:type="dxa"/>
            <w:vAlign w:val="bottom"/>
            <w:gridSpan w:val="2"/>
          </w:tcPr>
          <w:p>
            <w:pPr>
              <w:ind w:left="620"/>
              <w:spacing w:after="0"/>
              <w:rPr>
                <w:sz w:val="20"/>
                <w:szCs w:val="20"/>
                <w:color w:val="auto"/>
              </w:rPr>
            </w:pPr>
            <w:r>
              <w:rPr>
                <w:rFonts w:ascii="Arial" w:cs="Arial" w:eastAsia="Arial" w:hAnsi="Arial"/>
                <w:sz w:val="14"/>
                <w:szCs w:val="14"/>
                <w:color w:val="auto"/>
                <w:w w:val="95"/>
              </w:rPr>
              <w:t>Nine Months Ended</w:t>
            </w:r>
          </w:p>
        </w:tc>
        <w:tc>
          <w:tcPr>
            <w:tcW w:w="0" w:type="dxa"/>
            <w:vAlign w:val="bottom"/>
          </w:tcPr>
          <w:p>
            <w:pPr>
              <w:spacing w:after="0"/>
              <w:rPr>
                <w:sz w:val="1"/>
                <w:szCs w:val="1"/>
                <w:color w:val="auto"/>
              </w:rPr>
            </w:pPr>
          </w:p>
        </w:tc>
      </w:tr>
      <w:tr>
        <w:trPr>
          <w:trHeight w:val="159"/>
        </w:trPr>
        <w:tc>
          <w:tcPr>
            <w:tcW w:w="33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3240" w:type="dxa"/>
            <w:vAlign w:val="bottom"/>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822"/>
              <w:spacing w:after="0" w:line="159" w:lineRule="exact"/>
              <w:rPr>
                <w:sz w:val="20"/>
                <w:szCs w:val="20"/>
                <w:color w:val="auto"/>
              </w:rPr>
            </w:pPr>
            <w:r>
              <w:rPr>
                <w:rFonts w:ascii="Arial" w:cs="Arial" w:eastAsia="Arial" w:hAnsi="Arial"/>
                <w:sz w:val="14"/>
                <w:szCs w:val="14"/>
                <w:color w:val="auto"/>
                <w:w w:val="88"/>
              </w:rPr>
              <w:t>September 30</w:t>
            </w:r>
          </w:p>
        </w:tc>
        <w:tc>
          <w:tcPr>
            <w:tcW w:w="1820" w:type="dxa"/>
            <w:vAlign w:val="bottom"/>
            <w:tcBorders>
              <w:bottom w:val="single" w:sz="8" w:color="auto"/>
            </w:tcBorders>
            <w:gridSpan w:val="2"/>
          </w:tcPr>
          <w:p>
            <w:pPr>
              <w:jc w:val="right"/>
              <w:ind w:right="199"/>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3320" w:type="dxa"/>
            <w:vAlign w:val="bottom"/>
            <w:tcBorders>
              <w:bottom w:val="single" w:sz="8" w:color="auto"/>
            </w:tcBorders>
            <w:vMerge w:val="continue"/>
          </w:tcPr>
          <w:p>
            <w:pPr>
              <w:spacing w:after="0"/>
              <w:rPr>
                <w:sz w:val="12"/>
                <w:szCs w:val="12"/>
                <w:color w:val="auto"/>
              </w:rPr>
            </w:pPr>
          </w:p>
        </w:tc>
        <w:tc>
          <w:tcPr>
            <w:tcW w:w="32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ind w:right="1062"/>
              <w:spacing w:after="0" w:line="142" w:lineRule="exact"/>
              <w:rPr>
                <w:sz w:val="20"/>
                <w:szCs w:val="20"/>
                <w:color w:val="auto"/>
              </w:rPr>
            </w:pPr>
            <w:r>
              <w:rPr>
                <w:rFonts w:ascii="Arial" w:cs="Arial" w:eastAsia="Arial" w:hAnsi="Arial"/>
                <w:sz w:val="14"/>
                <w:szCs w:val="14"/>
                <w:color w:val="auto"/>
              </w:rPr>
              <w:t>2011</w:t>
            </w:r>
          </w:p>
        </w:tc>
        <w:tc>
          <w:tcPr>
            <w:tcW w:w="10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39"/>
              <w:spacing w:after="0" w:line="142" w:lineRule="exact"/>
              <w:rPr>
                <w:sz w:val="20"/>
                <w:szCs w:val="20"/>
                <w:color w:val="auto"/>
              </w:rPr>
            </w:pPr>
            <w:r>
              <w:rPr>
                <w:rFonts w:ascii="Arial" w:cs="Arial" w:eastAsia="Arial" w:hAnsi="Arial"/>
                <w:sz w:val="14"/>
                <w:szCs w:val="14"/>
                <w:color w:val="auto"/>
                <w:w w:val="76"/>
              </w:rPr>
              <w:t>2011</w:t>
            </w:r>
          </w:p>
        </w:tc>
        <w:tc>
          <w:tcPr>
            <w:tcW w:w="0" w:type="dxa"/>
            <w:vAlign w:val="bottom"/>
          </w:tcPr>
          <w:p>
            <w:pPr>
              <w:spacing w:after="0"/>
              <w:rPr>
                <w:sz w:val="1"/>
                <w:szCs w:val="1"/>
                <w:color w:val="auto"/>
              </w:rPr>
            </w:pPr>
          </w:p>
        </w:tc>
      </w:tr>
      <w:tr>
        <w:trPr>
          <w:trHeight w:val="210"/>
        </w:trPr>
        <w:tc>
          <w:tcPr>
            <w:tcW w:w="33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Effect on income from services</w:t>
            </w:r>
          </w:p>
        </w:tc>
        <w:tc>
          <w:tcPr>
            <w:tcW w:w="3240" w:type="dxa"/>
            <w:vAlign w:val="bottom"/>
            <w:shd w:val="clear" w:color="auto" w:fill="E5E5E5"/>
          </w:tcPr>
          <w:p>
            <w:pPr>
              <w:spacing w:after="0"/>
              <w:rPr>
                <w:sz w:val="18"/>
                <w:szCs w:val="18"/>
                <w:color w:val="auto"/>
              </w:rPr>
            </w:pPr>
          </w:p>
        </w:tc>
        <w:tc>
          <w:tcPr>
            <w:tcW w:w="1340" w:type="dxa"/>
            <w:vAlign w:val="bottom"/>
            <w:shd w:val="clear" w:color="auto" w:fill="E5E5E5"/>
          </w:tcPr>
          <w:p>
            <w:pPr>
              <w:spacing w:after="0"/>
              <w:rPr>
                <w:sz w:val="18"/>
                <w:szCs w:val="18"/>
                <w:color w:val="auto"/>
              </w:rPr>
            </w:pPr>
          </w:p>
        </w:tc>
        <w:tc>
          <w:tcPr>
            <w:tcW w:w="170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440"/>
              <w:spacing w:after="0"/>
              <w:rPr>
                <w:sz w:val="20"/>
                <w:szCs w:val="20"/>
                <w:color w:val="auto"/>
              </w:rPr>
            </w:pPr>
            <w:r>
              <w:rPr>
                <w:rFonts w:ascii="Arial" w:cs="Arial" w:eastAsia="Arial" w:hAnsi="Arial"/>
                <w:sz w:val="18"/>
                <w:szCs w:val="18"/>
                <w:color w:val="auto"/>
              </w:rPr>
              <w:t>Net (loss) gain on sale</w:t>
            </w:r>
          </w:p>
        </w:tc>
        <w:tc>
          <w:tcPr>
            <w:tcW w:w="4580" w:type="dxa"/>
            <w:vAlign w:val="bottom"/>
            <w:gridSpan w:val="2"/>
          </w:tcPr>
          <w:p>
            <w:pPr>
              <w:ind w:left="444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62"/>
              <w:spacing w:after="0"/>
              <w:rPr>
                <w:sz w:val="20"/>
                <w:szCs w:val="20"/>
                <w:color w:val="auto"/>
              </w:rPr>
            </w:pPr>
            <w:r>
              <w:rPr>
                <w:rFonts w:ascii="Arial" w:cs="Arial" w:eastAsia="Arial" w:hAnsi="Arial"/>
                <w:sz w:val="18"/>
                <w:szCs w:val="18"/>
                <w:color w:val="auto"/>
              </w:rPr>
              <w:t>(7)</w:t>
            </w:r>
          </w:p>
        </w:tc>
        <w:tc>
          <w:tcPr>
            <w:tcW w:w="1040" w:type="dxa"/>
            <w:vAlign w:val="bottom"/>
          </w:tcPr>
          <w:p>
            <w:pPr>
              <w:ind w:left="6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3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Cash flows on transfers</w:t>
            </w:r>
          </w:p>
        </w:tc>
        <w:tc>
          <w:tcPr>
            <w:tcW w:w="3240" w:type="dxa"/>
            <w:vAlign w:val="bottom"/>
            <w:shd w:val="clear" w:color="auto" w:fill="E5E5E5"/>
          </w:tcPr>
          <w:p>
            <w:pPr>
              <w:spacing w:after="0"/>
              <w:rPr>
                <w:sz w:val="18"/>
                <w:szCs w:val="18"/>
                <w:color w:val="auto"/>
              </w:rPr>
            </w:pPr>
          </w:p>
        </w:tc>
        <w:tc>
          <w:tcPr>
            <w:tcW w:w="1340" w:type="dxa"/>
            <w:vAlign w:val="bottom"/>
            <w:shd w:val="clear" w:color="auto" w:fill="E5E5E5"/>
          </w:tcPr>
          <w:p>
            <w:pPr>
              <w:spacing w:after="0"/>
              <w:rPr>
                <w:sz w:val="18"/>
                <w:szCs w:val="18"/>
                <w:color w:val="auto"/>
              </w:rPr>
            </w:pPr>
          </w:p>
        </w:tc>
        <w:tc>
          <w:tcPr>
            <w:tcW w:w="170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94"/>
              </w:rPr>
              <w:t>Net proceeds (payments) on transfers</w:t>
            </w:r>
          </w:p>
        </w:tc>
        <w:tc>
          <w:tcPr>
            <w:tcW w:w="4580" w:type="dxa"/>
            <w:vAlign w:val="bottom"/>
            <w:tcBorders>
              <w:bottom w:val="single" w:sz="8" w:color="auto"/>
            </w:tcBorders>
            <w:gridSpan w:val="2"/>
          </w:tcPr>
          <w:p>
            <w:pPr>
              <w:ind w:left="444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ind w:right="562"/>
              <w:spacing w:after="0"/>
              <w:rPr>
                <w:sz w:val="20"/>
                <w:szCs w:val="20"/>
                <w:color w:val="auto"/>
              </w:rPr>
            </w:pPr>
            <w:r>
              <w:rPr>
                <w:rFonts w:ascii="Arial" w:cs="Arial" w:eastAsia="Arial" w:hAnsi="Arial"/>
                <w:sz w:val="18"/>
                <w:szCs w:val="18"/>
                <w:color w:val="auto"/>
              </w:rPr>
              <w:t>(168)</w:t>
            </w:r>
          </w:p>
        </w:tc>
        <w:tc>
          <w:tcPr>
            <w:tcW w:w="104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397"/>
        </w:trPr>
        <w:tc>
          <w:tcPr>
            <w:tcW w:w="3320" w:type="dxa"/>
            <w:vAlign w:val="bottom"/>
          </w:tcPr>
          <w:p>
            <w:pPr>
              <w:spacing w:after="0"/>
              <w:rPr>
                <w:sz w:val="24"/>
                <w:szCs w:val="24"/>
                <w:color w:val="auto"/>
              </w:rPr>
            </w:pPr>
          </w:p>
        </w:tc>
        <w:tc>
          <w:tcPr>
            <w:tcW w:w="4580" w:type="dxa"/>
            <w:vAlign w:val="bottom"/>
            <w:gridSpan w:val="2"/>
          </w:tcPr>
          <w:p>
            <w:pPr>
              <w:ind w:left="260"/>
              <w:spacing w:after="0"/>
              <w:rPr>
                <w:sz w:val="20"/>
                <w:szCs w:val="20"/>
                <w:color w:val="auto"/>
              </w:rPr>
            </w:pPr>
            <w:r>
              <w:rPr>
                <w:rFonts w:ascii="Arial" w:cs="Arial" w:eastAsia="Arial" w:hAnsi="Arial"/>
                <w:sz w:val="18"/>
                <w:szCs w:val="18"/>
                <w:b w:val="1"/>
                <w:bCs w:val="1"/>
                <w:color w:val="auto"/>
                <w:w w:val="97"/>
              </w:rPr>
              <w:t>Receivables Monetized and Deferred Consideration</w:t>
            </w:r>
          </w:p>
        </w:tc>
        <w:tc>
          <w:tcPr>
            <w:tcW w:w="1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3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20" w:type="dxa"/>
            <w:vAlign w:val="bottom"/>
            <w:gridSpan w:val="2"/>
          </w:tcPr>
          <w:p>
            <w:pPr>
              <w:jc w:val="right"/>
              <w:ind w:right="19"/>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59"/>
        </w:trPr>
        <w:tc>
          <w:tcPr>
            <w:tcW w:w="33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32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9"/>
              <w:spacing w:after="0" w:line="159"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10"/>
        </w:trPr>
        <w:tc>
          <w:tcPr>
            <w:tcW w:w="3320" w:type="dxa"/>
            <w:vAlign w:val="bottom"/>
            <w:shd w:val="clear" w:color="auto" w:fill="E5E5E5"/>
          </w:tcPr>
          <w:p>
            <w:pPr>
              <w:spacing w:after="0"/>
              <w:rPr>
                <w:sz w:val="20"/>
                <w:szCs w:val="20"/>
                <w:color w:val="auto"/>
              </w:rPr>
            </w:pPr>
            <w:r>
              <w:rPr>
                <w:rFonts w:ascii="Arial" w:cs="Arial" w:eastAsia="Arial" w:hAnsi="Arial"/>
                <w:sz w:val="18"/>
                <w:szCs w:val="18"/>
                <w:color w:val="auto"/>
              </w:rPr>
              <w:t>Monetized receivables sold</w:t>
            </w:r>
          </w:p>
        </w:tc>
        <w:tc>
          <w:tcPr>
            <w:tcW w:w="3240" w:type="dxa"/>
            <w:vAlign w:val="bottom"/>
            <w:shd w:val="clear" w:color="auto" w:fill="E5E5E5"/>
          </w:tcPr>
          <w:p>
            <w:pPr>
              <w:spacing w:after="0"/>
              <w:rPr>
                <w:sz w:val="18"/>
                <w:szCs w:val="18"/>
                <w:color w:val="auto"/>
              </w:rPr>
            </w:pPr>
          </w:p>
        </w:tc>
        <w:tc>
          <w:tcPr>
            <w:tcW w:w="1340" w:type="dxa"/>
            <w:vAlign w:val="bottom"/>
            <w:shd w:val="clear" w:color="auto" w:fill="E5E5E5"/>
          </w:tcPr>
          <w:p>
            <w:pPr>
              <w:spacing w:after="0"/>
              <w:rPr>
                <w:sz w:val="18"/>
                <w:szCs w:val="18"/>
                <w:color w:val="auto"/>
              </w:rPr>
            </w:pPr>
          </w:p>
        </w:tc>
        <w:tc>
          <w:tcPr>
            <w:tcW w:w="1700" w:type="dxa"/>
            <w:vAlign w:val="bottom"/>
            <w:shd w:val="clear" w:color="auto" w:fill="E5E5E5"/>
          </w:tcPr>
          <w:p>
            <w:pPr>
              <w:spacing w:after="0"/>
              <w:rPr>
                <w:sz w:val="18"/>
                <w:szCs w:val="18"/>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19"/>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6"/>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consideration</w:t>
            </w:r>
          </w:p>
        </w:tc>
        <w:tc>
          <w:tcPr>
            <w:tcW w:w="3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amounts presented above, we had $552 million payable to our securitization programs as of September 30, 2011. This amount represents cash receipts that are not yet remitted to the securitization program as of the balance sheet date and is recorded to accounts payable and accrued expenses related to trade creditors.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16: Commitments and Contingencies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Obligations, Commitments and Guarantees</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NBCUniversal enters into long-term commitments with third parties in the ordinary course of business, including commitments to acquire film and television programming, take-or-pay creative talent and employment agreements, and various other television commitments. Many of NBCUniversal’s employees, including writers, directors, actors, technical and production personnel and others, as well as some of its on-air and creative talent, are covered by collective bargaining agreements or works councils. Approximately 42 collective bargaining agreements covering approximately 3,600 of NBCUniversal’s full-time, part-time and full-time equivalent freelance employees on its payroll have expired or are scheduled to expire through the remainder of 2011.</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Station Venture</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NBCUniversal owns a 79.62% equity interest and a 50% voting interest in Station Venture Holdings, LLC (“Station Venture”), a variable interest entity. The remaining equity interests in Station Venture are held by LIN TV, Corp. (“LIN TV”). Station Venture holds an indirect interest in the NBC network affiliated local television stations in Dallas, Texas and San Diego, California through its ownership interests in Station Venture Operations, LP (“Station LP”), a less than wholly owned consolidated subsidiary of NBCUniversal. Station Venture is the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obligor on an $816 million senior secured note that is due in 2023 to General Electric Capital Corporation, a subsidiary of GE, as servicer. The note is nonrecourse to NBCUniversal, guaranteed by LIN TV and collateralized by substantially all of the assets of Station Venture and Station LP. In connection with the close of the NBCUniversal transaction, GE indemnified NBCUniversal for all liabilities NBCUniversal may incur as a result of any credit support, risk of loss or similar arrangement related to the senior secured note in existence prior to the close. We are not the primary beneficiary of, and accordingly do not consolidate, Station Venture. Our equity method investment in Station Venture was assigned no value in the preliminary allocation of purchase price for the NBCUniversal transaction, which is also the carrying value of our investment as of September 30, 2011. Because the assets of Station LP serve as collateral for Station Venture’s $816 million senior secured note, we have recorded a $482 million liability in our preliminary allocation of purchase price, representing the fair value of the net assets that collateralize the note.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Antitrust Cases</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are defendants in two purported class actions originally filed in December 2003 in the United States District Courts for the District of Massachusetts and the Eastern District of Pennsylvania. The potential class in the Massachusetts case, which has been transferred to the Eastern District of Pennsylvania, is our customer base in the “Boston Cluster” area, and the potential class in the Pennsylvania case is our customer base in the “Philadelphia and Chicago Clusters,” as those terms are defined in the complaints. In each case, the plaintiffs allege that certain customer exchange transactions with other cable providers resulted in unlawful horizontal market restraints in those areas and seek damages under antitrust statutes, including treble damages.</w:t>
      </w:r>
    </w:p>
    <w:p>
      <w:pPr>
        <w:spacing w:after="0" w:line="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Classes of Chicago Cluster and Philadelphia Cluster customers were certified in October 2007 and January 2010, respectively. We appealed class certification in the Philadelphia Cluster case to the Third Circuit Court of Appeals, which affirmed the class certification in August 2011 and denied our petition for a rehearing en banc in September 2011. As a result, notice to the class is being made and is expected to be completed by the end of 2011. At the same time, we intend to file a writ of certiorari with the U.S. Supreme Court asking that it review the Third Circuit Court of Appeals’ ruling. In March 2010, we moved for summary judgment dismissing all of the plaintiffs’ claims in the Philadelphia Cluster; a stay that had been issued on the summary judgment motion pending the class certification appeal was lifted upon the Third Circuit Court of Appeal’s ruling. The plaintiffs’ claims concerning the other two clusters are stayed pending determination of the Philadelphia Cluster claims.</w:t>
      </w:r>
    </w:p>
    <w:p>
      <w:pPr>
        <w:spacing w:after="0" w:line="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also are among the defendants in a purported class action filed in the United States District Court for the Central District of California in September 2007. The potential class is comprised of all persons residing in the United States who have subscribed to an expanded basic level of video service provided by one of the defendants. The plaintiffs allege that the defendants who produce video programming have entered into agreements with the defendants who distribute video programming via cable and satellite (including us), which preclude the distributor defendants from reselling channels to customers on an “unbundled” basis in violation of federal antitrust laws. The plaintiffs seek treble damages and injunctive relief requiring each distributor defendant to resell certain channels to its customers on an “unbundled” basis. In October 2009, the Central District of California issued an order dismissing the plaintiffs’ complaint with prejudice. In June 2011, a panel of the Ninth Circuit Court of Appeals affirmed the District Court’s order. In July 2011, the plaintiffs filed a petition for a panel rehearing and a rehearing en banc.</w:t>
      </w:r>
    </w:p>
    <w:p>
      <w:pPr>
        <w:spacing w:after="0" w:line="2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we are the defendant in 22 purported class actions filed in federal district courts throughout the country. All of these actions have been consolidated by the Judicial Panel on Multidistrict Litigation in the United States District Court for the Eastern District of Pennsylvania for pre-trial proceedings. In a consolidated complaint filed in November 2009 on behalf of all plaintiffs in the multidistrict litigation, the plaintiffs allege that we improperly “tie” the rental of set-top boxes to the provision of premium cable services in violation of Section 1 of the Sherman Antitrust Act, various state antitrust laws and unfair/deceptive trade practices acts in California, Illinois and Alabama. The plaintiffs also allege a claim for unjust enrichment and seek relief on behalf of a nationwide class of our premium cable customers and on behalf of subclasses consisting of premium cable customers from California, Alabama, Illinois, Pennsylvania and Washington. In January 2010, we moved to compel arbitration of the plaintiffs’ claims for unjust enrichment and violations of the unfair/deceptive trade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practices acts of Illinois and Alabama. In September 2010, the plaintiffs filed an amended complaint alleging violations of additional state antitrust laws and unfair/deceptive trade practices acts on behalf of new subclasses in Connecticut, Florida, Minnesota, Missouri, New Jersey, New Mexico and West Virginia. In the amended complaint, plaintiffs omitted their unjust enrichment claim, as well as their state law claims on behalf of the Alabama, Illinois and Pennsylvania subclasses. In June 2011, the plaintiffs filed another amended complaint alleging only violations of Section 1 of the Sherman Antitrust Act, antitrust law in Washington and unfair/deceptive trade practices acts in California and Washington. The plaintiffs seek relief on behalf of a nationwide class of our premium cable customers and on behalf of subclasses consisting of premium cable customers from California and Washington. In July 2011, we moved to compel arbitration of most of the plaintiffs’ claims and to stay the remaining claims pending arbitration.</w:t>
      </w:r>
    </w:p>
    <w:p>
      <w:pPr>
        <w:spacing w:after="0" w:line="2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West Virginia Attorney General also filed a complaint in West Virginia state court in July 2009 alleging that we improperly “tie” the rental of set-top boxes to the provision of premium cable services in violation of the West Virginia Antitrust Act and the West Virginia Consumer Credit and Protection Act. The Attorney General also alleges a claim for unjust enrichment/restitution. We removed the case to the United States District Court for West Virginia, and it was subsequently transferred to the United States District Court for the Eastern District of Pennsylvania and consolidated with the multidistrict litigation described above. In March 2010, the Eastern District of Pennsylvania denied the Attorney General’s motion to remand the case back to West Virginia state court. In June 2010, the Attorney General moved to sever and remand the portion of the claims seeking civil penalties and injunctive relief back to West Virginia state court. We filed a brief in opposition to the motion in July 2010.</w:t>
      </w:r>
    </w:p>
    <w:p>
      <w:pPr>
        <w:spacing w:after="0" w:line="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the claims in each of the pending actions described above in this item are without merit and intend to defend the actions vigorously. We cannot predict the outcome of any of the actions described above, including a range of possible loss, or how the final resolution of any such actions would impact our results of operations or cash flows for any one period or our consolidated financial position. Nevertheless, the final disposition of any of the above actions is not expected to have a material adverse effect on our consolidated financial position, but could possibly be material to our consolidated results of operations or cash flows for any one period.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and technology vendors under applicable contractual indemnification provisions. We are also subject to other legal proceedings and claims that arise in the ordinary course of our business. While the amount of ultimate liability with respect to such actions is not expected to materially affect our financial position, results of operations or cash flows, any litigation resulting from any such legal proceedings or claims could be time consuming, costly and injure our reputation.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17: Financial Data by Business Segment</w:t>
      </w:r>
    </w:p>
    <w:p>
      <w:pPr>
        <w:spacing w:after="0" w:line="8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Following the NBCUniversal transaction, we present our operations in five reportable segments: Cable Communications, Cable Networks, Broadcast Television, Filmed Entertainment and Theme Parks. The Comcast Content Business is presented with NBCUniversal’s businesses in the Cable Networks segment. The businesses of Comcast Interactive Media (previously presented in Corporate and Other) that were not contributed to NBCUniversal are included in the Cable Communications segment. We have recast our segment presentation for the three and nine months ended September 30, 2010 in order to reflect our current reportable segments. Following the acquisition of the 50% equity interest in UCDP that NBCUniversal did not already own, we revised our measure of operating performance for our Theme Parks segment. Operating income (loss) before depreciation and amortization for our Theme Parks segment now includes 100% of the results of operations of UCDP. Prior to this transaction, equity in income (loss) of investees was included in operating income (loss) before depreciation and amortization due to the significance of UCDP to the Theme Parks segment. We have recast our Theme Parks segment performance measure for the nine months ended September 30, 2011 in order to reflect our current segment performance measure. See Note 4 for additional information on the NBCUniversal and UCDP transactions.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evaluating the profitability of our operating segments, the components of net income (loss) below operating income (loss) before depreciation and amortization are not separately evaluated by our management. Our financial data by business segment is presented in the table below.</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5"/>
          </w:tcPr>
          <w:p>
            <w:pPr>
              <w:ind w:left="920"/>
              <w:spacing w:after="0"/>
              <w:rPr>
                <w:sz w:val="20"/>
                <w:szCs w:val="20"/>
                <w:color w:val="auto"/>
              </w:rPr>
            </w:pPr>
            <w:r>
              <w:rPr>
                <w:rFonts w:ascii="Arial" w:cs="Arial" w:eastAsia="Arial" w:hAnsi="Arial"/>
                <w:sz w:val="14"/>
                <w:szCs w:val="14"/>
                <w:color w:val="auto"/>
                <w:w w:val="95"/>
              </w:rPr>
              <w:t>Three Months Ended September 30, 2011</w:t>
            </w: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0" w:type="dxa"/>
            <w:vAlign w:val="bottom"/>
            <w:gridSpan w:val="2"/>
          </w:tcPr>
          <w:p>
            <w:pPr>
              <w:ind w:left="360"/>
              <w:spacing w:after="0" w:line="131" w:lineRule="exact"/>
              <w:rPr>
                <w:sz w:val="20"/>
                <w:szCs w:val="20"/>
                <w:color w:val="auto"/>
              </w:rPr>
            </w:pPr>
            <w:r>
              <w:rPr>
                <w:rFonts w:ascii="Arial" w:cs="Arial" w:eastAsia="Arial" w:hAnsi="Arial"/>
                <w:sz w:val="14"/>
                <w:szCs w:val="14"/>
                <w:color w:val="auto"/>
                <w:w w:val="92"/>
              </w:rPr>
              <w:t>Operating Income (Loss)</w:t>
            </w: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(i)</w:t>
            </w:r>
          </w:p>
        </w:tc>
        <w:tc>
          <w:tcPr>
            <w:tcW w:w="1800" w:type="dxa"/>
            <w:vAlign w:val="bottom"/>
            <w:gridSpan w:val="2"/>
          </w:tcPr>
          <w:p>
            <w:pPr>
              <w:ind w:left="360"/>
              <w:spacing w:after="0" w:line="133" w:lineRule="exact"/>
              <w:rPr>
                <w:sz w:val="20"/>
                <w:szCs w:val="20"/>
                <w:color w:val="auto"/>
              </w:rPr>
            </w:pPr>
            <w:r>
              <w:rPr>
                <w:rFonts w:ascii="Arial" w:cs="Arial" w:eastAsia="Arial" w:hAnsi="Arial"/>
                <w:sz w:val="14"/>
                <w:szCs w:val="14"/>
                <w:color w:val="auto"/>
                <w:w w:val="94"/>
              </w:rPr>
              <w:t>Before Depreciation and</w:t>
            </w:r>
          </w:p>
        </w:tc>
        <w:tc>
          <w:tcPr>
            <w:tcW w:w="1400" w:type="dxa"/>
            <w:vAlign w:val="bottom"/>
            <w:gridSpan w:val="3"/>
          </w:tcPr>
          <w:p>
            <w:pPr>
              <w:jc w:val="right"/>
              <w:spacing w:after="0" w:line="133" w:lineRule="exact"/>
              <w:rPr>
                <w:sz w:val="20"/>
                <w:szCs w:val="20"/>
                <w:color w:val="auto"/>
              </w:rPr>
            </w:pPr>
            <w:r>
              <w:rPr>
                <w:rFonts w:ascii="Arial" w:cs="Arial" w:eastAsia="Arial" w:hAnsi="Arial"/>
                <w:sz w:val="14"/>
                <w:szCs w:val="14"/>
                <w:color w:val="auto"/>
              </w:rPr>
              <w:t>Depreciation and</w:t>
            </w:r>
          </w:p>
        </w:tc>
        <w:tc>
          <w:tcPr>
            <w:tcW w:w="1840" w:type="dxa"/>
            <w:vAlign w:val="bottom"/>
            <w:gridSpan w:val="3"/>
          </w:tcPr>
          <w:p>
            <w:pPr>
              <w:ind w:left="480"/>
              <w:spacing w:after="0" w:line="133" w:lineRule="exact"/>
              <w:rPr>
                <w:sz w:val="20"/>
                <w:szCs w:val="20"/>
                <w:color w:val="auto"/>
              </w:rPr>
            </w:pPr>
            <w:r>
              <w:rPr>
                <w:rFonts w:ascii="Arial" w:cs="Arial" w:eastAsia="Arial" w:hAnsi="Arial"/>
                <w:sz w:val="14"/>
                <w:szCs w:val="14"/>
                <w:color w:val="auto"/>
              </w:rPr>
              <w:t>Operating Income</w:t>
            </w:r>
          </w:p>
        </w:tc>
        <w:tc>
          <w:tcPr>
            <w:tcW w:w="260" w:type="dxa"/>
            <w:vAlign w:val="bottom"/>
          </w:tcPr>
          <w:p>
            <w:pPr>
              <w:spacing w:after="0"/>
              <w:rPr>
                <w:sz w:val="11"/>
                <w:szCs w:val="11"/>
                <w:color w:val="auto"/>
              </w:rPr>
            </w:pPr>
          </w:p>
        </w:tc>
        <w:tc>
          <w:tcPr>
            <w:tcW w:w="680" w:type="dxa"/>
            <w:vAlign w:val="bottom"/>
            <w:gridSpan w:val="2"/>
          </w:tcPr>
          <w:p>
            <w:pPr>
              <w:jc w:val="center"/>
              <w:ind w:right="220"/>
              <w:spacing w:after="0" w:line="133" w:lineRule="exact"/>
              <w:rPr>
                <w:sz w:val="20"/>
                <w:szCs w:val="20"/>
                <w:color w:val="auto"/>
              </w:rPr>
            </w:pPr>
            <w:r>
              <w:rPr>
                <w:rFonts w:ascii="Arial" w:cs="Arial" w:eastAsia="Arial" w:hAnsi="Arial"/>
                <w:sz w:val="14"/>
                <w:szCs w:val="14"/>
                <w:color w:val="auto"/>
                <w:w w:val="87"/>
              </w:rPr>
              <w:t>Capital</w:t>
            </w:r>
          </w:p>
        </w:tc>
        <w:tc>
          <w:tcPr>
            <w:tcW w:w="0" w:type="dxa"/>
            <w:vAlign w:val="bottom"/>
          </w:tcPr>
          <w:p>
            <w:pPr>
              <w:spacing w:after="0"/>
              <w:rPr>
                <w:sz w:val="1"/>
                <w:szCs w:val="1"/>
                <w:color w:val="auto"/>
              </w:rPr>
            </w:pPr>
          </w:p>
        </w:tc>
      </w:tr>
      <w:tr>
        <w:trPr>
          <w:trHeight w:val="176"/>
        </w:trPr>
        <w:tc>
          <w:tcPr>
            <w:tcW w:w="42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1280" w:type="dxa"/>
            <w:vAlign w:val="bottom"/>
          </w:tcPr>
          <w:p>
            <w:pPr>
              <w:jc w:val="right"/>
              <w:ind w:right="276"/>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(j)</w:t>
            </w:r>
          </w:p>
        </w:tc>
        <w:tc>
          <w:tcPr>
            <w:tcW w:w="540" w:type="dxa"/>
            <w:vAlign w:val="bottom"/>
          </w:tcPr>
          <w:p>
            <w:pPr>
              <w:spacing w:after="0"/>
              <w:rPr>
                <w:sz w:val="15"/>
                <w:szCs w:val="15"/>
                <w:color w:val="auto"/>
              </w:rPr>
            </w:pPr>
          </w:p>
        </w:tc>
        <w:tc>
          <w:tcPr>
            <w:tcW w:w="860" w:type="dxa"/>
            <w:vAlign w:val="bottom"/>
            <w:gridSpan w:val="2"/>
          </w:tcPr>
          <w:p>
            <w:pPr>
              <w:jc w:val="right"/>
              <w:ind w:right="33"/>
              <w:spacing w:after="0"/>
              <w:rPr>
                <w:sz w:val="20"/>
                <w:szCs w:val="20"/>
                <w:color w:val="auto"/>
              </w:rPr>
            </w:pPr>
            <w:r>
              <w:rPr>
                <w:rFonts w:ascii="Arial" w:cs="Arial" w:eastAsia="Arial" w:hAnsi="Arial"/>
                <w:sz w:val="14"/>
                <w:szCs w:val="14"/>
                <w:color w:val="auto"/>
                <w:w w:val="92"/>
              </w:rPr>
              <w:t>Amortization</w:t>
            </w:r>
          </w:p>
        </w:tc>
        <w:tc>
          <w:tcPr>
            <w:tcW w:w="760" w:type="dxa"/>
            <w:vAlign w:val="bottom"/>
          </w:tcPr>
          <w:p>
            <w:pPr>
              <w:spacing w:after="0"/>
              <w:rPr>
                <w:sz w:val="15"/>
                <w:szCs w:val="15"/>
                <w:color w:val="auto"/>
              </w:rPr>
            </w:pPr>
          </w:p>
        </w:tc>
        <w:tc>
          <w:tcPr>
            <w:tcW w:w="1080" w:type="dxa"/>
            <w:vAlign w:val="bottom"/>
            <w:gridSpan w:val="2"/>
          </w:tcPr>
          <w:p>
            <w:pPr>
              <w:jc w:val="right"/>
              <w:ind w:right="613"/>
              <w:spacing w:after="0"/>
              <w:rPr>
                <w:sz w:val="20"/>
                <w:szCs w:val="20"/>
                <w:color w:val="auto"/>
              </w:rPr>
            </w:pPr>
            <w:r>
              <w:rPr>
                <w:rFonts w:ascii="Arial" w:cs="Arial" w:eastAsia="Arial" w:hAnsi="Arial"/>
                <w:sz w:val="14"/>
                <w:szCs w:val="14"/>
                <w:color w:val="auto"/>
                <w:w w:val="92"/>
              </w:rPr>
              <w:t>(Loss)</w:t>
            </w:r>
          </w:p>
        </w:tc>
        <w:tc>
          <w:tcPr>
            <w:tcW w:w="940" w:type="dxa"/>
            <w:vAlign w:val="bottom"/>
            <w:gridSpan w:val="3"/>
          </w:tcPr>
          <w:p>
            <w:pPr>
              <w:ind w:left="14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w:t>
            </w:r>
          </w:p>
        </w:tc>
        <w:tc>
          <w:tcPr>
            <w:tcW w:w="520" w:type="dxa"/>
            <w:vAlign w:val="bottom"/>
            <w:tcBorders>
              <w:top w:val="single" w:sz="8" w:color="auto"/>
            </w:tcBorders>
            <w:gridSpan w:val="2"/>
            <w:shd w:val="clear" w:color="auto" w:fill="E5E5E5"/>
          </w:tcPr>
          <w:p>
            <w:pPr>
              <w:ind w:left="38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w w:val="93"/>
              </w:rPr>
              <w:t>9,331</w:t>
            </w:r>
          </w:p>
        </w:tc>
        <w:tc>
          <w:tcPr>
            <w:tcW w:w="520" w:type="dxa"/>
            <w:vAlign w:val="bottom"/>
            <w:tcBorders>
              <w:top w:val="single" w:sz="8" w:color="auto"/>
            </w:tcBorders>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3,714</w:t>
            </w:r>
          </w:p>
        </w:tc>
        <w:tc>
          <w:tcPr>
            <w:tcW w:w="540" w:type="dxa"/>
            <w:vAlign w:val="bottom"/>
            <w:tcBorders>
              <w:top w:val="single" w:sz="8" w:color="auto"/>
            </w:tcBorders>
            <w:shd w:val="clear" w:color="auto" w:fill="E5E5E5"/>
          </w:tcPr>
          <w:p>
            <w:pPr>
              <w:jc w:val="center"/>
              <w:ind w:left="381"/>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E5E5E5"/>
          </w:tcPr>
          <w:p>
            <w:pPr>
              <w:spacing w:after="0"/>
              <w:rPr>
                <w:sz w:val="18"/>
                <w:szCs w:val="18"/>
                <w:color w:val="auto"/>
              </w:rPr>
            </w:pP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4"/>
              </w:rPr>
              <w:t>1,579</w:t>
            </w:r>
          </w:p>
        </w:tc>
        <w:tc>
          <w:tcPr>
            <w:tcW w:w="760" w:type="dxa"/>
            <w:vAlign w:val="bottom"/>
            <w:tcBorders>
              <w:top w:val="single" w:sz="8" w:color="auto"/>
            </w:tcBorders>
            <w:shd w:val="clear" w:color="auto" w:fill="E5E5E5"/>
          </w:tcPr>
          <w:p>
            <w:pPr>
              <w:ind w:left="48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jc w:val="right"/>
              <w:ind w:right="273"/>
              <w:spacing w:after="0"/>
              <w:rPr>
                <w:sz w:val="20"/>
                <w:szCs w:val="20"/>
                <w:color w:val="auto"/>
              </w:rPr>
            </w:pPr>
            <w:r>
              <w:rPr>
                <w:rFonts w:ascii="Arial" w:cs="Arial" w:eastAsia="Arial" w:hAnsi="Arial"/>
                <w:sz w:val="18"/>
                <w:szCs w:val="18"/>
                <w:color w:val="auto"/>
                <w:w w:val="84"/>
              </w:rPr>
              <w:t>2,135</w:t>
            </w:r>
          </w:p>
        </w:tc>
        <w:tc>
          <w:tcPr>
            <w:tcW w:w="260" w:type="dxa"/>
            <w:vAlign w:val="bottom"/>
            <w:tcBorders>
              <w:top w:val="single" w:sz="8" w:color="auto"/>
            </w:tcBorders>
            <w:shd w:val="clear" w:color="auto" w:fill="E5E5E5"/>
          </w:tcPr>
          <w:p>
            <w:pPr>
              <w:ind w:left="1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NBCUniversal:</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(b)</w:t>
            </w:r>
          </w:p>
        </w:tc>
        <w:tc>
          <w:tcPr>
            <w:tcW w:w="34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93"/>
              </w:rPr>
              <w:t>2,097</w:t>
            </w:r>
          </w:p>
        </w:tc>
        <w:tc>
          <w:tcPr>
            <w:tcW w:w="520" w:type="dxa"/>
            <w:vAlign w:val="bottom"/>
            <w:shd w:val="clear" w:color="auto" w:fill="E5E5E5"/>
          </w:tcPr>
          <w:p>
            <w:pPr>
              <w:spacing w:after="0"/>
              <w:rPr>
                <w:sz w:val="18"/>
                <w:szCs w:val="18"/>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751</w:t>
            </w:r>
          </w:p>
        </w:tc>
        <w:tc>
          <w:tcPr>
            <w:tcW w:w="5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183</w:t>
            </w:r>
          </w:p>
        </w:tc>
        <w:tc>
          <w:tcPr>
            <w:tcW w:w="7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568</w:t>
            </w:r>
          </w:p>
        </w:tc>
        <w:tc>
          <w:tcPr>
            <w:tcW w:w="260" w:type="dxa"/>
            <w:vAlign w:val="bottom"/>
            <w:shd w:val="clear" w:color="auto" w:fill="E5E5E5"/>
          </w:tcPr>
          <w:p>
            <w:pPr>
              <w:spacing w:after="0"/>
              <w:rPr>
                <w:sz w:val="18"/>
                <w:szCs w:val="18"/>
                <w:color w:val="auto"/>
              </w:rPr>
            </w:pPr>
          </w:p>
        </w:tc>
        <w:tc>
          <w:tcPr>
            <w:tcW w:w="68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Broadcast Television</w:t>
            </w:r>
            <w:r>
              <w:rPr>
                <w:rFonts w:ascii="Arial" w:cs="Arial" w:eastAsia="Arial" w:hAnsi="Arial"/>
                <w:sz w:val="11"/>
                <w:szCs w:val="11"/>
                <w:color w:val="auto"/>
              </w:rPr>
              <w:t>(c)</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112"/>
              <w:spacing w:after="0"/>
              <w:rPr>
                <w:sz w:val="20"/>
                <w:szCs w:val="20"/>
                <w:color w:val="auto"/>
              </w:rPr>
            </w:pPr>
            <w:r>
              <w:rPr>
                <w:rFonts w:ascii="Arial" w:cs="Arial" w:eastAsia="Arial" w:hAnsi="Arial"/>
                <w:sz w:val="18"/>
                <w:szCs w:val="18"/>
                <w:color w:val="auto"/>
                <w:w w:val="93"/>
              </w:rPr>
              <w:t>1,511</w:t>
            </w:r>
          </w:p>
        </w:tc>
        <w:tc>
          <w:tcPr>
            <w:tcW w:w="5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233"/>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Filmed Entertainment</w:t>
            </w:r>
            <w:r>
              <w:rPr>
                <w:rFonts w:ascii="Arial" w:cs="Arial" w:eastAsia="Arial" w:hAnsi="Arial"/>
                <w:sz w:val="11"/>
                <w:szCs w:val="11"/>
                <w:color w:val="auto"/>
              </w:rPr>
              <w:t>(d)</w:t>
            </w:r>
          </w:p>
        </w:tc>
        <w:tc>
          <w:tcPr>
            <w:tcW w:w="34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93"/>
              </w:rPr>
              <w:t>1,096</w:t>
            </w:r>
          </w:p>
        </w:tc>
        <w:tc>
          <w:tcPr>
            <w:tcW w:w="520" w:type="dxa"/>
            <w:vAlign w:val="bottom"/>
            <w:shd w:val="clear" w:color="auto" w:fill="E5E5E5"/>
          </w:tcPr>
          <w:p>
            <w:pPr>
              <w:spacing w:after="0"/>
              <w:rPr>
                <w:sz w:val="18"/>
                <w:szCs w:val="18"/>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54</w:t>
            </w:r>
          </w:p>
        </w:tc>
        <w:tc>
          <w:tcPr>
            <w:tcW w:w="5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w:t>
            </w:r>
          </w:p>
        </w:tc>
        <w:tc>
          <w:tcPr>
            <w:tcW w:w="7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48</w:t>
            </w:r>
          </w:p>
        </w:tc>
        <w:tc>
          <w:tcPr>
            <w:tcW w:w="260" w:type="dxa"/>
            <w:vAlign w:val="bottom"/>
            <w:shd w:val="clear" w:color="auto" w:fill="E5E5E5"/>
          </w:tcPr>
          <w:p>
            <w:pPr>
              <w:spacing w:after="0"/>
              <w:rPr>
                <w:sz w:val="18"/>
                <w:szCs w:val="18"/>
                <w:color w:val="auto"/>
              </w:rPr>
            </w:pPr>
          </w:p>
        </w:tc>
        <w:tc>
          <w:tcPr>
            <w:tcW w:w="68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Theme Parks</w:t>
            </w:r>
            <w:r>
              <w:rPr>
                <w:rFonts w:ascii="Arial" w:cs="Arial" w:eastAsia="Arial" w:hAnsi="Arial"/>
                <w:sz w:val="11"/>
                <w:szCs w:val="11"/>
                <w:color w:val="auto"/>
              </w:rPr>
              <w:t>(e)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112"/>
              <w:spacing w:after="0"/>
              <w:rPr>
                <w:sz w:val="20"/>
                <w:szCs w:val="20"/>
                <w:color w:val="auto"/>
              </w:rPr>
            </w:pPr>
            <w:r>
              <w:rPr>
                <w:rFonts w:ascii="Arial" w:cs="Arial" w:eastAsia="Arial" w:hAnsi="Arial"/>
                <w:sz w:val="18"/>
                <w:szCs w:val="18"/>
                <w:color w:val="auto"/>
              </w:rPr>
              <w:t>580</w:t>
            </w:r>
          </w:p>
        </w:tc>
        <w:tc>
          <w:tcPr>
            <w:tcW w:w="5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285</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63</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273"/>
              <w:spacing w:after="0"/>
              <w:rPr>
                <w:sz w:val="20"/>
                <w:szCs w:val="20"/>
                <w:color w:val="auto"/>
              </w:rPr>
            </w:pPr>
            <w:r>
              <w:rPr>
                <w:rFonts w:ascii="Arial" w:cs="Arial" w:eastAsia="Arial" w:hAnsi="Arial"/>
                <w:sz w:val="18"/>
                <w:szCs w:val="18"/>
                <w:color w:val="auto"/>
              </w:rPr>
              <w:t>222</w:t>
            </w: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(f)</w:t>
            </w:r>
          </w:p>
        </w:tc>
        <w:tc>
          <w:tcPr>
            <w:tcW w:w="34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9</w:t>
            </w:r>
          </w:p>
        </w:tc>
        <w:tc>
          <w:tcPr>
            <w:tcW w:w="520" w:type="dxa"/>
            <w:vAlign w:val="bottom"/>
            <w:shd w:val="clear" w:color="auto" w:fill="E5E5E5"/>
          </w:tcPr>
          <w:p>
            <w:pPr>
              <w:spacing w:after="0"/>
              <w:rPr>
                <w:sz w:val="18"/>
                <w:szCs w:val="18"/>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(132)</w:t>
            </w:r>
          </w:p>
        </w:tc>
        <w:tc>
          <w:tcPr>
            <w:tcW w:w="5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56</w:t>
            </w:r>
          </w:p>
        </w:tc>
        <w:tc>
          <w:tcPr>
            <w:tcW w:w="7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w w:val="99"/>
              </w:rPr>
              <w:t>(188)</w:t>
            </w:r>
          </w:p>
        </w:tc>
        <w:tc>
          <w:tcPr>
            <w:tcW w:w="260" w:type="dxa"/>
            <w:vAlign w:val="bottom"/>
            <w:shd w:val="clear" w:color="auto" w:fill="E5E5E5"/>
          </w:tcPr>
          <w:p>
            <w:pPr>
              <w:spacing w:after="0"/>
              <w:rPr>
                <w:sz w:val="18"/>
                <w:szCs w:val="18"/>
                <w:color w:val="auto"/>
              </w:rPr>
            </w:pPr>
          </w:p>
        </w:tc>
        <w:tc>
          <w:tcPr>
            <w:tcW w:w="68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(g)</w:t>
            </w:r>
          </w:p>
        </w:tc>
        <w:tc>
          <w:tcPr>
            <w:tcW w:w="3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(93)</w:t>
            </w:r>
          </w:p>
        </w:tc>
        <w:tc>
          <w:tcPr>
            <w:tcW w:w="5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E5E5E5"/>
          </w:tcPr>
          <w:p>
            <w:pPr>
              <w:spacing w:after="0"/>
              <w:rPr>
                <w:sz w:val="20"/>
                <w:szCs w:val="20"/>
                <w:color w:val="auto"/>
              </w:rPr>
            </w:pPr>
            <w:r>
              <w:rPr>
                <w:rFonts w:ascii="Arial" w:cs="Arial" w:eastAsia="Arial" w:hAnsi="Arial"/>
                <w:sz w:val="18"/>
                <w:szCs w:val="18"/>
                <w:color w:val="auto"/>
              </w:rPr>
              <w:t>NBCUniversal</w:t>
            </w:r>
          </w:p>
        </w:tc>
        <w:tc>
          <w:tcPr>
            <w:tcW w:w="34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93"/>
              </w:rPr>
              <w:t>5,200</w:t>
            </w:r>
          </w:p>
        </w:tc>
        <w:tc>
          <w:tcPr>
            <w:tcW w:w="520" w:type="dxa"/>
            <w:vAlign w:val="bottom"/>
            <w:shd w:val="clear" w:color="auto" w:fill="E5E5E5"/>
          </w:tcPr>
          <w:p>
            <w:pPr>
              <w:spacing w:after="0"/>
              <w:rPr>
                <w:sz w:val="18"/>
                <w:szCs w:val="18"/>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951</w:t>
            </w:r>
          </w:p>
        </w:tc>
        <w:tc>
          <w:tcPr>
            <w:tcW w:w="5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332</w:t>
            </w:r>
          </w:p>
        </w:tc>
        <w:tc>
          <w:tcPr>
            <w:tcW w:w="7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619</w:t>
            </w:r>
          </w:p>
        </w:tc>
        <w:tc>
          <w:tcPr>
            <w:tcW w:w="260" w:type="dxa"/>
            <w:vAlign w:val="bottom"/>
            <w:shd w:val="clear" w:color="auto" w:fill="E5E5E5"/>
          </w:tcPr>
          <w:p>
            <w:pPr>
              <w:spacing w:after="0"/>
              <w:rPr>
                <w:sz w:val="18"/>
                <w:szCs w:val="18"/>
                <w:color w:val="auto"/>
              </w:rPr>
            </w:pPr>
          </w:p>
        </w:tc>
        <w:tc>
          <w:tcPr>
            <w:tcW w:w="68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1"/>
                <w:szCs w:val="11"/>
                <w:color w:val="auto"/>
              </w:rPr>
              <w:t>(h)</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112"/>
              <w:spacing w:after="0"/>
              <w:rPr>
                <w:sz w:val="20"/>
                <w:szCs w:val="20"/>
                <w:color w:val="auto"/>
              </w:rPr>
            </w:pPr>
            <w:r>
              <w:rPr>
                <w:rFonts w:ascii="Arial" w:cs="Arial" w:eastAsia="Arial" w:hAnsi="Arial"/>
                <w:sz w:val="18"/>
                <w:szCs w:val="18"/>
                <w:color w:val="auto"/>
              </w:rPr>
              <w:t>107</w:t>
            </w:r>
          </w:p>
        </w:tc>
        <w:tc>
          <w:tcPr>
            <w:tcW w:w="5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233"/>
              <w:spacing w:after="0"/>
              <w:rPr>
                <w:sz w:val="20"/>
                <w:szCs w:val="20"/>
                <w:color w:val="auto"/>
              </w:rPr>
            </w:pPr>
            <w:r>
              <w:rPr>
                <w:rFonts w:ascii="Arial" w:cs="Arial" w:eastAsia="Arial" w:hAnsi="Arial"/>
                <w:sz w:val="18"/>
                <w:szCs w:val="18"/>
                <w:color w:val="auto"/>
                <w:w w:val="99"/>
              </w:rPr>
              <w:t>(114)</w:t>
            </w: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(g)</w:t>
            </w:r>
          </w:p>
        </w:tc>
        <w:tc>
          <w:tcPr>
            <w:tcW w:w="340" w:type="dxa"/>
            <w:vAlign w:val="bottom"/>
            <w:tcBorders>
              <w:bottom w:val="single" w:sz="8" w:color="auto"/>
            </w:tcBorders>
            <w:shd w:val="clear" w:color="auto" w:fill="E5E5E5"/>
          </w:tcPr>
          <w:p>
            <w:pPr>
              <w:spacing w:after="0"/>
              <w:rPr>
                <w:sz w:val="18"/>
                <w:szCs w:val="18"/>
                <w:color w:val="auto"/>
              </w:rPr>
            </w:pPr>
          </w:p>
        </w:tc>
        <w:tc>
          <w:tcPr>
            <w:tcW w:w="18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(299)</w:t>
            </w:r>
          </w:p>
        </w:tc>
        <w:tc>
          <w:tcPr>
            <w:tcW w:w="520" w:type="dxa"/>
            <w:vAlign w:val="bottom"/>
            <w:tcBorders>
              <w:bottom w:val="single" w:sz="8" w:color="auto"/>
            </w:tcBorders>
            <w:shd w:val="clear" w:color="auto" w:fill="E5E5E5"/>
          </w:tcPr>
          <w:p>
            <w:pPr>
              <w:spacing w:after="0"/>
              <w:rPr>
                <w:sz w:val="18"/>
                <w:szCs w:val="18"/>
                <w:color w:val="auto"/>
              </w:rPr>
            </w:pPr>
          </w:p>
        </w:tc>
        <w:tc>
          <w:tcPr>
            <w:tcW w:w="1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1180" w:type="dxa"/>
            <w:vAlign w:val="bottom"/>
            <w:tcBorders>
              <w:bottom w:val="single" w:sz="8" w:color="auto"/>
            </w:tcBorders>
            <w:gridSpan w:val="2"/>
            <w:shd w:val="clear" w:color="auto" w:fill="E5E5E5"/>
          </w:tcPr>
          <w:p>
            <w:pPr>
              <w:jc w:val="right"/>
              <w:ind w:right="636"/>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273"/>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Comcast Consolidated</w:t>
            </w:r>
          </w:p>
        </w:tc>
        <w:tc>
          <w:tcPr>
            <w:tcW w:w="116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8"/>
                <w:szCs w:val="18"/>
                <w:color w:val="auto"/>
              </w:rPr>
              <w:t>$14,339</w:t>
            </w:r>
          </w:p>
        </w:tc>
        <w:tc>
          <w:tcPr>
            <w:tcW w:w="5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4,574</w:t>
            </w:r>
          </w:p>
        </w:tc>
        <w:tc>
          <w:tcPr>
            <w:tcW w:w="540" w:type="dxa"/>
            <w:vAlign w:val="bottom"/>
            <w:tcBorders>
              <w:bottom w:val="single" w:sz="8" w:color="auto"/>
            </w:tcBorders>
          </w:tcPr>
          <w:p>
            <w:pPr>
              <w:jc w:val="center"/>
              <w:ind w:left="381"/>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1,933</w:t>
            </w:r>
          </w:p>
        </w:tc>
        <w:tc>
          <w:tcPr>
            <w:tcW w:w="7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w w:val="84"/>
              </w:rPr>
              <w:t>2,641</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5"/>
          </w:tcPr>
          <w:p>
            <w:pPr>
              <w:ind w:left="920"/>
              <w:spacing w:after="0"/>
              <w:rPr>
                <w:sz w:val="20"/>
                <w:szCs w:val="20"/>
                <w:color w:val="auto"/>
              </w:rPr>
            </w:pPr>
            <w:r>
              <w:rPr>
                <w:rFonts w:ascii="Arial" w:cs="Arial" w:eastAsia="Arial" w:hAnsi="Arial"/>
                <w:sz w:val="14"/>
                <w:szCs w:val="14"/>
                <w:color w:val="auto"/>
                <w:w w:val="95"/>
              </w:rPr>
              <w:t>Three Months Ended September 30, 2010</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0" w:type="dxa"/>
            <w:vAlign w:val="bottom"/>
            <w:gridSpan w:val="2"/>
          </w:tcPr>
          <w:p>
            <w:pPr>
              <w:ind w:left="360"/>
              <w:spacing w:after="0" w:line="131" w:lineRule="exact"/>
              <w:rPr>
                <w:sz w:val="20"/>
                <w:szCs w:val="20"/>
                <w:color w:val="auto"/>
              </w:rPr>
            </w:pPr>
            <w:r>
              <w:rPr>
                <w:rFonts w:ascii="Arial" w:cs="Arial" w:eastAsia="Arial" w:hAnsi="Arial"/>
                <w:sz w:val="14"/>
                <w:szCs w:val="14"/>
                <w:color w:val="auto"/>
                <w:w w:val="92"/>
              </w:rPr>
              <w:t>Operating Income (Loss)</w:t>
            </w: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(i)</w:t>
            </w:r>
          </w:p>
        </w:tc>
        <w:tc>
          <w:tcPr>
            <w:tcW w:w="1800" w:type="dxa"/>
            <w:vAlign w:val="bottom"/>
            <w:gridSpan w:val="2"/>
          </w:tcPr>
          <w:p>
            <w:pPr>
              <w:ind w:left="360"/>
              <w:spacing w:after="0" w:line="133" w:lineRule="exact"/>
              <w:rPr>
                <w:sz w:val="20"/>
                <w:szCs w:val="20"/>
                <w:color w:val="auto"/>
              </w:rPr>
            </w:pPr>
            <w:r>
              <w:rPr>
                <w:rFonts w:ascii="Arial" w:cs="Arial" w:eastAsia="Arial" w:hAnsi="Arial"/>
                <w:sz w:val="14"/>
                <w:szCs w:val="14"/>
                <w:color w:val="auto"/>
                <w:w w:val="94"/>
              </w:rPr>
              <w:t>Before Depreciation and</w:t>
            </w:r>
          </w:p>
        </w:tc>
        <w:tc>
          <w:tcPr>
            <w:tcW w:w="1400" w:type="dxa"/>
            <w:vAlign w:val="bottom"/>
            <w:gridSpan w:val="3"/>
          </w:tcPr>
          <w:p>
            <w:pPr>
              <w:ind w:left="420"/>
              <w:spacing w:after="0" w:line="133" w:lineRule="exact"/>
              <w:rPr>
                <w:sz w:val="20"/>
                <w:szCs w:val="20"/>
                <w:color w:val="auto"/>
              </w:rPr>
            </w:pPr>
            <w:r>
              <w:rPr>
                <w:rFonts w:ascii="Arial" w:cs="Arial" w:eastAsia="Arial" w:hAnsi="Arial"/>
                <w:sz w:val="14"/>
                <w:szCs w:val="14"/>
                <w:color w:val="auto"/>
                <w:w w:val="90"/>
              </w:rPr>
              <w:t>Depreciation and</w:t>
            </w:r>
          </w:p>
        </w:tc>
        <w:tc>
          <w:tcPr>
            <w:tcW w:w="1840" w:type="dxa"/>
            <w:vAlign w:val="bottom"/>
            <w:gridSpan w:val="3"/>
          </w:tcPr>
          <w:p>
            <w:pPr>
              <w:ind w:left="480"/>
              <w:spacing w:after="0" w:line="133" w:lineRule="exact"/>
              <w:rPr>
                <w:sz w:val="20"/>
                <w:szCs w:val="20"/>
                <w:color w:val="auto"/>
              </w:rPr>
            </w:pPr>
            <w:r>
              <w:rPr>
                <w:rFonts w:ascii="Arial" w:cs="Arial" w:eastAsia="Arial" w:hAnsi="Arial"/>
                <w:sz w:val="14"/>
                <w:szCs w:val="14"/>
                <w:color w:val="auto"/>
              </w:rPr>
              <w:t>Operating Income</w:t>
            </w:r>
          </w:p>
        </w:tc>
        <w:tc>
          <w:tcPr>
            <w:tcW w:w="260" w:type="dxa"/>
            <w:vAlign w:val="bottom"/>
          </w:tcPr>
          <w:p>
            <w:pPr>
              <w:spacing w:after="0"/>
              <w:rPr>
                <w:sz w:val="11"/>
                <w:szCs w:val="11"/>
                <w:color w:val="auto"/>
              </w:rPr>
            </w:pPr>
          </w:p>
        </w:tc>
        <w:tc>
          <w:tcPr>
            <w:tcW w:w="680" w:type="dxa"/>
            <w:vAlign w:val="bottom"/>
            <w:gridSpan w:val="2"/>
          </w:tcPr>
          <w:p>
            <w:pPr>
              <w:jc w:val="center"/>
              <w:ind w:right="220"/>
              <w:spacing w:after="0" w:line="133" w:lineRule="exact"/>
              <w:rPr>
                <w:sz w:val="20"/>
                <w:szCs w:val="20"/>
                <w:color w:val="auto"/>
              </w:rPr>
            </w:pPr>
            <w:r>
              <w:rPr>
                <w:rFonts w:ascii="Arial" w:cs="Arial" w:eastAsia="Arial" w:hAnsi="Arial"/>
                <w:sz w:val="14"/>
                <w:szCs w:val="14"/>
                <w:color w:val="auto"/>
                <w:w w:val="87"/>
              </w:rPr>
              <w:t>Capital</w:t>
            </w:r>
          </w:p>
        </w:tc>
        <w:tc>
          <w:tcPr>
            <w:tcW w:w="0" w:type="dxa"/>
            <w:vAlign w:val="bottom"/>
          </w:tcPr>
          <w:p>
            <w:pPr>
              <w:spacing w:after="0"/>
              <w:rPr>
                <w:sz w:val="1"/>
                <w:szCs w:val="1"/>
                <w:color w:val="auto"/>
              </w:rPr>
            </w:pPr>
          </w:p>
        </w:tc>
      </w:tr>
      <w:tr>
        <w:trPr>
          <w:trHeight w:val="176"/>
        </w:trPr>
        <w:tc>
          <w:tcPr>
            <w:tcW w:w="42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1280" w:type="dxa"/>
            <w:vAlign w:val="bottom"/>
          </w:tcPr>
          <w:p>
            <w:pPr>
              <w:jc w:val="right"/>
              <w:ind w:right="276"/>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(j)</w:t>
            </w:r>
          </w:p>
        </w:tc>
        <w:tc>
          <w:tcPr>
            <w:tcW w:w="1400" w:type="dxa"/>
            <w:vAlign w:val="bottom"/>
            <w:gridSpan w:val="3"/>
          </w:tcPr>
          <w:p>
            <w:pPr>
              <w:jc w:val="right"/>
              <w:ind w:right="53"/>
              <w:spacing w:after="0"/>
              <w:rPr>
                <w:sz w:val="20"/>
                <w:szCs w:val="20"/>
                <w:color w:val="auto"/>
              </w:rPr>
            </w:pPr>
            <w:r>
              <w:rPr>
                <w:rFonts w:ascii="Arial" w:cs="Arial" w:eastAsia="Arial" w:hAnsi="Arial"/>
                <w:sz w:val="14"/>
                <w:szCs w:val="14"/>
                <w:color w:val="auto"/>
              </w:rPr>
              <w:t>Amortization</w:t>
            </w:r>
          </w:p>
        </w:tc>
        <w:tc>
          <w:tcPr>
            <w:tcW w:w="760" w:type="dxa"/>
            <w:vAlign w:val="bottom"/>
          </w:tcPr>
          <w:p>
            <w:pPr>
              <w:spacing w:after="0"/>
              <w:rPr>
                <w:sz w:val="15"/>
                <w:szCs w:val="15"/>
                <w:color w:val="auto"/>
              </w:rPr>
            </w:pPr>
          </w:p>
        </w:tc>
        <w:tc>
          <w:tcPr>
            <w:tcW w:w="1080" w:type="dxa"/>
            <w:vAlign w:val="bottom"/>
            <w:gridSpan w:val="2"/>
          </w:tcPr>
          <w:p>
            <w:pPr>
              <w:jc w:val="right"/>
              <w:ind w:right="613"/>
              <w:spacing w:after="0"/>
              <w:rPr>
                <w:sz w:val="20"/>
                <w:szCs w:val="20"/>
                <w:color w:val="auto"/>
              </w:rPr>
            </w:pPr>
            <w:r>
              <w:rPr>
                <w:rFonts w:ascii="Arial" w:cs="Arial" w:eastAsia="Arial" w:hAnsi="Arial"/>
                <w:sz w:val="14"/>
                <w:szCs w:val="14"/>
                <w:color w:val="auto"/>
                <w:w w:val="92"/>
              </w:rPr>
              <w:t>(Loss)</w:t>
            </w:r>
          </w:p>
        </w:tc>
        <w:tc>
          <w:tcPr>
            <w:tcW w:w="940" w:type="dxa"/>
            <w:vAlign w:val="bottom"/>
            <w:gridSpan w:val="3"/>
          </w:tcPr>
          <w:p>
            <w:pPr>
              <w:ind w:left="14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w:t>
            </w:r>
          </w:p>
        </w:tc>
        <w:tc>
          <w:tcPr>
            <w:tcW w:w="520" w:type="dxa"/>
            <w:vAlign w:val="bottom"/>
            <w:tcBorders>
              <w:top w:val="single" w:sz="8" w:color="auto"/>
            </w:tcBorders>
            <w:gridSpan w:val="2"/>
            <w:shd w:val="clear" w:color="auto" w:fill="E5E5E5"/>
          </w:tcPr>
          <w:p>
            <w:pPr>
              <w:ind w:left="42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8,885</w:t>
            </w:r>
          </w:p>
        </w:tc>
        <w:tc>
          <w:tcPr>
            <w:tcW w:w="520" w:type="dxa"/>
            <w:vAlign w:val="bottom"/>
            <w:tcBorders>
              <w:top w:val="single" w:sz="8" w:color="auto"/>
            </w:tcBorders>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3,479</w:t>
            </w:r>
          </w:p>
        </w:tc>
        <w:tc>
          <w:tcPr>
            <w:tcW w:w="540" w:type="dxa"/>
            <w:vAlign w:val="bottom"/>
            <w:tcBorders>
              <w:top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color w:val="auto"/>
              </w:rPr>
              <w:t>1,547</w:t>
            </w:r>
          </w:p>
        </w:tc>
        <w:tc>
          <w:tcPr>
            <w:tcW w:w="760" w:type="dxa"/>
            <w:vAlign w:val="bottom"/>
            <w:tcBorders>
              <w:top w:val="single" w:sz="8" w:color="auto"/>
            </w:tcBorders>
            <w:shd w:val="clear" w:color="auto" w:fill="E5E5E5"/>
          </w:tcPr>
          <w:p>
            <w:pPr>
              <w:ind w:left="48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gridSpan w:val="2"/>
            <w:shd w:val="clear" w:color="auto" w:fill="E5E5E5"/>
          </w:tcPr>
          <w:p>
            <w:pPr>
              <w:jc w:val="right"/>
              <w:ind w:right="293"/>
              <w:spacing w:after="0"/>
              <w:rPr>
                <w:sz w:val="20"/>
                <w:szCs w:val="20"/>
                <w:color w:val="auto"/>
              </w:rPr>
            </w:pPr>
            <w:r>
              <w:rPr>
                <w:rFonts w:ascii="Arial" w:cs="Arial" w:eastAsia="Arial" w:hAnsi="Arial"/>
                <w:sz w:val="18"/>
                <w:szCs w:val="18"/>
                <w:color w:val="auto"/>
              </w:rPr>
              <w:t>1,932</w:t>
            </w:r>
          </w:p>
        </w:tc>
        <w:tc>
          <w:tcPr>
            <w:tcW w:w="260" w:type="dxa"/>
            <w:vAlign w:val="bottom"/>
            <w:tcBorders>
              <w:top w:val="single" w:sz="8" w:color="auto"/>
            </w:tcBorders>
            <w:shd w:val="clear" w:color="auto" w:fill="E5E5E5"/>
          </w:tcPr>
          <w:p>
            <w:pPr>
              <w:ind w:left="1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(b)</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670</w:t>
            </w:r>
          </w:p>
        </w:tc>
        <w:tc>
          <w:tcPr>
            <w:tcW w:w="5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215</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68</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293"/>
              <w:spacing w:after="0"/>
              <w:rPr>
                <w:sz w:val="20"/>
                <w:szCs w:val="20"/>
                <w:color w:val="auto"/>
              </w:rPr>
            </w:pPr>
            <w:r>
              <w:rPr>
                <w:rFonts w:ascii="Arial" w:cs="Arial" w:eastAsia="Arial" w:hAnsi="Arial"/>
                <w:sz w:val="18"/>
                <w:szCs w:val="18"/>
                <w:color w:val="auto"/>
              </w:rPr>
              <w:t>147</w:t>
            </w: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E5E5E5"/>
          </w:tcPr>
          <w:p>
            <w:pPr>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1"/>
                <w:szCs w:val="11"/>
                <w:color w:val="auto"/>
              </w:rPr>
              <w:t>(h)</w:t>
            </w:r>
          </w:p>
        </w:tc>
        <w:tc>
          <w:tcPr>
            <w:tcW w:w="34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w:t>
            </w:r>
          </w:p>
        </w:tc>
        <w:tc>
          <w:tcPr>
            <w:tcW w:w="520" w:type="dxa"/>
            <w:vAlign w:val="bottom"/>
            <w:shd w:val="clear" w:color="auto" w:fill="E5E5E5"/>
          </w:tcPr>
          <w:p>
            <w:pPr>
              <w:spacing w:after="0"/>
              <w:rPr>
                <w:sz w:val="18"/>
                <w:szCs w:val="18"/>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(115)</w:t>
            </w:r>
          </w:p>
        </w:tc>
        <w:tc>
          <w:tcPr>
            <w:tcW w:w="5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w:t>
            </w:r>
          </w:p>
        </w:tc>
        <w:tc>
          <w:tcPr>
            <w:tcW w:w="7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w w:val="99"/>
              </w:rPr>
              <w:t>(124)</w:t>
            </w:r>
          </w:p>
        </w:tc>
        <w:tc>
          <w:tcPr>
            <w:tcW w:w="260" w:type="dxa"/>
            <w:vAlign w:val="bottom"/>
            <w:shd w:val="clear" w:color="auto" w:fill="E5E5E5"/>
          </w:tcPr>
          <w:p>
            <w:pPr>
              <w:spacing w:after="0"/>
              <w:rPr>
                <w:sz w:val="18"/>
                <w:szCs w:val="18"/>
                <w:color w:val="auto"/>
              </w:rPr>
            </w:pPr>
          </w:p>
        </w:tc>
        <w:tc>
          <w:tcPr>
            <w:tcW w:w="68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(g)</w:t>
            </w:r>
          </w:p>
        </w:tc>
        <w:tc>
          <w:tcPr>
            <w:tcW w:w="3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(65)</w:t>
            </w:r>
          </w:p>
        </w:tc>
        <w:tc>
          <w:tcPr>
            <w:tcW w:w="5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5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Comcast Consolidated</w:t>
            </w:r>
          </w:p>
        </w:tc>
        <w:tc>
          <w:tcPr>
            <w:tcW w:w="520" w:type="dxa"/>
            <w:vAlign w:val="bottom"/>
            <w:tcBorders>
              <w:bottom w:val="single" w:sz="8" w:color="auto"/>
            </w:tcBorders>
            <w:gridSpan w:val="2"/>
            <w:shd w:val="clear" w:color="auto" w:fill="E5E5E5"/>
          </w:tcPr>
          <w:p>
            <w:pPr>
              <w:ind w:left="42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9,489</w:t>
            </w:r>
          </w:p>
        </w:tc>
        <w:tc>
          <w:tcPr>
            <w:tcW w:w="520" w:type="dxa"/>
            <w:vAlign w:val="bottom"/>
            <w:tcBorders>
              <w:bottom w:val="single" w:sz="8" w:color="auto"/>
            </w:tcBorders>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3,578</w:t>
            </w:r>
          </w:p>
        </w:tc>
        <w:tc>
          <w:tcPr>
            <w:tcW w:w="54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color w:val="auto"/>
              </w:rPr>
              <w:t>1,624</w:t>
            </w:r>
          </w:p>
        </w:tc>
        <w:tc>
          <w:tcPr>
            <w:tcW w:w="760" w:type="dxa"/>
            <w:vAlign w:val="bottom"/>
            <w:tcBorders>
              <w:bottom w:val="single" w:sz="8" w:color="auto"/>
            </w:tcBorders>
            <w:shd w:val="clear" w:color="auto" w:fill="E5E5E5"/>
          </w:tcPr>
          <w:p>
            <w:pPr>
              <w:ind w:left="4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2"/>
            <w:shd w:val="clear" w:color="auto" w:fill="E5E5E5"/>
          </w:tcPr>
          <w:p>
            <w:pPr>
              <w:jc w:val="right"/>
              <w:ind w:right="293"/>
              <w:spacing w:after="0"/>
              <w:rPr>
                <w:sz w:val="20"/>
                <w:szCs w:val="20"/>
                <w:color w:val="auto"/>
              </w:rPr>
            </w:pPr>
            <w:r>
              <w:rPr>
                <w:rFonts w:ascii="Arial" w:cs="Arial" w:eastAsia="Arial" w:hAnsi="Arial"/>
                <w:sz w:val="18"/>
                <w:szCs w:val="18"/>
                <w:color w:val="auto"/>
              </w:rPr>
              <w:t>1,954</w:t>
            </w:r>
          </w:p>
        </w:tc>
        <w:tc>
          <w:tcPr>
            <w:tcW w:w="26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5"/>
          </w:tcPr>
          <w:p>
            <w:pPr>
              <w:ind w:left="900"/>
              <w:spacing w:after="0"/>
              <w:rPr>
                <w:sz w:val="20"/>
                <w:szCs w:val="20"/>
                <w:color w:val="auto"/>
              </w:rPr>
            </w:pPr>
            <w:r>
              <w:rPr>
                <w:rFonts w:ascii="Arial" w:cs="Arial" w:eastAsia="Arial" w:hAnsi="Arial"/>
                <w:sz w:val="14"/>
                <w:szCs w:val="14"/>
                <w:color w:val="auto"/>
                <w:w w:val="99"/>
              </w:rPr>
              <w:t>Nine Months Ended September 30, 2011</w:t>
            </w: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0" w:type="dxa"/>
            <w:vAlign w:val="bottom"/>
            <w:gridSpan w:val="2"/>
          </w:tcPr>
          <w:p>
            <w:pPr>
              <w:ind w:left="120"/>
              <w:spacing w:after="0" w:line="131" w:lineRule="exact"/>
              <w:rPr>
                <w:sz w:val="20"/>
                <w:szCs w:val="20"/>
                <w:color w:val="auto"/>
              </w:rPr>
            </w:pPr>
            <w:r>
              <w:rPr>
                <w:rFonts w:ascii="Arial" w:cs="Arial" w:eastAsia="Arial" w:hAnsi="Arial"/>
                <w:sz w:val="14"/>
                <w:szCs w:val="14"/>
                <w:color w:val="auto"/>
              </w:rPr>
              <w:t>Operating Income (Loss)</w:t>
            </w: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vMerge w:val="restart"/>
          </w:tcPr>
          <w:p>
            <w:pPr>
              <w:jc w:val="right"/>
              <w:ind w:right="136"/>
              <w:spacing w:after="0"/>
              <w:rPr>
                <w:sz w:val="20"/>
                <w:szCs w:val="20"/>
                <w:color w:val="auto"/>
              </w:rPr>
            </w:pPr>
            <w:r>
              <w:rPr>
                <w:rFonts w:ascii="Arial" w:cs="Arial" w:eastAsia="Arial" w:hAnsi="Arial"/>
                <w:sz w:val="14"/>
                <w:szCs w:val="14"/>
                <w:color w:val="auto"/>
                <w:w w:val="84"/>
              </w:rPr>
              <w:t>Operating</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vMerge w:val="restart"/>
          </w:tcPr>
          <w:p>
            <w:pPr>
              <w:jc w:val="right"/>
              <w:ind w:right="152"/>
              <w:spacing w:after="0"/>
              <w:rPr>
                <w:sz w:val="20"/>
                <w:szCs w:val="20"/>
                <w:color w:val="auto"/>
              </w:rPr>
            </w:pPr>
            <w:r>
              <w:rPr>
                <w:rFonts w:ascii="Arial" w:cs="Arial" w:eastAsia="Arial" w:hAnsi="Arial"/>
                <w:sz w:val="14"/>
                <w:szCs w:val="14"/>
                <w:color w:val="auto"/>
                <w:w w:val="81"/>
              </w:rPr>
              <w:t>Revenue</w:t>
            </w:r>
            <w:r>
              <w:rPr>
                <w:rFonts w:ascii="Arial" w:cs="Arial" w:eastAsia="Arial" w:hAnsi="Arial"/>
                <w:sz w:val="22"/>
                <w:szCs w:val="22"/>
                <w:color w:val="auto"/>
                <w:w w:val="81"/>
                <w:vertAlign w:val="superscript"/>
              </w:rPr>
              <w:t>(i)</w:t>
            </w:r>
          </w:p>
        </w:tc>
        <w:tc>
          <w:tcPr>
            <w:tcW w:w="1800" w:type="dxa"/>
            <w:vAlign w:val="bottom"/>
            <w:gridSpan w:val="2"/>
          </w:tcPr>
          <w:p>
            <w:pPr>
              <w:ind w:left="140"/>
              <w:spacing w:after="0" w:line="133" w:lineRule="exact"/>
              <w:rPr>
                <w:sz w:val="20"/>
                <w:szCs w:val="20"/>
                <w:color w:val="auto"/>
              </w:rPr>
            </w:pPr>
            <w:r>
              <w:rPr>
                <w:rFonts w:ascii="Arial" w:cs="Arial" w:eastAsia="Arial" w:hAnsi="Arial"/>
                <w:sz w:val="14"/>
                <w:szCs w:val="14"/>
                <w:color w:val="auto"/>
              </w:rPr>
              <w:t>Before Depreciation and</w:t>
            </w:r>
          </w:p>
        </w:tc>
        <w:tc>
          <w:tcPr>
            <w:tcW w:w="980" w:type="dxa"/>
            <w:vAlign w:val="bottom"/>
            <w:gridSpan w:val="2"/>
          </w:tcPr>
          <w:p>
            <w:pPr>
              <w:jc w:val="center"/>
              <w:spacing w:after="0" w:line="133" w:lineRule="exact"/>
              <w:rPr>
                <w:sz w:val="20"/>
                <w:szCs w:val="20"/>
                <w:color w:val="auto"/>
              </w:rPr>
            </w:pPr>
            <w:r>
              <w:rPr>
                <w:rFonts w:ascii="Arial" w:cs="Arial" w:eastAsia="Arial" w:hAnsi="Arial"/>
                <w:sz w:val="14"/>
                <w:szCs w:val="14"/>
                <w:color w:val="auto"/>
                <w:w w:val="86"/>
              </w:rPr>
              <w:t>Depreciation and</w:t>
            </w:r>
          </w:p>
        </w:tc>
        <w:tc>
          <w:tcPr>
            <w:tcW w:w="4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jc w:val="right"/>
              <w:ind w:right="213"/>
              <w:spacing w:after="0" w:line="133" w:lineRule="exact"/>
              <w:rPr>
                <w:sz w:val="20"/>
                <w:szCs w:val="20"/>
                <w:color w:val="auto"/>
              </w:rPr>
            </w:pPr>
            <w:r>
              <w:rPr>
                <w:rFonts w:ascii="Arial" w:cs="Arial" w:eastAsia="Arial" w:hAnsi="Arial"/>
                <w:sz w:val="14"/>
                <w:szCs w:val="14"/>
                <w:color w:val="auto"/>
              </w:rPr>
              <w:t>Capital</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2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800" w:type="dxa"/>
            <w:vAlign w:val="bottom"/>
            <w:gridSpan w:val="2"/>
          </w:tcPr>
          <w:p>
            <w:pPr>
              <w:jc w:val="right"/>
              <w:ind w:right="496"/>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(j)</w:t>
            </w:r>
          </w:p>
        </w:tc>
        <w:tc>
          <w:tcPr>
            <w:tcW w:w="980" w:type="dxa"/>
            <w:vAlign w:val="bottom"/>
            <w:gridSpan w:val="2"/>
          </w:tcPr>
          <w:p>
            <w:pPr>
              <w:jc w:val="center"/>
              <w:spacing w:after="0"/>
              <w:rPr>
                <w:sz w:val="20"/>
                <w:szCs w:val="20"/>
                <w:color w:val="auto"/>
              </w:rPr>
            </w:pPr>
            <w:r>
              <w:rPr>
                <w:rFonts w:ascii="Arial" w:cs="Arial" w:eastAsia="Arial" w:hAnsi="Arial"/>
                <w:sz w:val="14"/>
                <w:szCs w:val="14"/>
                <w:color w:val="auto"/>
                <w:w w:val="92"/>
              </w:rPr>
              <w:t>Amortization</w:t>
            </w:r>
          </w:p>
        </w:tc>
        <w:tc>
          <w:tcPr>
            <w:tcW w:w="1180" w:type="dxa"/>
            <w:vAlign w:val="bottom"/>
            <w:gridSpan w:val="2"/>
          </w:tcPr>
          <w:p>
            <w:pPr>
              <w:jc w:val="right"/>
              <w:ind w:right="16"/>
              <w:spacing w:after="0"/>
              <w:rPr>
                <w:sz w:val="20"/>
                <w:szCs w:val="20"/>
                <w:color w:val="auto"/>
              </w:rPr>
            </w:pPr>
            <w:r>
              <w:rPr>
                <w:rFonts w:ascii="Arial" w:cs="Arial" w:eastAsia="Arial" w:hAnsi="Arial"/>
                <w:sz w:val="14"/>
                <w:szCs w:val="14"/>
                <w:color w:val="auto"/>
              </w:rPr>
              <w:t>Income (Loss)</w:t>
            </w:r>
          </w:p>
        </w:tc>
        <w:tc>
          <w:tcPr>
            <w:tcW w:w="1080" w:type="dxa"/>
            <w:vAlign w:val="bottom"/>
            <w:gridSpan w:val="2"/>
          </w:tcPr>
          <w:p>
            <w:pPr>
              <w:ind w:left="220"/>
              <w:spacing w:after="0"/>
              <w:rPr>
                <w:sz w:val="20"/>
                <w:szCs w:val="20"/>
                <w:color w:val="auto"/>
              </w:rPr>
            </w:pPr>
            <w:r>
              <w:rPr>
                <w:rFonts w:ascii="Arial" w:cs="Arial" w:eastAsia="Arial" w:hAnsi="Arial"/>
                <w:sz w:val="14"/>
                <w:szCs w:val="14"/>
                <w:color w:val="auto"/>
              </w:rPr>
              <w:t>Expenditures</w:t>
            </w:r>
          </w:p>
        </w:tc>
        <w:tc>
          <w:tcPr>
            <w:tcW w:w="260" w:type="dxa"/>
            <w:vAlign w:val="bottom"/>
          </w:tcPr>
          <w:p>
            <w:pPr>
              <w:spacing w:after="0"/>
              <w:rPr>
                <w:sz w:val="15"/>
                <w:szCs w:val="15"/>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color w:val="auto"/>
                <w:w w:val="85"/>
              </w:rPr>
              <w:t>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w:t>
            </w:r>
          </w:p>
        </w:tc>
        <w:tc>
          <w:tcPr>
            <w:tcW w:w="1160" w:type="dxa"/>
            <w:vAlign w:val="bottom"/>
            <w:tcBorders>
              <w:top w:val="single" w:sz="8" w:color="auto"/>
            </w:tcBorders>
            <w:gridSpan w:val="3"/>
            <w:shd w:val="clear" w:color="auto" w:fill="E5E5E5"/>
          </w:tcPr>
          <w:p>
            <w:pPr>
              <w:jc w:val="right"/>
              <w:ind w:right="152"/>
              <w:spacing w:after="0"/>
              <w:rPr>
                <w:sz w:val="20"/>
                <w:szCs w:val="20"/>
                <w:color w:val="auto"/>
              </w:rPr>
            </w:pPr>
            <w:r>
              <w:rPr>
                <w:rFonts w:ascii="Arial" w:cs="Arial" w:eastAsia="Arial" w:hAnsi="Arial"/>
                <w:sz w:val="18"/>
                <w:szCs w:val="18"/>
                <w:color w:val="auto"/>
              </w:rPr>
              <w:t>$27,756</w:t>
            </w:r>
          </w:p>
        </w:tc>
        <w:tc>
          <w:tcPr>
            <w:tcW w:w="520" w:type="dxa"/>
            <w:vAlign w:val="bottom"/>
            <w:tcBorders>
              <w:top w:val="single" w:sz="8" w:color="auto"/>
            </w:tcBorders>
            <w:shd w:val="clear" w:color="auto" w:fill="E5E5E5"/>
          </w:tcPr>
          <w:p>
            <w:pPr>
              <w:ind w:left="1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E5E5E5"/>
          </w:tcPr>
          <w:p>
            <w:pPr>
              <w:jc w:val="right"/>
              <w:ind w:right="236"/>
              <w:spacing w:after="0"/>
              <w:rPr>
                <w:sz w:val="20"/>
                <w:szCs w:val="20"/>
                <w:color w:val="auto"/>
              </w:rPr>
            </w:pPr>
            <w:r>
              <w:rPr>
                <w:rFonts w:ascii="Arial" w:cs="Arial" w:eastAsia="Arial" w:hAnsi="Arial"/>
                <w:sz w:val="18"/>
                <w:szCs w:val="18"/>
                <w:color w:val="auto"/>
              </w:rPr>
              <w:t>11,349</w:t>
            </w:r>
          </w:p>
        </w:tc>
        <w:tc>
          <w:tcPr>
            <w:tcW w:w="540" w:type="dxa"/>
            <w:vAlign w:val="bottom"/>
            <w:tcBorders>
              <w:top w:val="single" w:sz="8" w:color="auto"/>
            </w:tcBorders>
            <w:shd w:val="clear" w:color="auto" w:fill="E5E5E5"/>
          </w:tcPr>
          <w:p>
            <w:pPr>
              <w:jc w:val="right"/>
              <w:ind w:right="341"/>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8"/>
              </w:rPr>
              <w:t>4,791</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6,558</w:t>
            </w:r>
          </w:p>
        </w:tc>
        <w:tc>
          <w:tcPr>
            <w:tcW w:w="320" w:type="dxa"/>
            <w:vAlign w:val="bottom"/>
            <w:tcBorders>
              <w:top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3,488</w:t>
            </w:r>
          </w:p>
        </w:tc>
        <w:tc>
          <w:tcPr>
            <w:tcW w:w="940" w:type="dxa"/>
            <w:vAlign w:val="bottom"/>
            <w:tcBorders>
              <w:top w:val="single" w:sz="8" w:color="auto"/>
            </w:tcBorders>
            <w:gridSpan w:val="3"/>
            <w:shd w:val="clear" w:color="auto" w:fill="E5E5E5"/>
          </w:tcPr>
          <w:p>
            <w:pPr>
              <w:jc w:val="right"/>
              <w:ind w:right="100"/>
              <w:spacing w:after="0"/>
              <w:rPr>
                <w:sz w:val="20"/>
                <w:szCs w:val="20"/>
                <w:color w:val="auto"/>
              </w:rPr>
            </w:pPr>
            <w:r>
              <w:rPr>
                <w:rFonts w:ascii="Arial" w:cs="Arial" w:eastAsia="Arial" w:hAnsi="Arial"/>
                <w:sz w:val="18"/>
                <w:szCs w:val="18"/>
                <w:color w:val="auto"/>
              </w:rPr>
              <w:t>$ 118,561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NBCUniversal:</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(b)</w:t>
            </w:r>
          </w:p>
        </w:tc>
        <w:tc>
          <w:tcPr>
            <w:tcW w:w="34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w w:val="84"/>
              </w:rPr>
              <w:t>5,902</w:t>
            </w:r>
          </w:p>
        </w:tc>
        <w:tc>
          <w:tcPr>
            <w:tcW w:w="520" w:type="dxa"/>
            <w:vAlign w:val="bottom"/>
            <w:shd w:val="clear" w:color="auto" w:fill="E5E5E5"/>
          </w:tcPr>
          <w:p>
            <w:pPr>
              <w:spacing w:after="0"/>
              <w:rPr>
                <w:sz w:val="18"/>
                <w:szCs w:val="18"/>
                <w:color w:val="auto"/>
              </w:rPr>
            </w:pPr>
          </w:p>
        </w:tc>
        <w:tc>
          <w:tcPr>
            <w:tcW w:w="1280" w:type="dxa"/>
            <w:vAlign w:val="bottom"/>
            <w:shd w:val="clear" w:color="auto" w:fill="E5E5E5"/>
          </w:tcPr>
          <w:p>
            <w:pPr>
              <w:jc w:val="right"/>
              <w:ind w:right="236"/>
              <w:spacing w:after="0"/>
              <w:rPr>
                <w:sz w:val="20"/>
                <w:szCs w:val="20"/>
                <w:color w:val="auto"/>
              </w:rPr>
            </w:pPr>
            <w:r>
              <w:rPr>
                <w:rFonts w:ascii="Arial" w:cs="Arial" w:eastAsia="Arial" w:hAnsi="Arial"/>
                <w:sz w:val="18"/>
                <w:szCs w:val="18"/>
                <w:color w:val="auto"/>
              </w:rPr>
              <w:t>2,262</w:t>
            </w:r>
          </w:p>
        </w:tc>
        <w:tc>
          <w:tcPr>
            <w:tcW w:w="540" w:type="dxa"/>
            <w:vAlign w:val="bottom"/>
            <w:shd w:val="clear" w:color="auto" w:fill="E5E5E5"/>
          </w:tcPr>
          <w:p>
            <w:pPr>
              <w:spacing w:after="0"/>
              <w:rPr>
                <w:sz w:val="18"/>
                <w:szCs w:val="18"/>
                <w:color w:val="auto"/>
              </w:rPr>
            </w:pP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523</w:t>
            </w:r>
          </w:p>
        </w:tc>
        <w:tc>
          <w:tcPr>
            <w:tcW w:w="420" w:type="dxa"/>
            <w:vAlign w:val="bottom"/>
            <w:shd w:val="clear" w:color="auto" w:fill="E5E5E5"/>
          </w:tcPr>
          <w:p>
            <w:pPr>
              <w:spacing w:after="0"/>
              <w:rPr>
                <w:sz w:val="18"/>
                <w:szCs w:val="18"/>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1,739</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37</w:t>
            </w:r>
          </w:p>
        </w:tc>
        <w:tc>
          <w:tcPr>
            <w:tcW w:w="260" w:type="dxa"/>
            <w:vAlign w:val="bottom"/>
            <w:shd w:val="clear" w:color="auto" w:fill="E5E5E5"/>
          </w:tcPr>
          <w:p>
            <w:pPr>
              <w:spacing w:after="0"/>
              <w:rPr>
                <w:sz w:val="18"/>
                <w:szCs w:val="18"/>
                <w:color w:val="auto"/>
              </w:rPr>
            </w:pPr>
          </w:p>
        </w:tc>
        <w:tc>
          <w:tcPr>
            <w:tcW w:w="68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28,684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Broadcast Television</w:t>
            </w:r>
            <w:r>
              <w:rPr>
                <w:rFonts w:ascii="Arial" w:cs="Arial" w:eastAsia="Arial" w:hAnsi="Arial"/>
                <w:sz w:val="11"/>
                <w:szCs w:val="11"/>
                <w:color w:val="auto"/>
              </w:rPr>
              <w:t>(c)</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4,094</w:t>
            </w:r>
          </w:p>
        </w:tc>
        <w:tc>
          <w:tcPr>
            <w:tcW w:w="520" w:type="dxa"/>
            <w:vAlign w:val="bottom"/>
          </w:tcPr>
          <w:p>
            <w:pPr>
              <w:spacing w:after="0"/>
              <w:rPr>
                <w:sz w:val="18"/>
                <w:szCs w:val="18"/>
                <w:color w:val="auto"/>
              </w:rPr>
            </w:pPr>
          </w:p>
        </w:tc>
        <w:tc>
          <w:tcPr>
            <w:tcW w:w="1280" w:type="dxa"/>
            <w:vAlign w:val="bottom"/>
          </w:tcPr>
          <w:p>
            <w:pPr>
              <w:jc w:val="right"/>
              <w:ind w:right="236"/>
              <w:spacing w:after="0"/>
              <w:rPr>
                <w:sz w:val="20"/>
                <w:szCs w:val="20"/>
                <w:color w:val="auto"/>
              </w:rPr>
            </w:pPr>
            <w:r>
              <w:rPr>
                <w:rFonts w:ascii="Arial" w:cs="Arial" w:eastAsia="Arial" w:hAnsi="Arial"/>
                <w:sz w:val="18"/>
                <w:szCs w:val="18"/>
                <w:color w:val="auto"/>
              </w:rPr>
              <w:t>218</w:t>
            </w:r>
          </w:p>
        </w:tc>
        <w:tc>
          <w:tcPr>
            <w:tcW w:w="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54</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164</w:t>
            </w:r>
          </w:p>
        </w:tc>
        <w:tc>
          <w:tcPr>
            <w:tcW w:w="32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Filmed Entertainment</w:t>
            </w:r>
            <w:r>
              <w:rPr>
                <w:rFonts w:ascii="Arial" w:cs="Arial" w:eastAsia="Arial" w:hAnsi="Arial"/>
                <w:sz w:val="11"/>
                <w:szCs w:val="11"/>
                <w:color w:val="auto"/>
              </w:rPr>
              <w:t>(d)</w:t>
            </w:r>
          </w:p>
        </w:tc>
        <w:tc>
          <w:tcPr>
            <w:tcW w:w="34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w w:val="84"/>
              </w:rPr>
              <w:t>2,972</w:t>
            </w:r>
          </w:p>
        </w:tc>
        <w:tc>
          <w:tcPr>
            <w:tcW w:w="520" w:type="dxa"/>
            <w:vAlign w:val="bottom"/>
            <w:shd w:val="clear" w:color="auto" w:fill="E5E5E5"/>
          </w:tcPr>
          <w:p>
            <w:pPr>
              <w:spacing w:after="0"/>
              <w:rPr>
                <w:sz w:val="18"/>
                <w:szCs w:val="18"/>
                <w:color w:val="auto"/>
              </w:rPr>
            </w:pPr>
          </w:p>
        </w:tc>
        <w:tc>
          <w:tcPr>
            <w:tcW w:w="128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(62)</w:t>
            </w:r>
          </w:p>
        </w:tc>
        <w:tc>
          <w:tcPr>
            <w:tcW w:w="540" w:type="dxa"/>
            <w:vAlign w:val="bottom"/>
            <w:shd w:val="clear" w:color="auto" w:fill="E5E5E5"/>
          </w:tcPr>
          <w:p>
            <w:pPr>
              <w:spacing w:after="0"/>
              <w:rPr>
                <w:sz w:val="18"/>
                <w:szCs w:val="18"/>
                <w:color w:val="auto"/>
              </w:rPr>
            </w:pP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w:t>
            </w:r>
          </w:p>
        </w:tc>
        <w:tc>
          <w:tcPr>
            <w:tcW w:w="420" w:type="dxa"/>
            <w:vAlign w:val="bottom"/>
            <w:shd w:val="clear" w:color="auto" w:fill="E5E5E5"/>
          </w:tcPr>
          <w:p>
            <w:pPr>
              <w:spacing w:after="0"/>
              <w:rPr>
                <w:sz w:val="18"/>
                <w:szCs w:val="18"/>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(77)</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4</w:t>
            </w:r>
          </w:p>
        </w:tc>
        <w:tc>
          <w:tcPr>
            <w:tcW w:w="260" w:type="dxa"/>
            <w:vAlign w:val="bottom"/>
            <w:shd w:val="clear" w:color="auto" w:fill="E5E5E5"/>
          </w:tcPr>
          <w:p>
            <w:pPr>
              <w:spacing w:after="0"/>
              <w:rPr>
                <w:sz w:val="18"/>
                <w:szCs w:val="18"/>
                <w:color w:val="auto"/>
              </w:rPr>
            </w:pPr>
          </w:p>
        </w:tc>
        <w:tc>
          <w:tcPr>
            <w:tcW w:w="68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3,795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Theme Parks</w:t>
            </w:r>
            <w:r>
              <w:rPr>
                <w:rFonts w:ascii="Arial" w:cs="Arial" w:eastAsia="Arial" w:hAnsi="Arial"/>
                <w:sz w:val="11"/>
                <w:szCs w:val="11"/>
                <w:color w:val="auto"/>
              </w:rPr>
              <w:t>(e)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1,376</w:t>
            </w:r>
          </w:p>
        </w:tc>
        <w:tc>
          <w:tcPr>
            <w:tcW w:w="520" w:type="dxa"/>
            <w:vAlign w:val="bottom"/>
          </w:tcPr>
          <w:p>
            <w:pPr>
              <w:spacing w:after="0"/>
              <w:rPr>
                <w:sz w:val="18"/>
                <w:szCs w:val="18"/>
                <w:color w:val="auto"/>
              </w:rPr>
            </w:pPr>
          </w:p>
        </w:tc>
        <w:tc>
          <w:tcPr>
            <w:tcW w:w="1280" w:type="dxa"/>
            <w:vAlign w:val="bottom"/>
          </w:tcPr>
          <w:p>
            <w:pPr>
              <w:jc w:val="right"/>
              <w:ind w:right="236"/>
              <w:spacing w:after="0"/>
              <w:rPr>
                <w:sz w:val="20"/>
                <w:szCs w:val="20"/>
                <w:color w:val="auto"/>
              </w:rPr>
            </w:pPr>
            <w:r>
              <w:rPr>
                <w:rFonts w:ascii="Arial" w:cs="Arial" w:eastAsia="Arial" w:hAnsi="Arial"/>
                <w:sz w:val="18"/>
                <w:szCs w:val="18"/>
                <w:color w:val="auto"/>
              </w:rPr>
              <w:t>607</w:t>
            </w:r>
          </w:p>
        </w:tc>
        <w:tc>
          <w:tcPr>
            <w:tcW w:w="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133</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474</w:t>
            </w:r>
          </w:p>
        </w:tc>
        <w:tc>
          <w:tcPr>
            <w:tcW w:w="32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(f)</w:t>
            </w:r>
          </w:p>
        </w:tc>
        <w:tc>
          <w:tcPr>
            <w:tcW w:w="34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34</w:t>
            </w:r>
          </w:p>
        </w:tc>
        <w:tc>
          <w:tcPr>
            <w:tcW w:w="520" w:type="dxa"/>
            <w:vAlign w:val="bottom"/>
            <w:shd w:val="clear" w:color="auto" w:fill="E5E5E5"/>
          </w:tcPr>
          <w:p>
            <w:pPr>
              <w:spacing w:after="0"/>
              <w:rPr>
                <w:sz w:val="18"/>
                <w:szCs w:val="18"/>
                <w:color w:val="auto"/>
              </w:rPr>
            </w:pPr>
          </w:p>
        </w:tc>
        <w:tc>
          <w:tcPr>
            <w:tcW w:w="128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(381)</w:t>
            </w:r>
          </w:p>
        </w:tc>
        <w:tc>
          <w:tcPr>
            <w:tcW w:w="540" w:type="dxa"/>
            <w:vAlign w:val="bottom"/>
            <w:shd w:val="clear" w:color="auto" w:fill="E5E5E5"/>
          </w:tcPr>
          <w:p>
            <w:pPr>
              <w:spacing w:after="0"/>
              <w:rPr>
                <w:sz w:val="18"/>
                <w:szCs w:val="18"/>
                <w:color w:val="auto"/>
              </w:rPr>
            </w:pP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120</w:t>
            </w:r>
          </w:p>
        </w:tc>
        <w:tc>
          <w:tcPr>
            <w:tcW w:w="420" w:type="dxa"/>
            <w:vAlign w:val="bottom"/>
            <w:shd w:val="clear" w:color="auto" w:fill="E5E5E5"/>
          </w:tcPr>
          <w:p>
            <w:pPr>
              <w:spacing w:after="0"/>
              <w:rPr>
                <w:sz w:val="18"/>
                <w:szCs w:val="18"/>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(501)</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83</w:t>
            </w:r>
          </w:p>
        </w:tc>
        <w:tc>
          <w:tcPr>
            <w:tcW w:w="260" w:type="dxa"/>
            <w:vAlign w:val="bottom"/>
            <w:shd w:val="clear" w:color="auto" w:fill="E5E5E5"/>
          </w:tcPr>
          <w:p>
            <w:pPr>
              <w:spacing w:after="0"/>
              <w:rPr>
                <w:sz w:val="18"/>
                <w:szCs w:val="18"/>
                <w:color w:val="auto"/>
              </w:rPr>
            </w:pPr>
          </w:p>
        </w:tc>
        <w:tc>
          <w:tcPr>
            <w:tcW w:w="68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5,591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(g)</w:t>
            </w:r>
          </w:p>
        </w:tc>
        <w:tc>
          <w:tcPr>
            <w:tcW w:w="3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(856)</w:t>
            </w:r>
          </w:p>
        </w:tc>
        <w:tc>
          <w:tcPr>
            <w:tcW w:w="5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(234)</w:t>
            </w: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293"/>
              <w:spacing w:after="0"/>
              <w:rPr>
                <w:sz w:val="20"/>
                <w:szCs w:val="20"/>
                <w:color w:val="auto"/>
              </w:rPr>
            </w:pPr>
            <w:r>
              <w:rPr>
                <w:rFonts w:ascii="Arial" w:cs="Arial" w:eastAsia="Arial" w:hAnsi="Arial"/>
                <w:sz w:val="18"/>
                <w:szCs w:val="18"/>
                <w:color w:val="auto"/>
              </w:rPr>
              <w:t>(54)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E5E5E5"/>
          </w:tcPr>
          <w:p>
            <w:pPr>
              <w:spacing w:after="0"/>
              <w:rPr>
                <w:sz w:val="20"/>
                <w:szCs w:val="20"/>
                <w:color w:val="auto"/>
              </w:rPr>
            </w:pPr>
            <w:r>
              <w:rPr>
                <w:rFonts w:ascii="Arial" w:cs="Arial" w:eastAsia="Arial" w:hAnsi="Arial"/>
                <w:sz w:val="18"/>
                <w:szCs w:val="18"/>
                <w:color w:val="auto"/>
              </w:rPr>
              <w:t>NBCUniversal</w:t>
            </w:r>
          </w:p>
        </w:tc>
        <w:tc>
          <w:tcPr>
            <w:tcW w:w="1160" w:type="dxa"/>
            <w:vAlign w:val="bottom"/>
            <w:gridSpan w:val="3"/>
            <w:shd w:val="clear" w:color="auto" w:fill="E5E5E5"/>
          </w:tcPr>
          <w:p>
            <w:pPr>
              <w:jc w:val="right"/>
              <w:ind w:right="152"/>
              <w:spacing w:after="0"/>
              <w:rPr>
                <w:sz w:val="20"/>
                <w:szCs w:val="20"/>
                <w:color w:val="auto"/>
              </w:rPr>
            </w:pPr>
            <w:r>
              <w:rPr>
                <w:rFonts w:ascii="Arial" w:cs="Arial" w:eastAsia="Arial" w:hAnsi="Arial"/>
                <w:sz w:val="18"/>
                <w:szCs w:val="18"/>
                <w:color w:val="auto"/>
              </w:rPr>
              <w:t>13,522</w:t>
            </w:r>
          </w:p>
        </w:tc>
        <w:tc>
          <w:tcPr>
            <w:tcW w:w="520" w:type="dxa"/>
            <w:vAlign w:val="bottom"/>
            <w:shd w:val="clear" w:color="auto" w:fill="E5E5E5"/>
          </w:tcPr>
          <w:p>
            <w:pPr>
              <w:spacing w:after="0"/>
              <w:rPr>
                <w:sz w:val="18"/>
                <w:szCs w:val="18"/>
                <w:color w:val="auto"/>
              </w:rPr>
            </w:pPr>
          </w:p>
        </w:tc>
        <w:tc>
          <w:tcPr>
            <w:tcW w:w="1280" w:type="dxa"/>
            <w:vAlign w:val="bottom"/>
            <w:shd w:val="clear" w:color="auto" w:fill="E5E5E5"/>
          </w:tcPr>
          <w:p>
            <w:pPr>
              <w:jc w:val="right"/>
              <w:ind w:right="236"/>
              <w:spacing w:after="0"/>
              <w:rPr>
                <w:sz w:val="20"/>
                <w:szCs w:val="20"/>
                <w:color w:val="auto"/>
              </w:rPr>
            </w:pPr>
            <w:r>
              <w:rPr>
                <w:rFonts w:ascii="Arial" w:cs="Arial" w:eastAsia="Arial" w:hAnsi="Arial"/>
                <w:sz w:val="18"/>
                <w:szCs w:val="18"/>
                <w:color w:val="auto"/>
              </w:rPr>
              <w:t>2,410</w:t>
            </w:r>
          </w:p>
        </w:tc>
        <w:tc>
          <w:tcPr>
            <w:tcW w:w="540" w:type="dxa"/>
            <w:vAlign w:val="bottom"/>
            <w:shd w:val="clear" w:color="auto" w:fill="E5E5E5"/>
          </w:tcPr>
          <w:p>
            <w:pPr>
              <w:spacing w:after="0"/>
              <w:rPr>
                <w:sz w:val="18"/>
                <w:szCs w:val="18"/>
                <w:color w:val="auto"/>
              </w:rPr>
            </w:pP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791</w:t>
            </w:r>
          </w:p>
        </w:tc>
        <w:tc>
          <w:tcPr>
            <w:tcW w:w="420" w:type="dxa"/>
            <w:vAlign w:val="bottom"/>
            <w:shd w:val="clear" w:color="auto" w:fill="E5E5E5"/>
          </w:tcPr>
          <w:p>
            <w:pPr>
              <w:spacing w:after="0"/>
              <w:rPr>
                <w:sz w:val="18"/>
                <w:szCs w:val="18"/>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1,619</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239</w:t>
            </w:r>
          </w:p>
        </w:tc>
        <w:tc>
          <w:tcPr>
            <w:tcW w:w="260" w:type="dxa"/>
            <w:vAlign w:val="bottom"/>
            <w:shd w:val="clear" w:color="auto" w:fill="E5E5E5"/>
          </w:tcPr>
          <w:p>
            <w:pPr>
              <w:spacing w:after="0"/>
              <w:rPr>
                <w:sz w:val="18"/>
                <w:szCs w:val="18"/>
                <w:color w:val="auto"/>
              </w:rPr>
            </w:pPr>
          </w:p>
        </w:tc>
        <w:tc>
          <w:tcPr>
            <w:tcW w:w="68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49,973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1"/>
                <w:szCs w:val="11"/>
                <w:color w:val="auto"/>
              </w:rPr>
              <w:t>(h)</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423</w:t>
            </w:r>
          </w:p>
        </w:tc>
        <w:tc>
          <w:tcPr>
            <w:tcW w:w="520" w:type="dxa"/>
            <w:vAlign w:val="bottom"/>
          </w:tcPr>
          <w:p>
            <w:pPr>
              <w:spacing w:after="0"/>
              <w:rPr>
                <w:sz w:val="18"/>
                <w:szCs w:val="18"/>
                <w:color w:val="auto"/>
              </w:rPr>
            </w:pPr>
          </w:p>
        </w:tc>
        <w:tc>
          <w:tcPr>
            <w:tcW w:w="1280" w:type="dxa"/>
            <w:vAlign w:val="bottom"/>
          </w:tcPr>
          <w:p>
            <w:pPr>
              <w:jc w:val="right"/>
              <w:ind w:right="176"/>
              <w:spacing w:after="0"/>
              <w:rPr>
                <w:sz w:val="20"/>
                <w:szCs w:val="20"/>
                <w:color w:val="auto"/>
              </w:rPr>
            </w:pPr>
            <w:r>
              <w:rPr>
                <w:rFonts w:ascii="Arial" w:cs="Arial" w:eastAsia="Arial" w:hAnsi="Arial"/>
                <w:sz w:val="18"/>
                <w:szCs w:val="18"/>
                <w:color w:val="auto"/>
              </w:rPr>
              <w:t>(319)</w:t>
            </w:r>
          </w:p>
        </w:tc>
        <w:tc>
          <w:tcPr>
            <w:tcW w:w="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55</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(374)</w:t>
            </w:r>
          </w:p>
        </w:tc>
        <w:tc>
          <w:tcPr>
            <w:tcW w:w="32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(g)</w:t>
            </w:r>
          </w:p>
        </w:tc>
        <w:tc>
          <w:tcPr>
            <w:tcW w:w="340" w:type="dxa"/>
            <w:vAlign w:val="bottom"/>
            <w:tcBorders>
              <w:bottom w:val="single" w:sz="8" w:color="auto"/>
            </w:tcBorders>
            <w:shd w:val="clear" w:color="auto" w:fill="E5E5E5"/>
          </w:tcPr>
          <w:p>
            <w:pPr>
              <w:spacing w:after="0"/>
              <w:rPr>
                <w:sz w:val="18"/>
                <w:szCs w:val="18"/>
                <w:color w:val="auto"/>
              </w:rPr>
            </w:pPr>
          </w:p>
        </w:tc>
        <w:tc>
          <w:tcPr>
            <w:tcW w:w="18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(901)</w:t>
            </w:r>
          </w:p>
        </w:tc>
        <w:tc>
          <w:tcPr>
            <w:tcW w:w="520" w:type="dxa"/>
            <w:vAlign w:val="bottom"/>
            <w:tcBorders>
              <w:bottom w:val="single" w:sz="8" w:color="auto"/>
            </w:tcBorders>
            <w:shd w:val="clear" w:color="auto" w:fill="E5E5E5"/>
          </w:tcPr>
          <w:p>
            <w:pPr>
              <w:spacing w:after="0"/>
              <w:rPr>
                <w:sz w:val="18"/>
                <w:szCs w:val="18"/>
                <w:color w:val="auto"/>
              </w:rPr>
            </w:pPr>
          </w:p>
        </w:tc>
        <w:tc>
          <w:tcPr>
            <w:tcW w:w="1280" w:type="dxa"/>
            <w:vAlign w:val="bottom"/>
            <w:tcBorders>
              <w:bottom w:val="single" w:sz="8" w:color="auto"/>
            </w:tcBorders>
            <w:shd w:val="clear" w:color="auto" w:fill="E5E5E5"/>
          </w:tcPr>
          <w:p>
            <w:pPr>
              <w:jc w:val="right"/>
              <w:ind w:right="236"/>
              <w:spacing w:after="0"/>
              <w:rPr>
                <w:sz w:val="20"/>
                <w:szCs w:val="20"/>
                <w:color w:val="auto"/>
              </w:rPr>
            </w:pPr>
            <w:r>
              <w:rPr>
                <w:rFonts w:ascii="Arial" w:cs="Arial" w:eastAsia="Arial" w:hAnsi="Arial"/>
                <w:sz w:val="18"/>
                <w:szCs w:val="18"/>
                <w:color w:val="auto"/>
              </w:rPr>
              <w:t>1</w:t>
            </w:r>
          </w:p>
        </w:tc>
        <w:tc>
          <w:tcPr>
            <w:tcW w:w="54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gridSpan w:val="2"/>
            <w:shd w:val="clear" w:color="auto" w:fill="E5E5E5"/>
          </w:tcPr>
          <w:p>
            <w:pPr>
              <w:jc w:val="right"/>
              <w:ind w:right="40"/>
              <w:spacing w:after="0"/>
              <w:rPr>
                <w:sz w:val="20"/>
                <w:szCs w:val="20"/>
                <w:color w:val="auto"/>
              </w:rPr>
            </w:pPr>
            <w:r>
              <w:rPr>
                <w:rFonts w:ascii="Arial" w:cs="Arial" w:eastAsia="Arial" w:hAnsi="Arial"/>
                <w:sz w:val="18"/>
                <w:szCs w:val="18"/>
                <w:color w:val="auto"/>
                <w:w w:val="92"/>
              </w:rPr>
              <w:t>(17,906)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Comcast Consolidated</w:t>
            </w:r>
          </w:p>
        </w:tc>
        <w:tc>
          <w:tcPr>
            <w:tcW w:w="116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8"/>
                <w:szCs w:val="18"/>
                <w:color w:val="auto"/>
              </w:rPr>
              <w:t>$40,800</w:t>
            </w: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rPr>
              <w:t>13,441</w:t>
            </w:r>
          </w:p>
        </w:tc>
        <w:tc>
          <w:tcPr>
            <w:tcW w:w="540" w:type="dxa"/>
            <w:vAlign w:val="bottom"/>
            <w:tcBorders>
              <w:bottom w:val="single" w:sz="8" w:color="auto"/>
            </w:tcBorders>
          </w:tcPr>
          <w:p>
            <w:pPr>
              <w:jc w:val="right"/>
              <w:ind w:right="341"/>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5,638</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7,803</w:t>
            </w: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3,785</w:t>
            </w:r>
          </w:p>
        </w:tc>
        <w:tc>
          <w:tcPr>
            <w:tcW w:w="9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$156,827</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ind w:left="180"/>
              <w:spacing w:after="0"/>
              <w:rPr>
                <w:sz w:val="20"/>
                <w:szCs w:val="20"/>
                <w:color w:val="auto"/>
              </w:rPr>
            </w:pPr>
            <w:r>
              <w:rPr>
                <w:rFonts w:ascii="Arial" w:cs="Arial" w:eastAsia="Arial" w:hAnsi="Arial"/>
                <w:sz w:val="18"/>
                <w:szCs w:val="18"/>
                <w:color w:val="auto"/>
              </w:rPr>
              <w:t>28</w:t>
            </w:r>
          </w:p>
        </w:tc>
        <w:tc>
          <w:tcPr>
            <w:tcW w:w="1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4"/>
                <w:szCs w:val="14"/>
                <w:color w:val="auto"/>
              </w:rPr>
              <w:t>Nine Months Ended September 30, 2010</w:t>
            </w: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3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080" w:type="dxa"/>
            <w:vAlign w:val="bottom"/>
            <w:gridSpan w:val="2"/>
          </w:tcPr>
          <w:p>
            <w:pPr>
              <w:ind w:left="340"/>
              <w:spacing w:after="0" w:line="131" w:lineRule="exact"/>
              <w:rPr>
                <w:sz w:val="20"/>
                <w:szCs w:val="20"/>
                <w:color w:val="auto"/>
              </w:rPr>
            </w:pPr>
            <w:r>
              <w:rPr>
                <w:rFonts w:ascii="Arial" w:cs="Arial" w:eastAsia="Arial" w:hAnsi="Arial"/>
                <w:sz w:val="14"/>
                <w:szCs w:val="14"/>
                <w:color w:val="auto"/>
              </w:rPr>
              <w:t>Operating Income (Loss)</w:t>
            </w:r>
          </w:p>
        </w:tc>
        <w:tc>
          <w:tcPr>
            <w:tcW w:w="4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300" w:type="dxa"/>
            <w:vAlign w:val="bottom"/>
          </w:tcPr>
          <w:p>
            <w:pPr>
              <w:spacing w:after="0"/>
              <w:rPr>
                <w:sz w:val="11"/>
                <w:szCs w:val="11"/>
                <w:color w:val="auto"/>
              </w:rPr>
            </w:pPr>
          </w:p>
        </w:tc>
        <w:tc>
          <w:tcPr>
            <w:tcW w:w="1580" w:type="dxa"/>
            <w:vAlign w:val="bottom"/>
            <w:vMerge w:val="restart"/>
          </w:tcPr>
          <w:p>
            <w:pPr>
              <w:jc w:val="right"/>
              <w:ind w:right="316"/>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(i)</w:t>
            </w:r>
          </w:p>
        </w:tc>
        <w:tc>
          <w:tcPr>
            <w:tcW w:w="2080" w:type="dxa"/>
            <w:vAlign w:val="bottom"/>
            <w:gridSpan w:val="2"/>
          </w:tcPr>
          <w:p>
            <w:pPr>
              <w:ind w:left="360"/>
              <w:spacing w:after="0" w:line="133" w:lineRule="exact"/>
              <w:rPr>
                <w:sz w:val="20"/>
                <w:szCs w:val="20"/>
                <w:color w:val="auto"/>
              </w:rPr>
            </w:pPr>
            <w:r>
              <w:rPr>
                <w:rFonts w:ascii="Arial" w:cs="Arial" w:eastAsia="Arial" w:hAnsi="Arial"/>
                <w:sz w:val="14"/>
                <w:szCs w:val="14"/>
                <w:color w:val="auto"/>
              </w:rPr>
              <w:t>Before Depreciation and</w:t>
            </w:r>
          </w:p>
        </w:tc>
        <w:tc>
          <w:tcPr>
            <w:tcW w:w="1860" w:type="dxa"/>
            <w:vAlign w:val="bottom"/>
            <w:gridSpan w:val="2"/>
          </w:tcPr>
          <w:p>
            <w:pPr>
              <w:ind w:left="340"/>
              <w:spacing w:after="0" w:line="133" w:lineRule="exact"/>
              <w:rPr>
                <w:sz w:val="20"/>
                <w:szCs w:val="20"/>
                <w:color w:val="auto"/>
              </w:rPr>
            </w:pPr>
            <w:r>
              <w:rPr>
                <w:rFonts w:ascii="Arial" w:cs="Arial" w:eastAsia="Arial" w:hAnsi="Arial"/>
                <w:sz w:val="14"/>
                <w:szCs w:val="14"/>
                <w:color w:val="auto"/>
              </w:rPr>
              <w:t>Depreciation and</w:t>
            </w:r>
          </w:p>
        </w:tc>
        <w:tc>
          <w:tcPr>
            <w:tcW w:w="1460" w:type="dxa"/>
            <w:vAlign w:val="bottom"/>
            <w:gridSpan w:val="2"/>
          </w:tcPr>
          <w:p>
            <w:pPr>
              <w:ind w:left="100"/>
              <w:spacing w:after="0" w:line="133" w:lineRule="exact"/>
              <w:rPr>
                <w:sz w:val="20"/>
                <w:szCs w:val="20"/>
                <w:color w:val="auto"/>
              </w:rPr>
            </w:pPr>
            <w:r>
              <w:rPr>
                <w:rFonts w:ascii="Arial" w:cs="Arial" w:eastAsia="Arial" w:hAnsi="Arial"/>
                <w:sz w:val="14"/>
                <w:szCs w:val="14"/>
                <w:color w:val="auto"/>
              </w:rPr>
              <w:t>Operating Income</w:t>
            </w:r>
          </w:p>
        </w:tc>
        <w:tc>
          <w:tcPr>
            <w:tcW w:w="460" w:type="dxa"/>
            <w:vAlign w:val="bottom"/>
          </w:tcPr>
          <w:p>
            <w:pPr>
              <w:spacing w:after="0"/>
              <w:rPr>
                <w:sz w:val="11"/>
                <w:szCs w:val="11"/>
                <w:color w:val="auto"/>
              </w:rPr>
            </w:pPr>
          </w:p>
        </w:tc>
        <w:tc>
          <w:tcPr>
            <w:tcW w:w="680" w:type="dxa"/>
            <w:vAlign w:val="bottom"/>
          </w:tcPr>
          <w:p>
            <w:pPr>
              <w:jc w:val="right"/>
              <w:ind w:right="176"/>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58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559"/>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(j)</w:t>
            </w:r>
          </w:p>
        </w:tc>
        <w:tc>
          <w:tcPr>
            <w:tcW w:w="4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color w:val="auto"/>
                <w:w w:val="92"/>
              </w:rPr>
              <w:t>Amortization</w:t>
            </w: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color w:val="auto"/>
              </w:rPr>
              <w:t>(Loss)</w:t>
            </w:r>
          </w:p>
        </w:tc>
        <w:tc>
          <w:tcPr>
            <w:tcW w:w="114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3300" w:type="dxa"/>
            <w:vAlign w:val="bottom"/>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w:t>
            </w:r>
          </w:p>
        </w:tc>
        <w:tc>
          <w:tcPr>
            <w:tcW w:w="1580" w:type="dxa"/>
            <w:vAlign w:val="bottom"/>
            <w:shd w:val="clear" w:color="auto" w:fill="E5E5E5"/>
          </w:tcPr>
          <w:p>
            <w:pPr>
              <w:jc w:val="right"/>
              <w:ind w:right="316"/>
              <w:spacing w:after="0"/>
              <w:rPr>
                <w:sz w:val="20"/>
                <w:szCs w:val="20"/>
                <w:color w:val="auto"/>
              </w:rPr>
            </w:pPr>
            <w:r>
              <w:rPr>
                <w:rFonts w:ascii="Arial" w:cs="Arial" w:eastAsia="Arial" w:hAnsi="Arial"/>
                <w:sz w:val="18"/>
                <w:szCs w:val="18"/>
                <w:color w:val="auto"/>
              </w:rPr>
              <w:t>$26,313</w:t>
            </w:r>
          </w:p>
        </w:tc>
        <w:tc>
          <w:tcPr>
            <w:tcW w:w="520" w:type="dxa"/>
            <w:vAlign w:val="bottom"/>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1560" w:type="dxa"/>
            <w:vAlign w:val="bottom"/>
            <w:shd w:val="clear" w:color="auto" w:fill="E5E5E5"/>
          </w:tcPr>
          <w:p>
            <w:pPr>
              <w:jc w:val="right"/>
              <w:ind w:right="299"/>
              <w:spacing w:after="0"/>
              <w:rPr>
                <w:sz w:val="20"/>
                <w:szCs w:val="20"/>
                <w:color w:val="auto"/>
              </w:rPr>
            </w:pPr>
            <w:r>
              <w:rPr>
                <w:rFonts w:ascii="Arial" w:cs="Arial" w:eastAsia="Arial" w:hAnsi="Arial"/>
                <w:sz w:val="18"/>
                <w:szCs w:val="18"/>
                <w:color w:val="auto"/>
              </w:rPr>
              <w:t>10,599</w:t>
            </w:r>
          </w:p>
        </w:tc>
        <w:tc>
          <w:tcPr>
            <w:tcW w:w="420" w:type="dxa"/>
            <w:vAlign w:val="bottom"/>
            <w:shd w:val="clear" w:color="auto" w:fill="E5E5E5"/>
          </w:tcPr>
          <w:p>
            <w:pPr>
              <w:ind w:left="32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E5E5E5"/>
          </w:tcPr>
          <w:p>
            <w:pPr>
              <w:jc w:val="right"/>
              <w:ind w:right="516"/>
              <w:spacing w:after="0"/>
              <w:rPr>
                <w:sz w:val="20"/>
                <w:szCs w:val="20"/>
                <w:color w:val="auto"/>
              </w:rPr>
            </w:pPr>
            <w:r>
              <w:rPr>
                <w:rFonts w:ascii="Arial" w:cs="Arial" w:eastAsia="Arial" w:hAnsi="Arial"/>
                <w:sz w:val="18"/>
                <w:szCs w:val="18"/>
                <w:color w:val="auto"/>
              </w:rPr>
              <w:t>4,680</w:t>
            </w:r>
          </w:p>
        </w:tc>
        <w:tc>
          <w:tcPr>
            <w:tcW w:w="300" w:type="dxa"/>
            <w:vAlign w:val="bottom"/>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5E5E5"/>
          </w:tcPr>
          <w:p>
            <w:pPr>
              <w:jc w:val="right"/>
              <w:ind w:right="296"/>
              <w:spacing w:after="0"/>
              <w:rPr>
                <w:sz w:val="20"/>
                <w:szCs w:val="20"/>
                <w:color w:val="auto"/>
              </w:rPr>
            </w:pPr>
            <w:r>
              <w:rPr>
                <w:rFonts w:ascii="Arial" w:cs="Arial" w:eastAsia="Arial" w:hAnsi="Arial"/>
                <w:sz w:val="18"/>
                <w:szCs w:val="18"/>
                <w:color w:val="auto"/>
              </w:rPr>
              <w:t>5,919</w:t>
            </w:r>
          </w:p>
        </w:tc>
        <w:tc>
          <w:tcPr>
            <w:tcW w:w="460" w:type="dxa"/>
            <w:vAlign w:val="bottom"/>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3,349</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(b)</w:t>
            </w:r>
          </w:p>
        </w:tc>
        <w:tc>
          <w:tcPr>
            <w:tcW w:w="1580" w:type="dxa"/>
            <w:vAlign w:val="bottom"/>
          </w:tcPr>
          <w:p>
            <w:pPr>
              <w:jc w:val="right"/>
              <w:ind w:right="316"/>
              <w:spacing w:after="0"/>
              <w:rPr>
                <w:sz w:val="20"/>
                <w:szCs w:val="20"/>
                <w:color w:val="auto"/>
              </w:rPr>
            </w:pPr>
            <w:r>
              <w:rPr>
                <w:rFonts w:ascii="Arial" w:cs="Arial" w:eastAsia="Arial" w:hAnsi="Arial"/>
                <w:sz w:val="18"/>
                <w:szCs w:val="18"/>
                <w:color w:val="auto"/>
              </w:rPr>
              <w:t>2,025</w:t>
            </w:r>
          </w:p>
        </w:tc>
        <w:tc>
          <w:tcPr>
            <w:tcW w:w="520" w:type="dxa"/>
            <w:vAlign w:val="bottom"/>
          </w:tcPr>
          <w:p>
            <w:pPr>
              <w:spacing w:after="0"/>
              <w:rPr>
                <w:sz w:val="18"/>
                <w:szCs w:val="18"/>
                <w:color w:val="auto"/>
              </w:rPr>
            </w:pPr>
          </w:p>
        </w:tc>
        <w:tc>
          <w:tcPr>
            <w:tcW w:w="1560" w:type="dxa"/>
            <w:vAlign w:val="bottom"/>
          </w:tcPr>
          <w:p>
            <w:pPr>
              <w:jc w:val="right"/>
              <w:ind w:right="299"/>
              <w:spacing w:after="0"/>
              <w:rPr>
                <w:sz w:val="20"/>
                <w:szCs w:val="20"/>
                <w:color w:val="auto"/>
              </w:rPr>
            </w:pPr>
            <w:r>
              <w:rPr>
                <w:rFonts w:ascii="Arial" w:cs="Arial" w:eastAsia="Arial" w:hAnsi="Arial"/>
                <w:sz w:val="18"/>
                <w:szCs w:val="18"/>
                <w:color w:val="auto"/>
              </w:rPr>
              <w:t>613</w:t>
            </w:r>
          </w:p>
        </w:tc>
        <w:tc>
          <w:tcPr>
            <w:tcW w:w="420" w:type="dxa"/>
            <w:vAlign w:val="bottom"/>
          </w:tcPr>
          <w:p>
            <w:pPr>
              <w:spacing w:after="0"/>
              <w:rPr>
                <w:sz w:val="18"/>
                <w:szCs w:val="18"/>
                <w:color w:val="auto"/>
              </w:rPr>
            </w:pPr>
          </w:p>
        </w:tc>
        <w:tc>
          <w:tcPr>
            <w:tcW w:w="1440" w:type="dxa"/>
            <w:vAlign w:val="bottom"/>
          </w:tcPr>
          <w:p>
            <w:pPr>
              <w:jc w:val="right"/>
              <w:ind w:right="516"/>
              <w:spacing w:after="0"/>
              <w:rPr>
                <w:sz w:val="20"/>
                <w:szCs w:val="20"/>
                <w:color w:val="auto"/>
              </w:rPr>
            </w:pPr>
            <w:r>
              <w:rPr>
                <w:rFonts w:ascii="Arial" w:cs="Arial" w:eastAsia="Arial" w:hAnsi="Arial"/>
                <w:sz w:val="18"/>
                <w:szCs w:val="18"/>
                <w:color w:val="auto"/>
              </w:rPr>
              <w:t>209</w:t>
            </w:r>
          </w:p>
        </w:tc>
        <w:tc>
          <w:tcPr>
            <w:tcW w:w="300" w:type="dxa"/>
            <w:vAlign w:val="bottom"/>
          </w:tcPr>
          <w:p>
            <w:pPr>
              <w:spacing w:after="0"/>
              <w:rPr>
                <w:sz w:val="18"/>
                <w:szCs w:val="18"/>
                <w:color w:val="auto"/>
              </w:rPr>
            </w:pPr>
          </w:p>
        </w:tc>
        <w:tc>
          <w:tcPr>
            <w:tcW w:w="1160" w:type="dxa"/>
            <w:vAlign w:val="bottom"/>
          </w:tcPr>
          <w:p>
            <w:pPr>
              <w:jc w:val="right"/>
              <w:ind w:right="296"/>
              <w:spacing w:after="0"/>
              <w:rPr>
                <w:sz w:val="20"/>
                <w:szCs w:val="20"/>
                <w:color w:val="auto"/>
              </w:rPr>
            </w:pPr>
            <w:r>
              <w:rPr>
                <w:rFonts w:ascii="Arial" w:cs="Arial" w:eastAsia="Arial" w:hAnsi="Arial"/>
                <w:sz w:val="18"/>
                <w:szCs w:val="18"/>
                <w:color w:val="auto"/>
              </w:rPr>
              <w:t>404</w:t>
            </w:r>
          </w:p>
        </w:tc>
        <w:tc>
          <w:tcPr>
            <w:tcW w:w="460" w:type="dxa"/>
            <w:vAlign w:val="bottom"/>
          </w:tcPr>
          <w:p>
            <w:pPr>
              <w:spacing w:after="0"/>
              <w:rPr>
                <w:sz w:val="18"/>
                <w:szCs w:val="18"/>
                <w:color w:val="auto"/>
              </w:rPr>
            </w:pP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300" w:type="dxa"/>
            <w:vAlign w:val="bottom"/>
            <w:shd w:val="clear" w:color="auto" w:fill="E5E5E5"/>
          </w:tcPr>
          <w:p>
            <w:pPr>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1"/>
                <w:szCs w:val="11"/>
                <w:color w:val="auto"/>
              </w:rPr>
              <w:t>(h)</w:t>
            </w:r>
          </w:p>
        </w:tc>
        <w:tc>
          <w:tcPr>
            <w:tcW w:w="1580" w:type="dxa"/>
            <w:vAlign w:val="bottom"/>
            <w:shd w:val="clear" w:color="auto" w:fill="E5E5E5"/>
          </w:tcPr>
          <w:p>
            <w:pPr>
              <w:jc w:val="right"/>
              <w:ind w:right="316"/>
              <w:spacing w:after="0"/>
              <w:rPr>
                <w:sz w:val="20"/>
                <w:szCs w:val="20"/>
                <w:color w:val="auto"/>
              </w:rPr>
            </w:pPr>
            <w:r>
              <w:rPr>
                <w:rFonts w:ascii="Arial" w:cs="Arial" w:eastAsia="Arial" w:hAnsi="Arial"/>
                <w:sz w:val="18"/>
                <w:szCs w:val="18"/>
                <w:color w:val="auto"/>
              </w:rPr>
              <w:t>105</w:t>
            </w:r>
          </w:p>
        </w:tc>
        <w:tc>
          <w:tcPr>
            <w:tcW w:w="52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39"/>
              <w:spacing w:after="0"/>
              <w:rPr>
                <w:sz w:val="20"/>
                <w:szCs w:val="20"/>
                <w:color w:val="auto"/>
              </w:rPr>
            </w:pPr>
            <w:r>
              <w:rPr>
                <w:rFonts w:ascii="Arial" w:cs="Arial" w:eastAsia="Arial" w:hAnsi="Arial"/>
                <w:sz w:val="18"/>
                <w:szCs w:val="18"/>
                <w:color w:val="auto"/>
              </w:rPr>
              <w:t>(332)</w:t>
            </w:r>
          </w:p>
        </w:tc>
        <w:tc>
          <w:tcPr>
            <w:tcW w:w="420" w:type="dxa"/>
            <w:vAlign w:val="bottom"/>
            <w:shd w:val="clear" w:color="auto" w:fill="E5E5E5"/>
          </w:tcPr>
          <w:p>
            <w:pPr>
              <w:spacing w:after="0"/>
              <w:rPr>
                <w:sz w:val="18"/>
                <w:szCs w:val="18"/>
                <w:color w:val="auto"/>
              </w:rPr>
            </w:pPr>
          </w:p>
        </w:tc>
        <w:tc>
          <w:tcPr>
            <w:tcW w:w="1440" w:type="dxa"/>
            <w:vAlign w:val="bottom"/>
            <w:shd w:val="clear" w:color="auto" w:fill="E5E5E5"/>
          </w:tcPr>
          <w:p>
            <w:pPr>
              <w:jc w:val="right"/>
              <w:ind w:right="516"/>
              <w:spacing w:after="0"/>
              <w:rPr>
                <w:sz w:val="20"/>
                <w:szCs w:val="20"/>
                <w:color w:val="auto"/>
              </w:rPr>
            </w:pPr>
            <w:r>
              <w:rPr>
                <w:rFonts w:ascii="Arial" w:cs="Arial" w:eastAsia="Arial" w:hAnsi="Arial"/>
                <w:sz w:val="18"/>
                <w:szCs w:val="18"/>
                <w:color w:val="auto"/>
              </w:rPr>
              <w:t>23</w:t>
            </w:r>
          </w:p>
        </w:tc>
        <w:tc>
          <w:tcPr>
            <w:tcW w:w="300" w:type="dxa"/>
            <w:vAlign w:val="bottom"/>
            <w:shd w:val="clear" w:color="auto" w:fill="E5E5E5"/>
          </w:tcPr>
          <w:p>
            <w:pPr>
              <w:spacing w:after="0"/>
              <w:rPr>
                <w:sz w:val="18"/>
                <w:szCs w:val="18"/>
                <w:color w:val="auto"/>
              </w:rPr>
            </w:pPr>
          </w:p>
        </w:tc>
        <w:tc>
          <w:tcPr>
            <w:tcW w:w="1160" w:type="dxa"/>
            <w:vAlign w:val="bottom"/>
            <w:shd w:val="clear" w:color="auto" w:fill="E5E5E5"/>
          </w:tcPr>
          <w:p>
            <w:pPr>
              <w:jc w:val="right"/>
              <w:ind w:right="236"/>
              <w:spacing w:after="0"/>
              <w:rPr>
                <w:sz w:val="20"/>
                <w:szCs w:val="20"/>
                <w:color w:val="auto"/>
              </w:rPr>
            </w:pPr>
            <w:r>
              <w:rPr>
                <w:rFonts w:ascii="Arial" w:cs="Arial" w:eastAsia="Arial" w:hAnsi="Arial"/>
                <w:sz w:val="18"/>
                <w:szCs w:val="18"/>
                <w:color w:val="auto"/>
              </w:rPr>
              <w:t>(355)</w:t>
            </w:r>
          </w:p>
        </w:tc>
        <w:tc>
          <w:tcPr>
            <w:tcW w:w="4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(g)</w:t>
            </w:r>
          </w:p>
        </w:tc>
        <w:tc>
          <w:tcPr>
            <w:tcW w:w="158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rPr>
              <w:t>(227)</w:t>
            </w:r>
          </w:p>
        </w:tc>
        <w:tc>
          <w:tcPr>
            <w:tcW w:w="5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99"/>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16"/>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3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Comcast Consolidated</w:t>
            </w:r>
          </w:p>
        </w:tc>
        <w:tc>
          <w:tcPr>
            <w:tcW w:w="1580" w:type="dxa"/>
            <w:vAlign w:val="bottom"/>
            <w:tcBorders>
              <w:bottom w:val="single" w:sz="8" w:color="auto"/>
            </w:tcBorders>
            <w:shd w:val="clear" w:color="auto" w:fill="E5E5E5"/>
          </w:tcPr>
          <w:p>
            <w:pPr>
              <w:jc w:val="right"/>
              <w:ind w:right="316"/>
              <w:spacing w:after="0"/>
              <w:rPr>
                <w:sz w:val="20"/>
                <w:szCs w:val="20"/>
                <w:color w:val="auto"/>
              </w:rPr>
            </w:pPr>
            <w:r>
              <w:rPr>
                <w:rFonts w:ascii="Arial" w:cs="Arial" w:eastAsia="Arial" w:hAnsi="Arial"/>
                <w:sz w:val="18"/>
                <w:szCs w:val="18"/>
                <w:color w:val="auto"/>
              </w:rPr>
              <w:t>$28,216</w:t>
            </w:r>
          </w:p>
        </w:tc>
        <w:tc>
          <w:tcPr>
            <w:tcW w:w="520" w:type="dxa"/>
            <w:vAlign w:val="bottom"/>
            <w:tcBorders>
              <w:bottom w:val="single" w:sz="8" w:color="auto"/>
            </w:tcBorders>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E5E5E5"/>
          </w:tcPr>
          <w:p>
            <w:pPr>
              <w:jc w:val="right"/>
              <w:ind w:right="299"/>
              <w:spacing w:after="0"/>
              <w:rPr>
                <w:sz w:val="20"/>
                <w:szCs w:val="20"/>
                <w:color w:val="auto"/>
              </w:rPr>
            </w:pPr>
            <w:r>
              <w:rPr>
                <w:rFonts w:ascii="Arial" w:cs="Arial" w:eastAsia="Arial" w:hAnsi="Arial"/>
                <w:sz w:val="18"/>
                <w:szCs w:val="18"/>
                <w:color w:val="auto"/>
              </w:rPr>
              <w:t>10,880</w:t>
            </w:r>
          </w:p>
        </w:tc>
        <w:tc>
          <w:tcPr>
            <w:tcW w:w="420" w:type="dxa"/>
            <w:vAlign w:val="bottom"/>
            <w:tcBorders>
              <w:bottom w:val="single" w:sz="8" w:color="auto"/>
            </w:tcBorders>
            <w:shd w:val="clear" w:color="auto" w:fill="E5E5E5"/>
          </w:tcPr>
          <w:p>
            <w:pPr>
              <w:ind w:left="32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E5E5E5"/>
          </w:tcPr>
          <w:p>
            <w:pPr>
              <w:jc w:val="right"/>
              <w:ind w:right="516"/>
              <w:spacing w:after="0"/>
              <w:rPr>
                <w:sz w:val="20"/>
                <w:szCs w:val="20"/>
                <w:color w:val="auto"/>
              </w:rPr>
            </w:pPr>
            <w:r>
              <w:rPr>
                <w:rFonts w:ascii="Arial" w:cs="Arial" w:eastAsia="Arial" w:hAnsi="Arial"/>
                <w:sz w:val="18"/>
                <w:szCs w:val="18"/>
                <w:color w:val="auto"/>
              </w:rPr>
              <w:t>4,913</w:t>
            </w:r>
          </w:p>
        </w:tc>
        <w:tc>
          <w:tcPr>
            <w:tcW w:w="30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E5E5E5"/>
          </w:tcPr>
          <w:p>
            <w:pPr>
              <w:jc w:val="right"/>
              <w:ind w:right="296"/>
              <w:spacing w:after="0"/>
              <w:rPr>
                <w:sz w:val="20"/>
                <w:szCs w:val="20"/>
                <w:color w:val="auto"/>
              </w:rPr>
            </w:pPr>
            <w:r>
              <w:rPr>
                <w:rFonts w:ascii="Arial" w:cs="Arial" w:eastAsia="Arial" w:hAnsi="Arial"/>
                <w:sz w:val="18"/>
                <w:szCs w:val="18"/>
                <w:color w:val="auto"/>
              </w:rPr>
              <w:t>5,967</w:t>
            </w:r>
          </w:p>
        </w:tc>
        <w:tc>
          <w:tcPr>
            <w:tcW w:w="460" w:type="dxa"/>
            <w:vAlign w:val="bottom"/>
            <w:tcBorders>
              <w:bottom w:val="single" w:sz="8" w:color="auto"/>
            </w:tcBorders>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3,429</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60" w:right="1360" w:hanging="352"/>
        <w:spacing w:after="0" w:line="375" w:lineRule="auto"/>
        <w:tabs>
          <w:tab w:leader="none" w:pos="355" w:val="left"/>
        </w:tabs>
        <w:numPr>
          <w:ilvl w:val="0"/>
          <w:numId w:val="5"/>
        </w:numPr>
        <w:rPr>
          <w:rFonts w:ascii="Arial" w:cs="Arial" w:eastAsia="Arial" w:hAnsi="Arial"/>
          <w:sz w:val="12"/>
          <w:szCs w:val="12"/>
          <w:color w:val="auto"/>
        </w:rPr>
      </w:pPr>
      <w:r>
        <w:rPr>
          <w:rFonts w:ascii="Arial" w:cs="Arial" w:eastAsia="Arial" w:hAnsi="Arial"/>
          <w:sz w:val="12"/>
          <w:szCs w:val="12"/>
          <w:color w:val="auto"/>
        </w:rPr>
        <w:t>Our Cable Communications segment consists primarily of our cable services business and the businesses of Comcast Interactive Media that were not contributed to NBCUniversal. For the three and nine months ended September 30, 2011 and 2010, Cable Communications segment revenue was derived from the following sources:</w:t>
      </w:r>
    </w:p>
    <w:tbl>
      <w:tblPr>
        <w:tblLayout w:type="fixed"/>
        <w:tblInd w:w="360" w:type="dxa"/>
        <w:tblCellMar>
          <w:top w:w="0" w:type="dxa"/>
          <w:left w:w="0" w:type="dxa"/>
          <w:bottom w:w="0" w:type="dxa"/>
          <w:right w:w="0" w:type="dxa"/>
        </w:tblCellMar>
      </w:tblPr>
      <w:tr>
        <w:trPr>
          <w:trHeight w:val="150"/>
        </w:trPr>
        <w:tc>
          <w:tcPr>
            <w:tcW w:w="6760" w:type="dxa"/>
            <w:vAlign w:val="bottom"/>
          </w:tcPr>
          <w:p>
            <w:pPr>
              <w:spacing w:after="0"/>
              <w:rPr>
                <w:sz w:val="13"/>
                <w:szCs w:val="13"/>
                <w:color w:val="auto"/>
              </w:rPr>
            </w:pPr>
          </w:p>
        </w:tc>
        <w:tc>
          <w:tcPr>
            <w:tcW w:w="2420" w:type="dxa"/>
            <w:vAlign w:val="bottom"/>
            <w:gridSpan w:val="2"/>
          </w:tcPr>
          <w:p>
            <w:pPr>
              <w:jc w:val="right"/>
              <w:ind w:right="532"/>
              <w:spacing w:after="0" w:line="149" w:lineRule="exact"/>
              <w:rPr>
                <w:sz w:val="20"/>
                <w:szCs w:val="20"/>
                <w:color w:val="auto"/>
              </w:rPr>
            </w:pPr>
            <w:r>
              <w:rPr>
                <w:rFonts w:ascii="Arial" w:cs="Arial" w:eastAsia="Arial" w:hAnsi="Arial"/>
                <w:sz w:val="14"/>
                <w:szCs w:val="14"/>
                <w:color w:val="auto"/>
              </w:rPr>
              <w:t>Three Months Ended</w:t>
            </w:r>
          </w:p>
        </w:tc>
        <w:tc>
          <w:tcPr>
            <w:tcW w:w="1880" w:type="dxa"/>
            <w:vAlign w:val="bottom"/>
            <w:gridSpan w:val="2"/>
          </w:tcPr>
          <w:p>
            <w:pPr>
              <w:jc w:val="right"/>
              <w:ind w:right="292"/>
              <w:spacing w:after="0" w:line="149" w:lineRule="exact"/>
              <w:rPr>
                <w:sz w:val="20"/>
                <w:szCs w:val="20"/>
                <w:color w:val="auto"/>
              </w:rPr>
            </w:pPr>
            <w:r>
              <w:rPr>
                <w:rFonts w:ascii="Arial" w:cs="Arial" w:eastAsia="Arial" w:hAnsi="Arial"/>
                <w:sz w:val="14"/>
                <w:szCs w:val="14"/>
                <w:color w:val="auto"/>
              </w:rPr>
              <w:t>Nine Months Ended</w:t>
            </w:r>
          </w:p>
        </w:tc>
      </w:tr>
      <w:tr>
        <w:trPr>
          <w:trHeight w:val="159"/>
        </w:trPr>
        <w:tc>
          <w:tcPr>
            <w:tcW w:w="6760" w:type="dxa"/>
            <w:vAlign w:val="bottom"/>
          </w:tcPr>
          <w:p>
            <w:pPr>
              <w:spacing w:after="0"/>
              <w:rPr>
                <w:sz w:val="13"/>
                <w:szCs w:val="13"/>
                <w:color w:val="auto"/>
              </w:rPr>
            </w:pPr>
          </w:p>
        </w:tc>
        <w:tc>
          <w:tcPr>
            <w:tcW w:w="16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September 30</w:t>
            </w:r>
          </w:p>
        </w:tc>
        <w:tc>
          <w:tcPr>
            <w:tcW w:w="7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September 30</w:t>
            </w:r>
          </w:p>
        </w:tc>
        <w:tc>
          <w:tcPr>
            <w:tcW w:w="520" w:type="dxa"/>
            <w:vAlign w:val="bottom"/>
            <w:tcBorders>
              <w:bottom w:val="single" w:sz="8" w:color="auto"/>
            </w:tcBorders>
          </w:tcPr>
          <w:p>
            <w:pPr>
              <w:spacing w:after="0"/>
              <w:rPr>
                <w:sz w:val="13"/>
                <w:szCs w:val="13"/>
                <w:color w:val="auto"/>
              </w:rPr>
            </w:pPr>
          </w:p>
        </w:tc>
      </w:tr>
      <w:tr>
        <w:trPr>
          <w:trHeight w:val="223"/>
        </w:trPr>
        <w:tc>
          <w:tcPr>
            <w:tcW w:w="67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color w:val="auto"/>
              </w:rPr>
              <w:t>2011</w:t>
            </w:r>
          </w:p>
        </w:tc>
        <w:tc>
          <w:tcPr>
            <w:tcW w:w="7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w w:val="83"/>
              </w:rPr>
              <w:t>2010</w:t>
            </w:r>
          </w:p>
        </w:tc>
        <w:tc>
          <w:tcPr>
            <w:tcW w:w="136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color w:val="auto"/>
              </w:rPr>
              <w:t>2011</w:t>
            </w:r>
          </w:p>
        </w:tc>
        <w:tc>
          <w:tcPr>
            <w:tcW w:w="5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w w:val="83"/>
              </w:rPr>
              <w:t>2010</w:t>
            </w:r>
          </w:p>
        </w:tc>
      </w:tr>
      <w:tr>
        <w:trPr>
          <w:trHeight w:val="142"/>
        </w:trPr>
        <w:tc>
          <w:tcPr>
            <w:tcW w:w="676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Video</w:t>
            </w:r>
          </w:p>
        </w:tc>
        <w:tc>
          <w:tcPr>
            <w:tcW w:w="1640" w:type="dxa"/>
            <w:vAlign w:val="bottom"/>
            <w:shd w:val="clear" w:color="auto" w:fill="E5E5E5"/>
          </w:tcPr>
          <w:p>
            <w:pPr>
              <w:jc w:val="right"/>
              <w:ind w:right="532"/>
              <w:spacing w:after="0" w:line="142" w:lineRule="exact"/>
              <w:rPr>
                <w:sz w:val="20"/>
                <w:szCs w:val="20"/>
                <w:color w:val="auto"/>
              </w:rPr>
            </w:pPr>
            <w:r>
              <w:rPr>
                <w:rFonts w:ascii="Arial" w:cs="Arial" w:eastAsia="Arial" w:hAnsi="Arial"/>
                <w:sz w:val="14"/>
                <w:szCs w:val="14"/>
                <w:color w:val="auto"/>
              </w:rPr>
              <w:t>52.4%</w:t>
            </w:r>
          </w:p>
        </w:tc>
        <w:tc>
          <w:tcPr>
            <w:tcW w:w="780" w:type="dxa"/>
            <w:vAlign w:val="bottom"/>
            <w:shd w:val="clear" w:color="auto" w:fill="E5E5E5"/>
          </w:tcPr>
          <w:p>
            <w:pPr>
              <w:jc w:val="right"/>
              <w:ind w:right="212"/>
              <w:spacing w:after="0" w:line="142" w:lineRule="exact"/>
              <w:rPr>
                <w:sz w:val="20"/>
                <w:szCs w:val="20"/>
                <w:color w:val="auto"/>
              </w:rPr>
            </w:pPr>
            <w:r>
              <w:rPr>
                <w:rFonts w:ascii="Arial" w:cs="Arial" w:eastAsia="Arial" w:hAnsi="Arial"/>
                <w:sz w:val="14"/>
                <w:szCs w:val="14"/>
                <w:color w:val="auto"/>
              </w:rPr>
              <w:t>54.5%</w:t>
            </w:r>
          </w:p>
        </w:tc>
        <w:tc>
          <w:tcPr>
            <w:tcW w:w="1360" w:type="dxa"/>
            <w:vAlign w:val="bottom"/>
            <w:shd w:val="clear" w:color="auto" w:fill="E5E5E5"/>
          </w:tcPr>
          <w:p>
            <w:pPr>
              <w:jc w:val="right"/>
              <w:ind w:right="532"/>
              <w:spacing w:after="0" w:line="142" w:lineRule="exact"/>
              <w:rPr>
                <w:sz w:val="20"/>
                <w:szCs w:val="20"/>
                <w:color w:val="auto"/>
              </w:rPr>
            </w:pPr>
            <w:r>
              <w:rPr>
                <w:rFonts w:ascii="Arial" w:cs="Arial" w:eastAsia="Arial" w:hAnsi="Arial"/>
                <w:sz w:val="14"/>
                <w:szCs w:val="14"/>
                <w:color w:val="auto"/>
              </w:rPr>
              <w:t>53.0%</w:t>
            </w:r>
          </w:p>
        </w:tc>
        <w:tc>
          <w:tcPr>
            <w:tcW w:w="520" w:type="dxa"/>
            <w:vAlign w:val="bottom"/>
            <w:shd w:val="clear" w:color="auto" w:fill="E5E5E5"/>
          </w:tcPr>
          <w:p>
            <w:pPr>
              <w:jc w:val="right"/>
              <w:spacing w:after="0" w:line="142" w:lineRule="exact"/>
              <w:rPr>
                <w:sz w:val="20"/>
                <w:szCs w:val="20"/>
                <w:color w:val="auto"/>
              </w:rPr>
            </w:pPr>
            <w:r>
              <w:rPr>
                <w:rFonts w:ascii="Arial" w:cs="Arial" w:eastAsia="Arial" w:hAnsi="Arial"/>
                <w:sz w:val="14"/>
                <w:szCs w:val="14"/>
                <w:color w:val="auto"/>
              </w:rPr>
              <w:t>55.2%</w:t>
            </w:r>
          </w:p>
        </w:tc>
      </w:tr>
      <w:tr>
        <w:trPr>
          <w:trHeight w:val="149"/>
        </w:trPr>
        <w:tc>
          <w:tcPr>
            <w:tcW w:w="6760" w:type="dxa"/>
            <w:vAlign w:val="bottom"/>
          </w:tcPr>
          <w:p>
            <w:pPr>
              <w:spacing w:after="0" w:line="149" w:lineRule="exact"/>
              <w:rPr>
                <w:sz w:val="20"/>
                <w:szCs w:val="20"/>
                <w:color w:val="auto"/>
              </w:rPr>
            </w:pPr>
            <w:r>
              <w:rPr>
                <w:rFonts w:ascii="Arial" w:cs="Arial" w:eastAsia="Arial" w:hAnsi="Arial"/>
                <w:sz w:val="14"/>
                <w:szCs w:val="14"/>
                <w:color w:val="auto"/>
              </w:rPr>
              <w:t>High-speed Internet</w:t>
            </w:r>
          </w:p>
        </w:tc>
        <w:tc>
          <w:tcPr>
            <w:tcW w:w="1640" w:type="dxa"/>
            <w:vAlign w:val="bottom"/>
          </w:tcPr>
          <w:p>
            <w:pPr>
              <w:jc w:val="right"/>
              <w:ind w:right="532"/>
              <w:spacing w:after="0" w:line="149" w:lineRule="exact"/>
              <w:rPr>
                <w:sz w:val="20"/>
                <w:szCs w:val="20"/>
                <w:color w:val="auto"/>
              </w:rPr>
            </w:pPr>
            <w:r>
              <w:rPr>
                <w:rFonts w:ascii="Arial" w:cs="Arial" w:eastAsia="Arial" w:hAnsi="Arial"/>
                <w:sz w:val="14"/>
                <w:szCs w:val="14"/>
                <w:color w:val="auto"/>
              </w:rPr>
              <w:t>23.6%</w:t>
            </w:r>
          </w:p>
        </w:tc>
        <w:tc>
          <w:tcPr>
            <w:tcW w:w="7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22.6%</w:t>
            </w:r>
          </w:p>
        </w:tc>
        <w:tc>
          <w:tcPr>
            <w:tcW w:w="1360" w:type="dxa"/>
            <w:vAlign w:val="bottom"/>
          </w:tcPr>
          <w:p>
            <w:pPr>
              <w:jc w:val="right"/>
              <w:ind w:right="532"/>
              <w:spacing w:after="0" w:line="149" w:lineRule="exact"/>
              <w:rPr>
                <w:sz w:val="20"/>
                <w:szCs w:val="20"/>
                <w:color w:val="auto"/>
              </w:rPr>
            </w:pPr>
            <w:r>
              <w:rPr>
                <w:rFonts w:ascii="Arial" w:cs="Arial" w:eastAsia="Arial" w:hAnsi="Arial"/>
                <w:sz w:val="14"/>
                <w:szCs w:val="14"/>
                <w:color w:val="auto"/>
              </w:rPr>
              <w:t>23.4%</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22.5%</w:t>
            </w:r>
          </w:p>
        </w:tc>
      </w:tr>
      <w:tr>
        <w:trPr>
          <w:trHeight w:val="149"/>
        </w:trPr>
        <w:tc>
          <w:tcPr>
            <w:tcW w:w="676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Phone</w:t>
            </w:r>
          </w:p>
        </w:tc>
        <w:tc>
          <w:tcPr>
            <w:tcW w:w="1640" w:type="dxa"/>
            <w:vAlign w:val="bottom"/>
            <w:shd w:val="clear" w:color="auto" w:fill="E5E5E5"/>
          </w:tcPr>
          <w:p>
            <w:pPr>
              <w:jc w:val="right"/>
              <w:ind w:right="532"/>
              <w:spacing w:after="0" w:line="149" w:lineRule="exact"/>
              <w:rPr>
                <w:sz w:val="20"/>
                <w:szCs w:val="20"/>
                <w:color w:val="auto"/>
              </w:rPr>
            </w:pPr>
            <w:r>
              <w:rPr>
                <w:rFonts w:ascii="Arial" w:cs="Arial" w:eastAsia="Arial" w:hAnsi="Arial"/>
                <w:sz w:val="14"/>
                <w:szCs w:val="14"/>
                <w:color w:val="auto"/>
              </w:rPr>
              <w:t>9.5%</w:t>
            </w:r>
          </w:p>
        </w:tc>
        <w:tc>
          <w:tcPr>
            <w:tcW w:w="78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9.3%</w:t>
            </w:r>
          </w:p>
        </w:tc>
        <w:tc>
          <w:tcPr>
            <w:tcW w:w="1360" w:type="dxa"/>
            <w:vAlign w:val="bottom"/>
            <w:shd w:val="clear" w:color="auto" w:fill="E5E5E5"/>
          </w:tcPr>
          <w:p>
            <w:pPr>
              <w:jc w:val="right"/>
              <w:ind w:right="532"/>
              <w:spacing w:after="0" w:line="149" w:lineRule="exact"/>
              <w:rPr>
                <w:sz w:val="20"/>
                <w:szCs w:val="20"/>
                <w:color w:val="auto"/>
              </w:rPr>
            </w:pPr>
            <w:r>
              <w:rPr>
                <w:rFonts w:ascii="Arial" w:cs="Arial" w:eastAsia="Arial" w:hAnsi="Arial"/>
                <w:sz w:val="14"/>
                <w:szCs w:val="14"/>
                <w:color w:val="auto"/>
              </w:rPr>
              <w:t>9.4%</w:t>
            </w:r>
          </w:p>
        </w:tc>
        <w:tc>
          <w:tcPr>
            <w:tcW w:w="5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9.3%</w:t>
            </w:r>
          </w:p>
        </w:tc>
      </w:tr>
      <w:tr>
        <w:trPr>
          <w:trHeight w:val="149"/>
        </w:trPr>
        <w:tc>
          <w:tcPr>
            <w:tcW w:w="6760" w:type="dxa"/>
            <w:vAlign w:val="bottom"/>
          </w:tcPr>
          <w:p>
            <w:pPr>
              <w:spacing w:after="0" w:line="149" w:lineRule="exact"/>
              <w:rPr>
                <w:sz w:val="20"/>
                <w:szCs w:val="20"/>
                <w:color w:val="auto"/>
              </w:rPr>
            </w:pPr>
            <w:r>
              <w:rPr>
                <w:rFonts w:ascii="Arial" w:cs="Arial" w:eastAsia="Arial" w:hAnsi="Arial"/>
                <w:sz w:val="14"/>
                <w:szCs w:val="14"/>
                <w:color w:val="auto"/>
              </w:rPr>
              <w:t>Advertising</w:t>
            </w:r>
          </w:p>
        </w:tc>
        <w:tc>
          <w:tcPr>
            <w:tcW w:w="1640" w:type="dxa"/>
            <w:vAlign w:val="bottom"/>
          </w:tcPr>
          <w:p>
            <w:pPr>
              <w:jc w:val="right"/>
              <w:ind w:right="532"/>
              <w:spacing w:after="0" w:line="149" w:lineRule="exact"/>
              <w:rPr>
                <w:sz w:val="20"/>
                <w:szCs w:val="20"/>
                <w:color w:val="auto"/>
              </w:rPr>
            </w:pPr>
            <w:r>
              <w:rPr>
                <w:rFonts w:ascii="Arial" w:cs="Arial" w:eastAsia="Arial" w:hAnsi="Arial"/>
                <w:sz w:val="14"/>
                <w:szCs w:val="14"/>
                <w:color w:val="auto"/>
              </w:rPr>
              <w:t>5.3%</w:t>
            </w:r>
          </w:p>
        </w:tc>
        <w:tc>
          <w:tcPr>
            <w:tcW w:w="7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5.8%</w:t>
            </w:r>
          </w:p>
        </w:tc>
        <w:tc>
          <w:tcPr>
            <w:tcW w:w="1360" w:type="dxa"/>
            <w:vAlign w:val="bottom"/>
          </w:tcPr>
          <w:p>
            <w:pPr>
              <w:jc w:val="right"/>
              <w:ind w:right="532"/>
              <w:spacing w:after="0" w:line="149" w:lineRule="exact"/>
              <w:rPr>
                <w:sz w:val="20"/>
                <w:szCs w:val="20"/>
                <w:color w:val="auto"/>
              </w:rPr>
            </w:pPr>
            <w:r>
              <w:rPr>
                <w:rFonts w:ascii="Arial" w:cs="Arial" w:eastAsia="Arial" w:hAnsi="Arial"/>
                <w:sz w:val="14"/>
                <w:szCs w:val="14"/>
                <w:color w:val="auto"/>
              </w:rPr>
              <w:t>5.3%</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5.4%</w:t>
            </w:r>
          </w:p>
        </w:tc>
      </w:tr>
      <w:tr>
        <w:trPr>
          <w:trHeight w:val="149"/>
        </w:trPr>
        <w:tc>
          <w:tcPr>
            <w:tcW w:w="676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Business services</w:t>
            </w:r>
          </w:p>
        </w:tc>
        <w:tc>
          <w:tcPr>
            <w:tcW w:w="1640" w:type="dxa"/>
            <w:vAlign w:val="bottom"/>
            <w:shd w:val="clear" w:color="auto" w:fill="E5E5E5"/>
          </w:tcPr>
          <w:p>
            <w:pPr>
              <w:jc w:val="right"/>
              <w:ind w:right="532"/>
              <w:spacing w:after="0" w:line="149" w:lineRule="exact"/>
              <w:rPr>
                <w:sz w:val="20"/>
                <w:szCs w:val="20"/>
                <w:color w:val="auto"/>
              </w:rPr>
            </w:pPr>
            <w:r>
              <w:rPr>
                <w:rFonts w:ascii="Arial" w:cs="Arial" w:eastAsia="Arial" w:hAnsi="Arial"/>
                <w:sz w:val="14"/>
                <w:szCs w:val="14"/>
                <w:color w:val="auto"/>
              </w:rPr>
              <w:t>5.0%</w:t>
            </w:r>
          </w:p>
        </w:tc>
        <w:tc>
          <w:tcPr>
            <w:tcW w:w="78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3.7%</w:t>
            </w:r>
          </w:p>
        </w:tc>
        <w:tc>
          <w:tcPr>
            <w:tcW w:w="1360" w:type="dxa"/>
            <w:vAlign w:val="bottom"/>
            <w:shd w:val="clear" w:color="auto" w:fill="E5E5E5"/>
          </w:tcPr>
          <w:p>
            <w:pPr>
              <w:jc w:val="right"/>
              <w:ind w:right="532"/>
              <w:spacing w:after="0" w:line="149" w:lineRule="exact"/>
              <w:rPr>
                <w:sz w:val="20"/>
                <w:szCs w:val="20"/>
                <w:color w:val="auto"/>
              </w:rPr>
            </w:pPr>
            <w:r>
              <w:rPr>
                <w:rFonts w:ascii="Arial" w:cs="Arial" w:eastAsia="Arial" w:hAnsi="Arial"/>
                <w:sz w:val="14"/>
                <w:szCs w:val="14"/>
                <w:color w:val="auto"/>
              </w:rPr>
              <w:t>4.7%</w:t>
            </w:r>
          </w:p>
        </w:tc>
        <w:tc>
          <w:tcPr>
            <w:tcW w:w="5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3.4%</w:t>
            </w:r>
          </w:p>
        </w:tc>
      </w:tr>
      <w:tr>
        <w:trPr>
          <w:trHeight w:val="149"/>
        </w:trPr>
        <w:tc>
          <w:tcPr>
            <w:tcW w:w="67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Other</w:t>
            </w:r>
          </w:p>
        </w:tc>
        <w:tc>
          <w:tcPr>
            <w:tcW w:w="1640" w:type="dxa"/>
            <w:vAlign w:val="bottom"/>
            <w:tcBorders>
              <w:bottom w:val="single" w:sz="8" w:color="auto"/>
            </w:tcBorders>
          </w:tcPr>
          <w:p>
            <w:pPr>
              <w:jc w:val="right"/>
              <w:ind w:right="532"/>
              <w:spacing w:after="0" w:line="149" w:lineRule="exact"/>
              <w:rPr>
                <w:sz w:val="20"/>
                <w:szCs w:val="20"/>
                <w:color w:val="auto"/>
              </w:rPr>
            </w:pPr>
            <w:r>
              <w:rPr>
                <w:rFonts w:ascii="Arial" w:cs="Arial" w:eastAsia="Arial" w:hAnsi="Arial"/>
                <w:sz w:val="14"/>
                <w:szCs w:val="14"/>
                <w:color w:val="auto"/>
              </w:rPr>
              <w:t>4.2%</w:t>
            </w:r>
          </w:p>
        </w:tc>
        <w:tc>
          <w:tcPr>
            <w:tcW w:w="78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4.1%</w:t>
            </w:r>
          </w:p>
        </w:tc>
        <w:tc>
          <w:tcPr>
            <w:tcW w:w="1360" w:type="dxa"/>
            <w:vAlign w:val="bottom"/>
            <w:tcBorders>
              <w:bottom w:val="single" w:sz="8" w:color="auto"/>
            </w:tcBorders>
          </w:tcPr>
          <w:p>
            <w:pPr>
              <w:jc w:val="right"/>
              <w:ind w:right="532"/>
              <w:spacing w:after="0" w:line="149" w:lineRule="exact"/>
              <w:rPr>
                <w:sz w:val="20"/>
                <w:szCs w:val="20"/>
                <w:color w:val="auto"/>
              </w:rPr>
            </w:pPr>
            <w:r>
              <w:rPr>
                <w:rFonts w:ascii="Arial" w:cs="Arial" w:eastAsia="Arial" w:hAnsi="Arial"/>
                <w:sz w:val="14"/>
                <w:szCs w:val="14"/>
                <w:color w:val="auto"/>
              </w:rPr>
              <w:t>4.2%</w:t>
            </w: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w:t>
            </w:r>
          </w:p>
        </w:tc>
      </w:tr>
      <w:tr>
        <w:trPr>
          <w:trHeight w:val="149"/>
        </w:trPr>
        <w:tc>
          <w:tcPr>
            <w:tcW w:w="6760" w:type="dxa"/>
            <w:vAlign w:val="bottom"/>
            <w:tcBorders>
              <w:bottom w:val="single" w:sz="8" w:color="auto"/>
            </w:tcBorders>
            <w:shd w:val="clear" w:color="auto" w:fill="E5E5E5"/>
          </w:tcPr>
          <w:p>
            <w:pPr>
              <w:spacing w:after="0" w:line="142" w:lineRule="exact"/>
              <w:rPr>
                <w:sz w:val="20"/>
                <w:szCs w:val="20"/>
                <w:color w:val="auto"/>
              </w:rPr>
            </w:pPr>
            <w:r>
              <w:rPr>
                <w:rFonts w:ascii="Arial" w:cs="Arial" w:eastAsia="Arial" w:hAnsi="Arial"/>
                <w:sz w:val="14"/>
                <w:szCs w:val="14"/>
                <w:color w:val="auto"/>
              </w:rPr>
              <w:t>Total</w:t>
            </w:r>
          </w:p>
        </w:tc>
        <w:tc>
          <w:tcPr>
            <w:tcW w:w="1640" w:type="dxa"/>
            <w:vAlign w:val="bottom"/>
            <w:tcBorders>
              <w:bottom w:val="single" w:sz="8" w:color="auto"/>
            </w:tcBorders>
            <w:shd w:val="clear" w:color="auto" w:fill="E5E5E5"/>
          </w:tcPr>
          <w:p>
            <w:pPr>
              <w:jc w:val="right"/>
              <w:ind w:right="532"/>
              <w:spacing w:after="0" w:line="142" w:lineRule="exact"/>
              <w:rPr>
                <w:sz w:val="20"/>
                <w:szCs w:val="20"/>
                <w:color w:val="auto"/>
              </w:rPr>
            </w:pPr>
            <w:r>
              <w:rPr>
                <w:rFonts w:ascii="Arial" w:cs="Arial" w:eastAsia="Arial" w:hAnsi="Arial"/>
                <w:sz w:val="14"/>
                <w:szCs w:val="14"/>
                <w:color w:val="auto"/>
              </w:rPr>
              <w:t>100.0%</w:t>
            </w:r>
          </w:p>
        </w:tc>
        <w:tc>
          <w:tcPr>
            <w:tcW w:w="780" w:type="dxa"/>
            <w:vAlign w:val="bottom"/>
            <w:tcBorders>
              <w:bottom w:val="single" w:sz="8" w:color="auto"/>
            </w:tcBorders>
            <w:shd w:val="clear" w:color="auto" w:fill="E5E5E5"/>
          </w:tcPr>
          <w:p>
            <w:pPr>
              <w:jc w:val="right"/>
              <w:ind w:right="212"/>
              <w:spacing w:after="0" w:line="142" w:lineRule="exact"/>
              <w:rPr>
                <w:sz w:val="20"/>
                <w:szCs w:val="20"/>
                <w:color w:val="auto"/>
              </w:rPr>
            </w:pPr>
            <w:r>
              <w:rPr>
                <w:rFonts w:ascii="Arial" w:cs="Arial" w:eastAsia="Arial" w:hAnsi="Arial"/>
                <w:sz w:val="14"/>
                <w:szCs w:val="14"/>
                <w:color w:val="auto"/>
              </w:rPr>
              <w:t>100.0%</w:t>
            </w:r>
          </w:p>
        </w:tc>
        <w:tc>
          <w:tcPr>
            <w:tcW w:w="1360" w:type="dxa"/>
            <w:vAlign w:val="bottom"/>
            <w:tcBorders>
              <w:bottom w:val="single" w:sz="8" w:color="auto"/>
            </w:tcBorders>
            <w:shd w:val="clear" w:color="auto" w:fill="E5E5E5"/>
          </w:tcPr>
          <w:p>
            <w:pPr>
              <w:jc w:val="right"/>
              <w:ind w:right="532"/>
              <w:spacing w:after="0" w:line="142" w:lineRule="exact"/>
              <w:rPr>
                <w:sz w:val="20"/>
                <w:szCs w:val="20"/>
                <w:color w:val="auto"/>
              </w:rPr>
            </w:pPr>
            <w:r>
              <w:rPr>
                <w:rFonts w:ascii="Arial" w:cs="Arial" w:eastAsia="Arial" w:hAnsi="Arial"/>
                <w:sz w:val="14"/>
                <w:szCs w:val="14"/>
                <w:color w:val="auto"/>
              </w:rPr>
              <w:t>100.0%</w:t>
            </w:r>
          </w:p>
        </w:tc>
        <w:tc>
          <w:tcPr>
            <w:tcW w:w="52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w w:val="96"/>
              </w:rPr>
              <w:t>100.0%</w:t>
            </w:r>
          </w:p>
        </w:tc>
      </w:tr>
    </w:tbl>
    <w:p>
      <w:pPr>
        <w:spacing w:after="0" w:line="57" w:lineRule="exact"/>
        <w:rPr>
          <w:sz w:val="20"/>
          <w:szCs w:val="20"/>
          <w:color w:val="auto"/>
        </w:rPr>
      </w:pPr>
    </w:p>
    <w:p>
      <w:pPr>
        <w:ind w:left="360"/>
        <w:spacing w:after="0"/>
        <w:rPr>
          <w:sz w:val="20"/>
          <w:szCs w:val="20"/>
          <w:color w:val="auto"/>
        </w:rPr>
      </w:pPr>
      <w:r>
        <w:rPr>
          <w:rFonts w:ascii="Arial" w:cs="Arial" w:eastAsia="Arial" w:hAnsi="Arial"/>
          <w:sz w:val="12"/>
          <w:szCs w:val="12"/>
          <w:color w:val="auto"/>
        </w:rPr>
        <w:t>Subscription revenue received from customers who purchase bundled services at a discounted rate is allocated proportionally to each service based on the individual service’s price on a stand-alone basis.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2"/>
          <w:szCs w:val="12"/>
          <w:color w:val="auto"/>
        </w:rPr>
        <w:t>For both the three and nine months ended September 30, 2011 and 2010, approximately 2.8% of Cable Communications revenue was derived from franchise and other regulatory fees.</w:t>
      </w:r>
    </w:p>
    <w:p>
      <w:pPr>
        <w:spacing w:after="0" w:line="66" w:lineRule="exact"/>
        <w:rPr>
          <w:sz w:val="20"/>
          <w:szCs w:val="20"/>
          <w:color w:val="auto"/>
        </w:rPr>
      </w:pPr>
    </w:p>
    <w:p>
      <w:pPr>
        <w:ind w:left="340" w:right="20" w:hanging="332"/>
        <w:spacing w:after="0" w:line="239"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Cable Networks segment consists primarily of the NBCUniversal national cable networks, international cable networks, cable television production studio and certain digital media properties, and the Comcast Content Business.</w:t>
      </w:r>
    </w:p>
    <w:p>
      <w:pPr>
        <w:spacing w:after="0" w:line="43"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Broadcast Television segment consists primarily of the NBC network and its owned NBC affiliated local television stations, the Telemundo network and its owned Telemundo affiliated local television stations, our broadcast television production operations, and related digital media properties.</w:t>
      </w:r>
    </w:p>
    <w:p>
      <w:pPr>
        <w:spacing w:after="0" w:line="43"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Filmed Entertainment segment represents the operations of Universal Pictures, which produces, acquires, markets and distributes filmed entertainment and stage plays worldwide in various media formats for theatrical, home entertainment, television and other distribution platforms.</w:t>
      </w:r>
    </w:p>
    <w:p>
      <w:pPr>
        <w:spacing w:after="0" w:line="43"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Theme Parks segment consists primarily of Universal theme parks in Orlando and Hollywood, our Wet ‘n Wild water park, and fees for intellectual property licenses and other services from third parties that own and operate Universal Studios Japan and Universal Studios Singapore.</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NBCUniversal Headquarters and Other activities include costs associated with overhead and allocations and employee benefits.</w:t>
      </w:r>
    </w:p>
    <w:p>
      <w:pPr>
        <w:spacing w:after="0" w:line="55" w:lineRule="exact"/>
        <w:rPr>
          <w:rFonts w:ascii="Arial" w:cs="Arial" w:eastAsia="Arial" w:hAnsi="Arial"/>
          <w:sz w:val="14"/>
          <w:szCs w:val="14"/>
          <w:color w:val="auto"/>
        </w:rPr>
      </w:pPr>
    </w:p>
    <w:p>
      <w:pPr>
        <w:jc w:val="both"/>
        <w:ind w:left="340" w:right="20" w:hanging="332"/>
        <w:spacing w:after="0" w:line="233"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Eliminations include the results of operations for UCDP for the period January 29, 2011 through June 30, 2011. The Theme Parks segment includes these amounts to reflect the current segment performance measure but these amounts are not included when we measure total NBCUniversal and our consolidated results of operations because we recorded UCDP as an equity method investment in our consolidated financial statements during this period.</w:t>
      </w:r>
    </w:p>
    <w:p>
      <w:pPr>
        <w:spacing w:after="0" w:line="44" w:lineRule="exact"/>
        <w:rPr>
          <w:rFonts w:ascii="Arial" w:cs="Arial" w:eastAsia="Arial" w:hAnsi="Arial"/>
          <w:sz w:val="14"/>
          <w:szCs w:val="14"/>
          <w:color w:val="auto"/>
        </w:rPr>
      </w:pPr>
    </w:p>
    <w:p>
      <w:pPr>
        <w:ind w:left="360"/>
        <w:spacing w:after="0"/>
        <w:rPr>
          <w:rFonts w:ascii="Arial" w:cs="Arial" w:eastAsia="Arial" w:hAnsi="Arial"/>
          <w:sz w:val="14"/>
          <w:szCs w:val="14"/>
          <w:color w:val="auto"/>
        </w:rPr>
      </w:pPr>
      <w:r>
        <w:rPr>
          <w:rFonts w:ascii="Arial" w:cs="Arial" w:eastAsia="Arial" w:hAnsi="Arial"/>
          <w:sz w:val="14"/>
          <w:szCs w:val="14"/>
          <w:color w:val="auto"/>
        </w:rPr>
        <w:t>Also included in Eliminations are transactions that our segments enter into with one another. The most common types of transactions are the following:</w:t>
      </w:r>
    </w:p>
    <w:p>
      <w:pPr>
        <w:spacing w:after="0" w:line="68" w:lineRule="exact"/>
        <w:rPr>
          <w:rFonts w:ascii="Arial" w:cs="Arial" w:eastAsia="Arial" w:hAnsi="Arial"/>
          <w:sz w:val="14"/>
          <w:szCs w:val="14"/>
          <w:color w:val="auto"/>
        </w:rPr>
      </w:pPr>
    </w:p>
    <w:p>
      <w:pPr>
        <w:ind w:left="1020" w:right="1260" w:hanging="215"/>
        <w:spacing w:after="0" w:line="239" w:lineRule="auto"/>
        <w:tabs>
          <w:tab w:leader="none" w:pos="1020" w:val="left"/>
        </w:tabs>
        <w:numPr>
          <w:ilvl w:val="1"/>
          <w:numId w:val="6"/>
        </w:numPr>
        <w:rPr>
          <w:rFonts w:ascii="Arial" w:cs="Arial" w:eastAsia="Arial" w:hAnsi="Arial"/>
          <w:sz w:val="14"/>
          <w:szCs w:val="14"/>
          <w:color w:val="auto"/>
        </w:rPr>
      </w:pPr>
      <w:r>
        <w:rPr>
          <w:rFonts w:ascii="Arial" w:cs="Arial" w:eastAsia="Arial" w:hAnsi="Arial"/>
          <w:sz w:val="14"/>
          <w:szCs w:val="14"/>
          <w:color w:val="auto"/>
        </w:rPr>
        <w:t>our Cable Networks and Broadcast Television segments generate revenue by selling programming to our Cable Communications segment, which represents a substantial majority of the revenue elimination amount</w:t>
      </w:r>
    </w:p>
    <w:p>
      <w:pPr>
        <w:spacing w:after="0" w:line="57"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1"/>
          <w:numId w:val="6"/>
        </w:numPr>
        <w:rPr>
          <w:rFonts w:ascii="Arial" w:cs="Arial" w:eastAsia="Arial" w:hAnsi="Arial"/>
          <w:sz w:val="14"/>
          <w:szCs w:val="14"/>
          <w:color w:val="auto"/>
        </w:rPr>
      </w:pPr>
      <w:r>
        <w:rPr>
          <w:rFonts w:ascii="Arial" w:cs="Arial" w:eastAsia="Arial" w:hAnsi="Arial"/>
          <w:sz w:val="14"/>
          <w:szCs w:val="14"/>
          <w:color w:val="auto"/>
        </w:rPr>
        <w:t>our Cable Communications segment receives incentives offered by our Cable Networks segment in connection with its distribution of the Cable Networks’ content that are recorded as a reduction to programming expenses</w:t>
      </w:r>
    </w:p>
    <w:p>
      <w:pPr>
        <w:spacing w:after="0" w:line="57" w:lineRule="exact"/>
        <w:rPr>
          <w:rFonts w:ascii="Arial" w:cs="Arial" w:eastAsia="Arial" w:hAnsi="Arial"/>
          <w:sz w:val="14"/>
          <w:szCs w:val="14"/>
          <w:color w:val="auto"/>
        </w:rPr>
      </w:pPr>
    </w:p>
    <w:p>
      <w:pPr>
        <w:ind w:left="1020" w:hanging="215"/>
        <w:spacing w:after="0"/>
        <w:tabs>
          <w:tab w:leader="none" w:pos="1020" w:val="left"/>
        </w:tabs>
        <w:numPr>
          <w:ilvl w:val="1"/>
          <w:numId w:val="6"/>
        </w:numPr>
        <w:rPr>
          <w:rFonts w:ascii="Arial" w:cs="Arial" w:eastAsia="Arial" w:hAnsi="Arial"/>
          <w:sz w:val="14"/>
          <w:szCs w:val="14"/>
          <w:color w:val="auto"/>
        </w:rPr>
      </w:pPr>
      <w:r>
        <w:rPr>
          <w:rFonts w:ascii="Arial" w:cs="Arial" w:eastAsia="Arial" w:hAnsi="Arial"/>
          <w:sz w:val="14"/>
          <w:szCs w:val="14"/>
          <w:color w:val="auto"/>
        </w:rPr>
        <w:t>our Cable Communications segment generates revenue by selling advertising and by selling the use of satellite feeds to our Cable Networks segment</w:t>
      </w:r>
    </w:p>
    <w:p>
      <w:pPr>
        <w:spacing w:after="0" w:line="68" w:lineRule="exact"/>
        <w:rPr>
          <w:rFonts w:ascii="Arial" w:cs="Arial" w:eastAsia="Arial" w:hAnsi="Arial"/>
          <w:sz w:val="14"/>
          <w:szCs w:val="14"/>
          <w:color w:val="auto"/>
        </w:rPr>
      </w:pPr>
    </w:p>
    <w:p>
      <w:pPr>
        <w:ind w:left="1020" w:hanging="215"/>
        <w:spacing w:after="0"/>
        <w:tabs>
          <w:tab w:leader="none" w:pos="1020" w:val="left"/>
        </w:tabs>
        <w:numPr>
          <w:ilvl w:val="1"/>
          <w:numId w:val="6"/>
        </w:numPr>
        <w:rPr>
          <w:rFonts w:ascii="Arial" w:cs="Arial" w:eastAsia="Arial" w:hAnsi="Arial"/>
          <w:sz w:val="14"/>
          <w:szCs w:val="14"/>
          <w:color w:val="auto"/>
        </w:rPr>
      </w:pPr>
      <w:r>
        <w:rPr>
          <w:rFonts w:ascii="Arial" w:cs="Arial" w:eastAsia="Arial" w:hAnsi="Arial"/>
          <w:sz w:val="14"/>
          <w:szCs w:val="14"/>
          <w:color w:val="auto"/>
        </w:rPr>
        <w:t>our Filmed Entertainment and Broadcast Television segments generate revenue by licensing content to our Cable Networks segment</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Corporate and Other activities include Comcast Spectacor, corporate activities and all other businesses not presented in our reportable segments.</w:t>
      </w:r>
    </w:p>
    <w:p>
      <w:pPr>
        <w:spacing w:after="0" w:line="55"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Non-U.S. revenue, primarily in Europe and Asia, for the three and nine months ended September 30, 2011 was approximately $1.1 billion and $2.9 billion, respectively. Non-U.S. revenue was not significant for the three and nine months ended September 30, 2010. No single customer accounted for a significant amount of our revenue in any period.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both"/>
        <w:ind w:left="340" w:hanging="332"/>
        <w:spacing w:after="0" w:line="268"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We use operating income (loss) before depreciation and amortization, excluding impairment charges related to fixed and intangible assets and gains or losses from the sale of assets, if any, to measure the profit or loss of our operating segments. This measure eliminates the significant level of noncash depreciation and amortization expense that results from the capital-intensive nature of certain of our businesses and from intangible assets recognized in business combinations. It is also unaffected by our capital structure or investment activities. We use this measure to evaluate our consolidated operating performance,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other companies in our industries, although our measure may not be directly comparable to similar measures used by other companies. This measure should not be considered a substitute for operating income (loss), net income (loss) attributable to Comcast Corporation, net cash provided by operating activities, or other measures of performance or liquidity reported in accordance with GAAP.</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18: Condensed Consolidating Financial Information</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Comcast Corporation and four of our 100% owned cable holding company subsidiaries, Comcast Cable Communications, LLC (“CCCL”), Comcast MO Group, Inc. (“Comcast MO Group”), Comcast Cable Holdings, LLC (“CCH”) and Comcast MO of Delaware, LLC (“Comcast MO of Delaware”), have fully and unconditionally guaranteed each other’s debt securities. Comcast MO Group, CCH and Comcast MO of Delaware are collectively referred to as the “Combined CCHMO Parents.”</w:t>
      </w:r>
    </w:p>
    <w:p>
      <w:pPr>
        <w:spacing w:after="0" w:line="49"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Comcast Corporation provides an unconditional subordinated guarantee of the $185 million principal amount currently outstanding of Comcast Holdings’ ZONES due October 2029 and the $202 million principal amount currently outstanding of Comcast Holdings’ 10</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20"/>
          <w:szCs w:val="20"/>
          <w:color w:val="auto"/>
          <w:vertAlign w:val="subscript"/>
        </w:rPr>
        <w:t>8</w:t>
      </w:r>
      <w:r>
        <w:rPr>
          <w:rFonts w:ascii="Arial" w:cs="Arial" w:eastAsia="Arial" w:hAnsi="Arial"/>
          <w:sz w:val="16"/>
          <w:szCs w:val="16"/>
          <w:color w:val="auto"/>
        </w:rPr>
        <w:t>% senior subordinated debentures due 2012. Comcast Corporation does not guarantee the $62 million principal amount currently outstanding of Comcast Holdings’ ZONES due November 2029.</w:t>
      </w:r>
    </w:p>
    <w:p>
      <w:pPr>
        <w:spacing w:after="0" w:line="2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As a result of the NBCUniversal transaction on January 28, 2011, our investments in NBCUniversal Holdings are held by the Comcast parent and Comcast Holdings. Certain entities of the Comcast Content Business were subsidiaries of Comcast Holdings. Since these entities were contributed to NBCUniversal Holdings, they are included with the Comcast Parent’s investment in NBCUniversal Holdings. However, the operations of these businesses are presented in the nonguarantor subsidiaries column. Our condensed consolidating financial information is presented in the tables below.</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center"/>
              <w:ind w:right="172"/>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Combined</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Non-</w:t>
            </w:r>
          </w:p>
        </w:tc>
        <w:tc>
          <w:tcPr>
            <w:tcW w:w="220" w:type="dxa"/>
            <w:vAlign w:val="bottom"/>
          </w:tcPr>
          <w:p>
            <w:pPr>
              <w:spacing w:after="0"/>
              <w:rPr>
                <w:sz w:val="12"/>
                <w:szCs w:val="12"/>
                <w:color w:val="auto"/>
              </w:rPr>
            </w:pPr>
          </w:p>
        </w:tc>
        <w:tc>
          <w:tcPr>
            <w:tcW w:w="880" w:type="dxa"/>
            <w:vAlign w:val="bottom"/>
          </w:tcPr>
          <w:p>
            <w:pPr>
              <w:jc w:val="center"/>
              <w:ind w:right="172"/>
              <w:spacing w:after="0" w:line="149" w:lineRule="exact"/>
              <w:rPr>
                <w:sz w:val="20"/>
                <w:szCs w:val="20"/>
                <w:color w:val="auto"/>
              </w:rPr>
            </w:pPr>
            <w:r>
              <w:rPr>
                <w:rFonts w:ascii="Arial" w:cs="Arial" w:eastAsia="Arial" w:hAnsi="Arial"/>
                <w:sz w:val="14"/>
                <w:szCs w:val="14"/>
                <w:color w:val="auto"/>
                <w:w w:val="85"/>
              </w:rPr>
              <w:t>and</w:t>
            </w:r>
          </w:p>
        </w:tc>
        <w:tc>
          <w:tcPr>
            <w:tcW w:w="9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18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Comcast</w:t>
            </w:r>
          </w:p>
        </w:tc>
        <w:tc>
          <w:tcPr>
            <w:tcW w:w="72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CCCL</w:t>
            </w:r>
          </w:p>
        </w:tc>
        <w:tc>
          <w:tcPr>
            <w:tcW w:w="86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CCHMO</w:t>
            </w:r>
          </w:p>
        </w:tc>
        <w:tc>
          <w:tcPr>
            <w:tcW w:w="7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Comcast</w:t>
            </w:r>
          </w:p>
        </w:tc>
        <w:tc>
          <w:tcPr>
            <w:tcW w:w="94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Guarantor</w:t>
            </w:r>
          </w:p>
        </w:tc>
        <w:tc>
          <w:tcPr>
            <w:tcW w:w="11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68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49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180" w:type="dxa"/>
            <w:vAlign w:val="bottom"/>
            <w:gridSpan w:val="2"/>
          </w:tcPr>
          <w:p>
            <w:pPr>
              <w:jc w:val="right"/>
              <w:ind w:right="132"/>
              <w:spacing w:after="0"/>
              <w:rPr>
                <w:sz w:val="20"/>
                <w:szCs w:val="20"/>
                <w:color w:val="auto"/>
              </w:rPr>
            </w:pPr>
            <w:r>
              <w:rPr>
                <w:rFonts w:ascii="Arial" w:cs="Arial" w:eastAsia="Arial" w:hAnsi="Arial"/>
                <w:sz w:val="14"/>
                <w:szCs w:val="14"/>
                <w:color w:val="auto"/>
              </w:rPr>
              <w:t>Parent</w:t>
            </w:r>
          </w:p>
        </w:tc>
        <w:tc>
          <w:tcPr>
            <w:tcW w:w="720" w:type="dxa"/>
            <w:vAlign w:val="bottom"/>
            <w:gridSpan w:val="2"/>
          </w:tcPr>
          <w:p>
            <w:pPr>
              <w:jc w:val="right"/>
              <w:ind w:right="112"/>
              <w:spacing w:after="0"/>
              <w:rPr>
                <w:sz w:val="20"/>
                <w:szCs w:val="20"/>
                <w:color w:val="auto"/>
              </w:rPr>
            </w:pPr>
            <w:r>
              <w:rPr>
                <w:rFonts w:ascii="Arial" w:cs="Arial" w:eastAsia="Arial" w:hAnsi="Arial"/>
                <w:sz w:val="14"/>
                <w:szCs w:val="14"/>
                <w:color w:val="auto"/>
              </w:rPr>
              <w:t>Parent</w:t>
            </w:r>
          </w:p>
        </w:tc>
        <w:tc>
          <w:tcPr>
            <w:tcW w:w="220" w:type="dxa"/>
            <w:vAlign w:val="bottom"/>
          </w:tcPr>
          <w:p>
            <w:pPr>
              <w:spacing w:after="0"/>
              <w:rPr>
                <w:sz w:val="15"/>
                <w:szCs w:val="15"/>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color w:val="auto"/>
                <w:w w:val="82"/>
              </w:rPr>
              <w:t>Parents</w:t>
            </w:r>
          </w:p>
        </w:tc>
        <w:tc>
          <w:tcPr>
            <w:tcW w:w="780" w:type="dxa"/>
            <w:vAlign w:val="bottom"/>
            <w:gridSpan w:val="2"/>
          </w:tcPr>
          <w:p>
            <w:pPr>
              <w:ind w:left="140"/>
              <w:spacing w:after="0"/>
              <w:rPr>
                <w:sz w:val="20"/>
                <w:szCs w:val="20"/>
                <w:color w:val="auto"/>
              </w:rPr>
            </w:pPr>
            <w:r>
              <w:rPr>
                <w:rFonts w:ascii="Arial" w:cs="Arial" w:eastAsia="Arial" w:hAnsi="Arial"/>
                <w:sz w:val="14"/>
                <w:szCs w:val="14"/>
                <w:color w:val="auto"/>
              </w:rPr>
              <w:t>Holdings</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Subsidiaries</w:t>
            </w: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00" w:type="dxa"/>
            <w:vAlign w:val="bottom"/>
            <w:gridSpan w:val="2"/>
          </w:tcPr>
          <w:p>
            <w:pPr>
              <w:jc w:val="right"/>
              <w:ind w:right="32"/>
              <w:spacing w:after="0"/>
              <w:rPr>
                <w:sz w:val="20"/>
                <w:szCs w:val="20"/>
                <w:color w:val="auto"/>
              </w:rPr>
            </w:pPr>
            <w:r>
              <w:rPr>
                <w:rFonts w:ascii="Arial" w:cs="Arial" w:eastAsia="Arial" w:hAnsi="Arial"/>
                <w:sz w:val="14"/>
                <w:szCs w:val="14"/>
                <w:color w:val="auto"/>
              </w:rPr>
              <w:t>Corporation</w:t>
            </w:r>
          </w:p>
        </w:tc>
      </w:tr>
      <w:tr>
        <w:trPr>
          <w:trHeight w:val="142"/>
        </w:trPr>
        <w:tc>
          <w:tcPr>
            <w:tcW w:w="20" w:type="dxa"/>
            <w:vAlign w:val="bottom"/>
          </w:tcPr>
          <w:p>
            <w:pPr>
              <w:spacing w:after="0"/>
              <w:rPr>
                <w:sz w:val="12"/>
                <w:szCs w:val="12"/>
                <w:color w:val="auto"/>
              </w:rPr>
            </w:pPr>
          </w:p>
        </w:tc>
        <w:tc>
          <w:tcPr>
            <w:tcW w:w="4920" w:type="dxa"/>
            <w:vAlign w:val="bottom"/>
            <w:tcBorders>
              <w:top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Assets</w:t>
            </w:r>
          </w:p>
        </w:tc>
        <w:tc>
          <w:tcPr>
            <w:tcW w:w="640" w:type="dxa"/>
            <w:vAlign w:val="bottom"/>
            <w:tcBorders>
              <w:top w:val="single" w:sz="8" w:color="auto"/>
            </w:tcBorders>
            <w:shd w:val="clear" w:color="auto" w:fill="E5E5E5"/>
          </w:tcPr>
          <w:p>
            <w:pPr>
              <w:spacing w:after="0"/>
              <w:rPr>
                <w:sz w:val="12"/>
                <w:szCs w:val="12"/>
                <w:color w:val="auto"/>
              </w:rPr>
            </w:pPr>
          </w:p>
        </w:tc>
        <w:tc>
          <w:tcPr>
            <w:tcW w:w="540" w:type="dxa"/>
            <w:vAlign w:val="bottom"/>
            <w:tcBorders>
              <w:top w:val="single" w:sz="8" w:color="auto"/>
            </w:tcBorders>
            <w:shd w:val="clear" w:color="auto" w:fill="E5E5E5"/>
          </w:tcPr>
          <w:p>
            <w:pPr>
              <w:spacing w:after="0"/>
              <w:rPr>
                <w:sz w:val="12"/>
                <w:szCs w:val="12"/>
                <w:color w:val="auto"/>
              </w:rPr>
            </w:pPr>
          </w:p>
        </w:tc>
        <w:tc>
          <w:tcPr>
            <w:tcW w:w="220" w:type="dxa"/>
            <w:vAlign w:val="bottom"/>
            <w:tcBorders>
              <w:top w:val="single" w:sz="8" w:color="auto"/>
            </w:tcBorders>
            <w:shd w:val="clear" w:color="auto" w:fill="E5E5E5"/>
          </w:tcPr>
          <w:p>
            <w:pPr>
              <w:spacing w:after="0"/>
              <w:rPr>
                <w:sz w:val="12"/>
                <w:szCs w:val="12"/>
                <w:color w:val="auto"/>
              </w:rPr>
            </w:pPr>
          </w:p>
        </w:tc>
        <w:tc>
          <w:tcPr>
            <w:tcW w:w="500" w:type="dxa"/>
            <w:vAlign w:val="bottom"/>
            <w:tcBorders>
              <w:top w:val="single" w:sz="8" w:color="auto"/>
            </w:tcBorders>
            <w:shd w:val="clear" w:color="auto" w:fill="E5E5E5"/>
          </w:tcPr>
          <w:p>
            <w:pPr>
              <w:spacing w:after="0"/>
              <w:rPr>
                <w:sz w:val="12"/>
                <w:szCs w:val="12"/>
                <w:color w:val="auto"/>
              </w:rPr>
            </w:pPr>
          </w:p>
        </w:tc>
        <w:tc>
          <w:tcPr>
            <w:tcW w:w="220" w:type="dxa"/>
            <w:vAlign w:val="bottom"/>
            <w:tcBorders>
              <w:top w:val="single" w:sz="8" w:color="auto"/>
            </w:tcBorders>
            <w:shd w:val="clear" w:color="auto" w:fill="E5E5E5"/>
          </w:tcPr>
          <w:p>
            <w:pPr>
              <w:spacing w:after="0"/>
              <w:rPr>
                <w:sz w:val="12"/>
                <w:szCs w:val="12"/>
                <w:color w:val="auto"/>
              </w:rPr>
            </w:pPr>
          </w:p>
        </w:tc>
        <w:tc>
          <w:tcPr>
            <w:tcW w:w="640" w:type="dxa"/>
            <w:vAlign w:val="bottom"/>
            <w:tcBorders>
              <w:top w:val="single" w:sz="8" w:color="auto"/>
            </w:tcBorders>
            <w:shd w:val="clear" w:color="auto" w:fill="E5E5E5"/>
          </w:tcPr>
          <w:p>
            <w:pPr>
              <w:spacing w:after="0"/>
              <w:rPr>
                <w:sz w:val="12"/>
                <w:szCs w:val="12"/>
                <w:color w:val="auto"/>
              </w:rPr>
            </w:pPr>
          </w:p>
        </w:tc>
        <w:tc>
          <w:tcPr>
            <w:tcW w:w="240" w:type="dxa"/>
            <w:vAlign w:val="bottom"/>
            <w:tcBorders>
              <w:top w:val="single" w:sz="8" w:color="auto"/>
            </w:tcBorders>
            <w:shd w:val="clear" w:color="auto" w:fill="E5E5E5"/>
          </w:tcPr>
          <w:p>
            <w:pPr>
              <w:spacing w:after="0"/>
              <w:rPr>
                <w:sz w:val="12"/>
                <w:szCs w:val="12"/>
                <w:color w:val="auto"/>
              </w:rPr>
            </w:pPr>
          </w:p>
        </w:tc>
        <w:tc>
          <w:tcPr>
            <w:tcW w:w="540" w:type="dxa"/>
            <w:vAlign w:val="bottom"/>
            <w:tcBorders>
              <w:top w:val="single" w:sz="8" w:color="auto"/>
            </w:tcBorders>
            <w:shd w:val="clear" w:color="auto" w:fill="E5E5E5"/>
          </w:tcPr>
          <w:p>
            <w:pPr>
              <w:spacing w:after="0"/>
              <w:rPr>
                <w:sz w:val="12"/>
                <w:szCs w:val="12"/>
                <w:color w:val="auto"/>
              </w:rPr>
            </w:pPr>
          </w:p>
        </w:tc>
        <w:tc>
          <w:tcPr>
            <w:tcW w:w="280" w:type="dxa"/>
            <w:vAlign w:val="bottom"/>
            <w:tcBorders>
              <w:top w:val="single" w:sz="8" w:color="auto"/>
            </w:tcBorders>
            <w:shd w:val="clear" w:color="auto" w:fill="E5E5E5"/>
          </w:tcPr>
          <w:p>
            <w:pPr>
              <w:spacing w:after="0"/>
              <w:rPr>
                <w:sz w:val="12"/>
                <w:szCs w:val="12"/>
                <w:color w:val="auto"/>
              </w:rPr>
            </w:pPr>
          </w:p>
        </w:tc>
        <w:tc>
          <w:tcPr>
            <w:tcW w:w="660" w:type="dxa"/>
            <w:vAlign w:val="bottom"/>
            <w:tcBorders>
              <w:top w:val="single" w:sz="8" w:color="auto"/>
            </w:tcBorders>
            <w:shd w:val="clear" w:color="auto" w:fill="E5E5E5"/>
          </w:tcPr>
          <w:p>
            <w:pPr>
              <w:spacing w:after="0"/>
              <w:rPr>
                <w:sz w:val="12"/>
                <w:szCs w:val="12"/>
                <w:color w:val="auto"/>
              </w:rPr>
            </w:pPr>
          </w:p>
        </w:tc>
        <w:tc>
          <w:tcPr>
            <w:tcW w:w="220" w:type="dxa"/>
            <w:vAlign w:val="bottom"/>
            <w:tcBorders>
              <w:top w:val="single" w:sz="8" w:color="auto"/>
            </w:tcBorders>
            <w:shd w:val="clear" w:color="auto" w:fill="E5E5E5"/>
          </w:tcPr>
          <w:p>
            <w:pPr>
              <w:spacing w:after="0"/>
              <w:rPr>
                <w:sz w:val="12"/>
                <w:szCs w:val="12"/>
                <w:color w:val="auto"/>
              </w:rPr>
            </w:pPr>
          </w:p>
        </w:tc>
        <w:tc>
          <w:tcPr>
            <w:tcW w:w="880" w:type="dxa"/>
            <w:vAlign w:val="bottom"/>
            <w:tcBorders>
              <w:top w:val="single" w:sz="8" w:color="auto"/>
            </w:tcBorders>
            <w:shd w:val="clear" w:color="auto" w:fill="E5E5E5"/>
          </w:tcPr>
          <w:p>
            <w:pPr>
              <w:spacing w:after="0"/>
              <w:rPr>
                <w:sz w:val="12"/>
                <w:szCs w:val="12"/>
                <w:color w:val="auto"/>
              </w:rPr>
            </w:pPr>
          </w:p>
        </w:tc>
        <w:tc>
          <w:tcPr>
            <w:tcW w:w="220" w:type="dxa"/>
            <w:vAlign w:val="bottom"/>
            <w:tcBorders>
              <w:top w:val="single" w:sz="8" w:color="auto"/>
            </w:tcBorders>
            <w:shd w:val="clear" w:color="auto" w:fill="E5E5E5"/>
          </w:tcPr>
          <w:p>
            <w:pPr>
              <w:spacing w:after="0"/>
              <w:rPr>
                <w:sz w:val="12"/>
                <w:szCs w:val="12"/>
                <w:color w:val="auto"/>
              </w:rPr>
            </w:pPr>
          </w:p>
        </w:tc>
        <w:tc>
          <w:tcPr>
            <w:tcW w:w="680" w:type="dxa"/>
            <w:vAlign w:val="bottom"/>
            <w:tcBorders>
              <w:top w:val="single" w:sz="8" w:color="auto"/>
            </w:tcBorders>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20" w:type="dxa"/>
            <w:vAlign w:val="bottom"/>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640" w:type="dxa"/>
            <w:vAlign w:val="bottom"/>
          </w:tcPr>
          <w:p>
            <w:pPr>
              <w:ind w:left="56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ind w:left="16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1,806</w:t>
            </w:r>
          </w:p>
        </w:tc>
        <w:tc>
          <w:tcPr>
            <w:tcW w:w="220" w:type="dxa"/>
            <w:vAlign w:val="bottom"/>
          </w:tcPr>
          <w:p>
            <w:pPr>
              <w:ind w:left="140"/>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1,806</w:t>
            </w:r>
          </w:p>
        </w:tc>
      </w:tr>
      <w:tr>
        <w:trPr>
          <w:trHeight w:val="149"/>
        </w:trPr>
        <w:tc>
          <w:tcPr>
            <w:tcW w:w="20" w:type="dxa"/>
            <w:vAlign w:val="bottom"/>
          </w:tcPr>
          <w:p>
            <w:pPr>
              <w:spacing w:after="0"/>
              <w:rPr>
                <w:sz w:val="12"/>
                <w:szCs w:val="12"/>
                <w:color w:val="auto"/>
              </w:rPr>
            </w:pPr>
          </w:p>
        </w:tc>
        <w:tc>
          <w:tcPr>
            <w:tcW w:w="49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Receivables, net</w:t>
            </w:r>
          </w:p>
        </w:tc>
        <w:tc>
          <w:tcPr>
            <w:tcW w:w="64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50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4,096</w:t>
            </w:r>
          </w:p>
        </w:tc>
        <w:tc>
          <w:tcPr>
            <w:tcW w:w="220" w:type="dxa"/>
            <w:vAlign w:val="bottom"/>
            <w:shd w:val="clear" w:color="auto" w:fill="E5E5E5"/>
          </w:tcPr>
          <w:p>
            <w:pPr>
              <w:spacing w:after="0"/>
              <w:rPr>
                <w:sz w:val="12"/>
                <w:szCs w:val="12"/>
                <w:color w:val="auto"/>
              </w:rPr>
            </w:pPr>
          </w:p>
        </w:tc>
        <w:tc>
          <w:tcPr>
            <w:tcW w:w="88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68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4,096</w:t>
            </w:r>
          </w:p>
        </w:tc>
      </w:tr>
      <w:tr>
        <w:trPr>
          <w:trHeight w:val="149"/>
        </w:trPr>
        <w:tc>
          <w:tcPr>
            <w:tcW w:w="20" w:type="dxa"/>
            <w:vAlign w:val="bottom"/>
          </w:tcPr>
          <w:p>
            <w:pPr>
              <w:spacing w:after="0"/>
              <w:rPr>
                <w:sz w:val="12"/>
                <w:szCs w:val="12"/>
                <w:color w:val="auto"/>
              </w:rPr>
            </w:pPr>
          </w:p>
        </w:tc>
        <w:tc>
          <w:tcPr>
            <w:tcW w:w="4920" w:type="dxa"/>
            <w:vAlign w:val="bottom"/>
          </w:tcPr>
          <w:p>
            <w:pPr>
              <w:ind w:left="200"/>
              <w:spacing w:after="0" w:line="149" w:lineRule="exact"/>
              <w:rPr>
                <w:sz w:val="20"/>
                <w:szCs w:val="20"/>
                <w:color w:val="auto"/>
              </w:rPr>
            </w:pPr>
            <w:r>
              <w:rPr>
                <w:rFonts w:ascii="Arial" w:cs="Arial" w:eastAsia="Arial" w:hAnsi="Arial"/>
                <w:sz w:val="14"/>
                <w:szCs w:val="14"/>
                <w:color w:val="auto"/>
              </w:rPr>
              <w:t>Programming rights</w:t>
            </w:r>
          </w:p>
        </w:tc>
        <w:tc>
          <w:tcPr>
            <w:tcW w:w="640" w:type="dxa"/>
            <w:vAlign w:val="bottom"/>
          </w:tcPr>
          <w:p>
            <w:pPr>
              <w:spacing w:after="0"/>
              <w:rPr>
                <w:sz w:val="12"/>
                <w:szCs w:val="12"/>
                <w:color w:val="auto"/>
              </w:rPr>
            </w:pP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1,055</w:t>
            </w:r>
          </w:p>
        </w:tc>
        <w:tc>
          <w:tcPr>
            <w:tcW w:w="220" w:type="dxa"/>
            <w:vAlign w:val="bottom"/>
          </w:tcPr>
          <w:p>
            <w:pPr>
              <w:spacing w:after="0"/>
              <w:rPr>
                <w:sz w:val="12"/>
                <w:szCs w:val="12"/>
                <w:color w:val="auto"/>
              </w:rPr>
            </w:pPr>
          </w:p>
        </w:tc>
        <w:tc>
          <w:tcPr>
            <w:tcW w:w="8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1,055</w:t>
            </w:r>
          </w:p>
        </w:tc>
      </w:tr>
      <w:tr>
        <w:trPr>
          <w:trHeight w:val="149"/>
        </w:trPr>
        <w:tc>
          <w:tcPr>
            <w:tcW w:w="20" w:type="dxa"/>
            <w:vAlign w:val="bottom"/>
          </w:tcPr>
          <w:p>
            <w:pPr>
              <w:spacing w:after="0"/>
              <w:rPr>
                <w:sz w:val="12"/>
                <w:szCs w:val="12"/>
                <w:color w:val="auto"/>
              </w:rPr>
            </w:pPr>
          </w:p>
        </w:tc>
        <w:tc>
          <w:tcPr>
            <w:tcW w:w="492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Other current assets</w:t>
            </w:r>
          </w:p>
        </w:tc>
        <w:tc>
          <w:tcPr>
            <w:tcW w:w="640" w:type="dxa"/>
            <w:vAlign w:val="bottom"/>
            <w:tcBorders>
              <w:bottom w:val="single" w:sz="8" w:color="auto"/>
            </w:tcBorders>
            <w:shd w:val="clear" w:color="auto" w:fill="E5E5E5"/>
          </w:tcPr>
          <w:p>
            <w:pPr>
              <w:spacing w:after="0"/>
              <w:rPr>
                <w:sz w:val="12"/>
                <w:szCs w:val="12"/>
                <w:color w:val="auto"/>
              </w:rPr>
            </w:pPr>
          </w:p>
        </w:tc>
        <w:tc>
          <w:tcPr>
            <w:tcW w:w="54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154</w:t>
            </w:r>
          </w:p>
        </w:tc>
        <w:tc>
          <w:tcPr>
            <w:tcW w:w="220" w:type="dxa"/>
            <w:vAlign w:val="bottom"/>
            <w:tcBorders>
              <w:bottom w:val="single" w:sz="8" w:color="auto"/>
            </w:tcBorders>
            <w:shd w:val="clear" w:color="auto" w:fill="E5E5E5"/>
          </w:tcPr>
          <w:p>
            <w:pPr>
              <w:spacing w:after="0"/>
              <w:rPr>
                <w:sz w:val="12"/>
                <w:szCs w:val="12"/>
                <w:color w:val="auto"/>
              </w:rPr>
            </w:pPr>
          </w:p>
        </w:tc>
        <w:tc>
          <w:tcPr>
            <w:tcW w:w="50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2</w:t>
            </w:r>
          </w:p>
        </w:tc>
        <w:tc>
          <w:tcPr>
            <w:tcW w:w="220" w:type="dxa"/>
            <w:vAlign w:val="bottom"/>
            <w:tcBorders>
              <w:bottom w:val="single" w:sz="8" w:color="auto"/>
            </w:tcBorders>
            <w:shd w:val="clear" w:color="auto" w:fill="E5E5E5"/>
          </w:tcPr>
          <w:p>
            <w:pPr>
              <w:spacing w:after="0"/>
              <w:rPr>
                <w:sz w:val="12"/>
                <w:szCs w:val="12"/>
                <w:color w:val="auto"/>
              </w:rPr>
            </w:pPr>
          </w:p>
        </w:tc>
        <w:tc>
          <w:tcPr>
            <w:tcW w:w="64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1</w:t>
            </w:r>
          </w:p>
        </w:tc>
        <w:tc>
          <w:tcPr>
            <w:tcW w:w="240" w:type="dxa"/>
            <w:vAlign w:val="bottom"/>
            <w:tcBorders>
              <w:bottom w:val="single" w:sz="8" w:color="auto"/>
            </w:tcBorders>
            <w:shd w:val="clear" w:color="auto" w:fill="E5E5E5"/>
          </w:tcPr>
          <w:p>
            <w:pPr>
              <w:spacing w:after="0"/>
              <w:rPr>
                <w:sz w:val="12"/>
                <w:szCs w:val="12"/>
                <w:color w:val="auto"/>
              </w:rPr>
            </w:pPr>
          </w:p>
        </w:tc>
        <w:tc>
          <w:tcPr>
            <w:tcW w:w="54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E5E5E5"/>
          </w:tcPr>
          <w:p>
            <w:pPr>
              <w:spacing w:after="0"/>
              <w:rPr>
                <w:sz w:val="12"/>
                <w:szCs w:val="12"/>
                <w:color w:val="auto"/>
              </w:rPr>
            </w:pPr>
          </w:p>
        </w:tc>
        <w:tc>
          <w:tcPr>
            <w:tcW w:w="66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1,468</w:t>
            </w:r>
          </w:p>
        </w:tc>
        <w:tc>
          <w:tcPr>
            <w:tcW w:w="220" w:type="dxa"/>
            <w:vAlign w:val="bottom"/>
            <w:tcBorders>
              <w:bottom w:val="single" w:sz="8" w:color="auto"/>
            </w:tcBorders>
            <w:shd w:val="clear" w:color="auto" w:fill="E5E5E5"/>
          </w:tcPr>
          <w:p>
            <w:pPr>
              <w:spacing w:after="0"/>
              <w:rPr>
                <w:sz w:val="12"/>
                <w:szCs w:val="12"/>
                <w:color w:val="auto"/>
              </w:rPr>
            </w:pPr>
          </w:p>
        </w:tc>
        <w:tc>
          <w:tcPr>
            <w:tcW w:w="880" w:type="dxa"/>
            <w:vAlign w:val="bottom"/>
            <w:tcBorders>
              <w:bottom w:val="single" w:sz="8" w:color="auto"/>
            </w:tcBorders>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E5E5E5"/>
          </w:tcPr>
          <w:p>
            <w:pPr>
              <w:spacing w:after="0"/>
              <w:rPr>
                <w:sz w:val="12"/>
                <w:szCs w:val="12"/>
                <w:color w:val="auto"/>
              </w:rPr>
            </w:pPr>
          </w:p>
        </w:tc>
        <w:tc>
          <w:tcPr>
            <w:tcW w:w="68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1,625</w:t>
            </w:r>
          </w:p>
        </w:tc>
      </w:tr>
      <w:tr>
        <w:trPr>
          <w:trHeight w:val="142"/>
        </w:trPr>
        <w:tc>
          <w:tcPr>
            <w:tcW w:w="20" w:type="dxa"/>
            <w:vAlign w:val="bottom"/>
          </w:tcPr>
          <w:p>
            <w:pPr>
              <w:spacing w:after="0"/>
              <w:rPr>
                <w:sz w:val="12"/>
                <w:szCs w:val="12"/>
                <w:color w:val="auto"/>
              </w:rPr>
            </w:pPr>
          </w:p>
        </w:tc>
        <w:tc>
          <w:tcPr>
            <w:tcW w:w="4920" w:type="dxa"/>
            <w:vAlign w:val="bottom"/>
          </w:tcPr>
          <w:p>
            <w:pPr>
              <w:spacing w:after="0" w:line="142" w:lineRule="exact"/>
              <w:rPr>
                <w:sz w:val="20"/>
                <w:szCs w:val="20"/>
                <w:color w:val="auto"/>
              </w:rPr>
            </w:pPr>
            <w:r>
              <w:rPr>
                <w:rFonts w:ascii="Arial" w:cs="Arial" w:eastAsia="Arial" w:hAnsi="Arial"/>
                <w:sz w:val="14"/>
                <w:szCs w:val="14"/>
                <w:color w:val="auto"/>
              </w:rPr>
              <w:t>Total current assets</w:t>
            </w:r>
          </w:p>
        </w:tc>
        <w:tc>
          <w:tcPr>
            <w:tcW w:w="640" w:type="dxa"/>
            <w:vAlign w:val="bottom"/>
          </w:tcPr>
          <w:p>
            <w:pPr>
              <w:spacing w:after="0"/>
              <w:rPr>
                <w:sz w:val="12"/>
                <w:szCs w:val="12"/>
                <w:color w:val="auto"/>
              </w:rPr>
            </w:pPr>
          </w:p>
        </w:tc>
        <w:tc>
          <w:tcPr>
            <w:tcW w:w="540" w:type="dxa"/>
            <w:vAlign w:val="bottom"/>
          </w:tcPr>
          <w:p>
            <w:pPr>
              <w:jc w:val="right"/>
              <w:ind w:right="72"/>
              <w:spacing w:after="0" w:line="142" w:lineRule="exact"/>
              <w:rPr>
                <w:sz w:val="20"/>
                <w:szCs w:val="20"/>
                <w:color w:val="auto"/>
              </w:rPr>
            </w:pPr>
            <w:r>
              <w:rPr>
                <w:rFonts w:ascii="Arial" w:cs="Arial" w:eastAsia="Arial" w:hAnsi="Arial"/>
                <w:sz w:val="14"/>
                <w:szCs w:val="14"/>
                <w:color w:val="auto"/>
              </w:rPr>
              <w:t>154</w:t>
            </w:r>
          </w:p>
        </w:tc>
        <w:tc>
          <w:tcPr>
            <w:tcW w:w="220" w:type="dxa"/>
            <w:vAlign w:val="bottom"/>
          </w:tcPr>
          <w:p>
            <w:pPr>
              <w:spacing w:after="0"/>
              <w:rPr>
                <w:sz w:val="12"/>
                <w:szCs w:val="12"/>
                <w:color w:val="auto"/>
              </w:rPr>
            </w:pPr>
          </w:p>
        </w:tc>
        <w:tc>
          <w:tcPr>
            <w:tcW w:w="500" w:type="dxa"/>
            <w:vAlign w:val="bottom"/>
          </w:tcPr>
          <w:p>
            <w:pPr>
              <w:jc w:val="right"/>
              <w:ind w:right="72"/>
              <w:spacing w:after="0" w:line="142" w:lineRule="exact"/>
              <w:rPr>
                <w:sz w:val="20"/>
                <w:szCs w:val="20"/>
                <w:color w:val="auto"/>
              </w:rPr>
            </w:pPr>
            <w:r>
              <w:rPr>
                <w:rFonts w:ascii="Arial" w:cs="Arial" w:eastAsia="Arial" w:hAnsi="Arial"/>
                <w:sz w:val="14"/>
                <w:szCs w:val="14"/>
                <w:color w:val="auto"/>
              </w:rPr>
              <w:t>2</w:t>
            </w:r>
          </w:p>
        </w:tc>
        <w:tc>
          <w:tcPr>
            <w:tcW w:w="220" w:type="dxa"/>
            <w:vAlign w:val="bottom"/>
          </w:tcPr>
          <w:p>
            <w:pPr>
              <w:spacing w:after="0"/>
              <w:rPr>
                <w:sz w:val="12"/>
                <w:szCs w:val="12"/>
                <w:color w:val="auto"/>
              </w:rPr>
            </w:pPr>
          </w:p>
        </w:tc>
        <w:tc>
          <w:tcPr>
            <w:tcW w:w="640" w:type="dxa"/>
            <w:vAlign w:val="bottom"/>
          </w:tcPr>
          <w:p>
            <w:pPr>
              <w:jc w:val="right"/>
              <w:ind w:right="72"/>
              <w:spacing w:after="0" w:line="142" w:lineRule="exact"/>
              <w:rPr>
                <w:sz w:val="20"/>
                <w:szCs w:val="20"/>
                <w:color w:val="auto"/>
              </w:rPr>
            </w:pPr>
            <w:r>
              <w:rPr>
                <w:rFonts w:ascii="Arial" w:cs="Arial" w:eastAsia="Arial" w:hAnsi="Arial"/>
                <w:sz w:val="14"/>
                <w:szCs w:val="14"/>
                <w:color w:val="auto"/>
              </w:rPr>
              <w:t>1</w:t>
            </w:r>
          </w:p>
        </w:tc>
        <w:tc>
          <w:tcPr>
            <w:tcW w:w="240" w:type="dxa"/>
            <w:vAlign w:val="bottom"/>
          </w:tcPr>
          <w:p>
            <w:pPr>
              <w:spacing w:after="0"/>
              <w:rPr>
                <w:sz w:val="12"/>
                <w:szCs w:val="12"/>
                <w:color w:val="auto"/>
              </w:rPr>
            </w:pPr>
          </w:p>
        </w:tc>
        <w:tc>
          <w:tcPr>
            <w:tcW w:w="540" w:type="dxa"/>
            <w:vAlign w:val="bottom"/>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60" w:type="dxa"/>
            <w:vAlign w:val="bottom"/>
          </w:tcPr>
          <w:p>
            <w:pPr>
              <w:jc w:val="right"/>
              <w:ind w:right="72"/>
              <w:spacing w:after="0" w:line="142" w:lineRule="exact"/>
              <w:rPr>
                <w:sz w:val="20"/>
                <w:szCs w:val="20"/>
                <w:color w:val="auto"/>
              </w:rPr>
            </w:pPr>
            <w:r>
              <w:rPr>
                <w:rFonts w:ascii="Arial" w:cs="Arial" w:eastAsia="Arial" w:hAnsi="Arial"/>
                <w:sz w:val="14"/>
                <w:szCs w:val="14"/>
                <w:color w:val="auto"/>
              </w:rPr>
              <w:t>8,425</w:t>
            </w:r>
          </w:p>
        </w:tc>
        <w:tc>
          <w:tcPr>
            <w:tcW w:w="220" w:type="dxa"/>
            <w:vAlign w:val="bottom"/>
          </w:tcPr>
          <w:p>
            <w:pPr>
              <w:spacing w:after="0"/>
              <w:rPr>
                <w:sz w:val="12"/>
                <w:szCs w:val="12"/>
                <w:color w:val="auto"/>
              </w:rPr>
            </w:pPr>
          </w:p>
        </w:tc>
        <w:tc>
          <w:tcPr>
            <w:tcW w:w="880" w:type="dxa"/>
            <w:vAlign w:val="bottom"/>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8,582</w:t>
            </w:r>
          </w:p>
        </w:tc>
      </w:tr>
      <w:tr>
        <w:trPr>
          <w:trHeight w:val="149"/>
        </w:trPr>
        <w:tc>
          <w:tcPr>
            <w:tcW w:w="20" w:type="dxa"/>
            <w:vAlign w:val="bottom"/>
          </w:tcPr>
          <w:p>
            <w:pPr>
              <w:spacing w:after="0"/>
              <w:rPr>
                <w:sz w:val="12"/>
                <w:szCs w:val="12"/>
                <w:color w:val="auto"/>
              </w:rPr>
            </w:pPr>
          </w:p>
        </w:tc>
        <w:tc>
          <w:tcPr>
            <w:tcW w:w="49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Film and television costs</w:t>
            </w:r>
          </w:p>
        </w:tc>
        <w:tc>
          <w:tcPr>
            <w:tcW w:w="64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50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5,369</w:t>
            </w:r>
          </w:p>
        </w:tc>
        <w:tc>
          <w:tcPr>
            <w:tcW w:w="220" w:type="dxa"/>
            <w:vAlign w:val="bottom"/>
            <w:shd w:val="clear" w:color="auto" w:fill="E5E5E5"/>
          </w:tcPr>
          <w:p>
            <w:pPr>
              <w:spacing w:after="0"/>
              <w:rPr>
                <w:sz w:val="12"/>
                <w:szCs w:val="12"/>
                <w:color w:val="auto"/>
              </w:rPr>
            </w:pPr>
          </w:p>
        </w:tc>
        <w:tc>
          <w:tcPr>
            <w:tcW w:w="88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68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5,369</w:t>
            </w:r>
          </w:p>
        </w:tc>
      </w:tr>
      <w:tr>
        <w:trPr>
          <w:trHeight w:val="149"/>
        </w:trPr>
        <w:tc>
          <w:tcPr>
            <w:tcW w:w="20" w:type="dxa"/>
            <w:vAlign w:val="bottom"/>
          </w:tcPr>
          <w:p>
            <w:pPr>
              <w:spacing w:after="0"/>
              <w:rPr>
                <w:sz w:val="12"/>
                <w:szCs w:val="12"/>
                <w:color w:val="auto"/>
              </w:rPr>
            </w:pPr>
          </w:p>
        </w:tc>
        <w:tc>
          <w:tcPr>
            <w:tcW w:w="4920" w:type="dxa"/>
            <w:vAlign w:val="bottom"/>
          </w:tcPr>
          <w:p>
            <w:pPr>
              <w:spacing w:after="0" w:line="149" w:lineRule="exact"/>
              <w:rPr>
                <w:sz w:val="20"/>
                <w:szCs w:val="20"/>
                <w:color w:val="auto"/>
              </w:rPr>
            </w:pPr>
            <w:r>
              <w:rPr>
                <w:rFonts w:ascii="Arial" w:cs="Arial" w:eastAsia="Arial" w:hAnsi="Arial"/>
                <w:sz w:val="14"/>
                <w:szCs w:val="14"/>
                <w:color w:val="auto"/>
              </w:rPr>
              <w:t>Investments</w:t>
            </w:r>
          </w:p>
        </w:tc>
        <w:tc>
          <w:tcPr>
            <w:tcW w:w="640" w:type="dxa"/>
            <w:vAlign w:val="bottom"/>
          </w:tcPr>
          <w:p>
            <w:pPr>
              <w:spacing w:after="0"/>
              <w:rPr>
                <w:sz w:val="12"/>
                <w:szCs w:val="12"/>
                <w:color w:val="auto"/>
              </w:rPr>
            </w:pP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9,575</w:t>
            </w:r>
          </w:p>
        </w:tc>
        <w:tc>
          <w:tcPr>
            <w:tcW w:w="220" w:type="dxa"/>
            <w:vAlign w:val="bottom"/>
          </w:tcPr>
          <w:p>
            <w:pPr>
              <w:spacing w:after="0"/>
              <w:rPr>
                <w:sz w:val="12"/>
                <w:szCs w:val="12"/>
                <w:color w:val="auto"/>
              </w:rPr>
            </w:pPr>
          </w:p>
        </w:tc>
        <w:tc>
          <w:tcPr>
            <w:tcW w:w="8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9,575</w:t>
            </w:r>
          </w:p>
        </w:tc>
      </w:tr>
      <w:tr>
        <w:trPr>
          <w:trHeight w:val="149"/>
        </w:trPr>
        <w:tc>
          <w:tcPr>
            <w:tcW w:w="20" w:type="dxa"/>
            <w:vAlign w:val="bottom"/>
          </w:tcPr>
          <w:p>
            <w:pPr>
              <w:spacing w:after="0"/>
              <w:rPr>
                <w:sz w:val="12"/>
                <w:szCs w:val="12"/>
                <w:color w:val="auto"/>
              </w:rPr>
            </w:pPr>
          </w:p>
        </w:tc>
        <w:tc>
          <w:tcPr>
            <w:tcW w:w="49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w w:val="97"/>
              </w:rPr>
              <w:t>Investments in and amounts due from subsidiaries eliminated upon consolidation</w:t>
            </w:r>
          </w:p>
        </w:tc>
        <w:tc>
          <w:tcPr>
            <w:tcW w:w="64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w w:val="88"/>
              </w:rPr>
              <w:t>71,319</w:t>
            </w:r>
          </w:p>
        </w:tc>
        <w:tc>
          <w:tcPr>
            <w:tcW w:w="220" w:type="dxa"/>
            <w:vAlign w:val="bottom"/>
            <w:shd w:val="clear" w:color="auto" w:fill="E5E5E5"/>
          </w:tcPr>
          <w:p>
            <w:pPr>
              <w:spacing w:after="0"/>
              <w:rPr>
                <w:sz w:val="12"/>
                <w:szCs w:val="12"/>
                <w:color w:val="auto"/>
              </w:rPr>
            </w:pPr>
          </w:p>
        </w:tc>
        <w:tc>
          <w:tcPr>
            <w:tcW w:w="50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w w:val="79"/>
              </w:rPr>
              <w:t>88,112</w:t>
            </w:r>
          </w:p>
        </w:tc>
        <w:tc>
          <w:tcPr>
            <w:tcW w:w="22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44,755</w:t>
            </w:r>
          </w:p>
        </w:tc>
        <w:tc>
          <w:tcPr>
            <w:tcW w:w="24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w w:val="88"/>
              </w:rPr>
              <w:t>86,696</w:t>
            </w:r>
          </w:p>
        </w:tc>
        <w:tc>
          <w:tcPr>
            <w:tcW w:w="28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34,669</w:t>
            </w:r>
          </w:p>
        </w:tc>
        <w:tc>
          <w:tcPr>
            <w:tcW w:w="220" w:type="dxa"/>
            <w:vAlign w:val="bottom"/>
            <w:shd w:val="clear" w:color="auto" w:fill="E5E5E5"/>
          </w:tcPr>
          <w:p>
            <w:pPr>
              <w:spacing w:after="0"/>
              <w:rPr>
                <w:sz w:val="12"/>
                <w:szCs w:val="12"/>
                <w:color w:val="auto"/>
              </w:rPr>
            </w:pPr>
          </w:p>
        </w:tc>
        <w:tc>
          <w:tcPr>
            <w:tcW w:w="8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(325,551)</w:t>
            </w:r>
          </w:p>
        </w:tc>
        <w:tc>
          <w:tcPr>
            <w:tcW w:w="220" w:type="dxa"/>
            <w:vAlign w:val="bottom"/>
            <w:shd w:val="clear" w:color="auto" w:fill="E5E5E5"/>
          </w:tcPr>
          <w:p>
            <w:pPr>
              <w:spacing w:after="0"/>
              <w:rPr>
                <w:sz w:val="12"/>
                <w:szCs w:val="12"/>
                <w:color w:val="auto"/>
              </w:rPr>
            </w:pPr>
          </w:p>
        </w:tc>
        <w:tc>
          <w:tcPr>
            <w:tcW w:w="68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92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640" w:type="dxa"/>
            <w:vAlign w:val="bottom"/>
          </w:tcPr>
          <w:p>
            <w:pPr>
              <w:spacing w:after="0"/>
              <w:rPr>
                <w:sz w:val="12"/>
                <w:szCs w:val="12"/>
                <w:color w:val="auto"/>
              </w:rPr>
            </w:pP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263</w:t>
            </w:r>
          </w:p>
        </w:tc>
        <w:tc>
          <w:tcPr>
            <w:tcW w:w="220" w:type="dxa"/>
            <w:vAlign w:val="bottom"/>
          </w:tcPr>
          <w:p>
            <w:pPr>
              <w:spacing w:after="0"/>
              <w:rPr>
                <w:sz w:val="12"/>
                <w:szCs w:val="12"/>
                <w:color w:val="auto"/>
              </w:rPr>
            </w:pPr>
          </w:p>
        </w:tc>
        <w:tc>
          <w:tcPr>
            <w:tcW w:w="5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27,178</w:t>
            </w:r>
          </w:p>
        </w:tc>
        <w:tc>
          <w:tcPr>
            <w:tcW w:w="220" w:type="dxa"/>
            <w:vAlign w:val="bottom"/>
          </w:tcPr>
          <w:p>
            <w:pPr>
              <w:spacing w:after="0"/>
              <w:rPr>
                <w:sz w:val="12"/>
                <w:szCs w:val="12"/>
                <w:color w:val="auto"/>
              </w:rPr>
            </w:pPr>
          </w:p>
        </w:tc>
        <w:tc>
          <w:tcPr>
            <w:tcW w:w="8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27,441</w:t>
            </w:r>
          </w:p>
        </w:tc>
      </w:tr>
      <w:tr>
        <w:trPr>
          <w:trHeight w:val="149"/>
        </w:trPr>
        <w:tc>
          <w:tcPr>
            <w:tcW w:w="20" w:type="dxa"/>
            <w:vAlign w:val="bottom"/>
          </w:tcPr>
          <w:p>
            <w:pPr>
              <w:spacing w:after="0"/>
              <w:rPr>
                <w:sz w:val="12"/>
                <w:szCs w:val="12"/>
                <w:color w:val="auto"/>
              </w:rPr>
            </w:pPr>
          </w:p>
        </w:tc>
        <w:tc>
          <w:tcPr>
            <w:tcW w:w="49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Franchise rights</w:t>
            </w:r>
          </w:p>
        </w:tc>
        <w:tc>
          <w:tcPr>
            <w:tcW w:w="64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50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59,442</w:t>
            </w:r>
          </w:p>
        </w:tc>
        <w:tc>
          <w:tcPr>
            <w:tcW w:w="220" w:type="dxa"/>
            <w:vAlign w:val="bottom"/>
            <w:shd w:val="clear" w:color="auto" w:fill="E5E5E5"/>
          </w:tcPr>
          <w:p>
            <w:pPr>
              <w:spacing w:after="0"/>
              <w:rPr>
                <w:sz w:val="12"/>
                <w:szCs w:val="12"/>
                <w:color w:val="auto"/>
              </w:rPr>
            </w:pPr>
          </w:p>
        </w:tc>
        <w:tc>
          <w:tcPr>
            <w:tcW w:w="88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68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59,442</w:t>
            </w:r>
          </w:p>
        </w:tc>
      </w:tr>
      <w:tr>
        <w:trPr>
          <w:trHeight w:val="149"/>
        </w:trPr>
        <w:tc>
          <w:tcPr>
            <w:tcW w:w="20" w:type="dxa"/>
            <w:vAlign w:val="bottom"/>
          </w:tcPr>
          <w:p>
            <w:pPr>
              <w:spacing w:after="0"/>
              <w:rPr>
                <w:sz w:val="12"/>
                <w:szCs w:val="12"/>
                <w:color w:val="auto"/>
              </w:rPr>
            </w:pPr>
          </w:p>
        </w:tc>
        <w:tc>
          <w:tcPr>
            <w:tcW w:w="492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640" w:type="dxa"/>
            <w:vAlign w:val="bottom"/>
          </w:tcPr>
          <w:p>
            <w:pPr>
              <w:spacing w:after="0"/>
              <w:rPr>
                <w:sz w:val="12"/>
                <w:szCs w:val="12"/>
                <w:color w:val="auto"/>
              </w:rPr>
            </w:pP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26,831</w:t>
            </w:r>
          </w:p>
        </w:tc>
        <w:tc>
          <w:tcPr>
            <w:tcW w:w="220" w:type="dxa"/>
            <w:vAlign w:val="bottom"/>
          </w:tcPr>
          <w:p>
            <w:pPr>
              <w:spacing w:after="0"/>
              <w:rPr>
                <w:sz w:val="12"/>
                <w:szCs w:val="12"/>
                <w:color w:val="auto"/>
              </w:rPr>
            </w:pPr>
          </w:p>
        </w:tc>
        <w:tc>
          <w:tcPr>
            <w:tcW w:w="8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26,831</w:t>
            </w:r>
          </w:p>
        </w:tc>
      </w:tr>
      <w:tr>
        <w:trPr>
          <w:trHeight w:val="149"/>
        </w:trPr>
        <w:tc>
          <w:tcPr>
            <w:tcW w:w="20" w:type="dxa"/>
            <w:vAlign w:val="bottom"/>
          </w:tcPr>
          <w:p>
            <w:pPr>
              <w:spacing w:after="0"/>
              <w:rPr>
                <w:sz w:val="12"/>
                <w:szCs w:val="12"/>
                <w:color w:val="auto"/>
              </w:rPr>
            </w:pPr>
          </w:p>
        </w:tc>
        <w:tc>
          <w:tcPr>
            <w:tcW w:w="49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Other intangible assets, net</w:t>
            </w:r>
          </w:p>
        </w:tc>
        <w:tc>
          <w:tcPr>
            <w:tcW w:w="64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10</w:t>
            </w:r>
          </w:p>
        </w:tc>
        <w:tc>
          <w:tcPr>
            <w:tcW w:w="220" w:type="dxa"/>
            <w:vAlign w:val="bottom"/>
            <w:shd w:val="clear" w:color="auto" w:fill="E5E5E5"/>
          </w:tcPr>
          <w:p>
            <w:pPr>
              <w:spacing w:after="0"/>
              <w:rPr>
                <w:sz w:val="12"/>
                <w:szCs w:val="12"/>
                <w:color w:val="auto"/>
              </w:rPr>
            </w:pPr>
          </w:p>
        </w:tc>
        <w:tc>
          <w:tcPr>
            <w:tcW w:w="50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17,376</w:t>
            </w:r>
          </w:p>
        </w:tc>
        <w:tc>
          <w:tcPr>
            <w:tcW w:w="220" w:type="dxa"/>
            <w:vAlign w:val="bottom"/>
            <w:shd w:val="clear" w:color="auto" w:fill="E5E5E5"/>
          </w:tcPr>
          <w:p>
            <w:pPr>
              <w:spacing w:after="0"/>
              <w:rPr>
                <w:sz w:val="12"/>
                <w:szCs w:val="12"/>
                <w:color w:val="auto"/>
              </w:rPr>
            </w:pPr>
          </w:p>
        </w:tc>
        <w:tc>
          <w:tcPr>
            <w:tcW w:w="88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68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17,386</w:t>
            </w:r>
          </w:p>
        </w:tc>
      </w:tr>
      <w:tr>
        <w:trPr>
          <w:trHeight w:val="149"/>
        </w:trPr>
        <w:tc>
          <w:tcPr>
            <w:tcW w:w="20" w:type="dxa"/>
            <w:vAlign w:val="bottom"/>
          </w:tcPr>
          <w:p>
            <w:pPr>
              <w:spacing w:after="0"/>
              <w:rPr>
                <w:sz w:val="12"/>
                <w:szCs w:val="12"/>
                <w:color w:val="auto"/>
              </w:rPr>
            </w:pPr>
          </w:p>
        </w:tc>
        <w:tc>
          <w:tcPr>
            <w:tcW w:w="49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Other noncurrent assets, net</w:t>
            </w:r>
          </w:p>
        </w:tc>
        <w:tc>
          <w:tcPr>
            <w:tcW w:w="6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971</w:t>
            </w: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39</w:t>
            </w: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6</w:t>
            </w: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148</w:t>
            </w: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1,692</w:t>
            </w: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(655)</w:t>
            </w: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2,201</w:t>
            </w:r>
          </w:p>
        </w:tc>
      </w:tr>
      <w:tr>
        <w:trPr>
          <w:trHeight w:val="149"/>
        </w:trPr>
        <w:tc>
          <w:tcPr>
            <w:tcW w:w="20" w:type="dxa"/>
            <w:vAlign w:val="bottom"/>
          </w:tcPr>
          <w:p>
            <w:pPr>
              <w:spacing w:after="0"/>
              <w:rPr>
                <w:sz w:val="12"/>
                <w:szCs w:val="12"/>
                <w:color w:val="auto"/>
              </w:rPr>
            </w:pPr>
          </w:p>
        </w:tc>
        <w:tc>
          <w:tcPr>
            <w:tcW w:w="4920" w:type="dxa"/>
            <w:vAlign w:val="bottom"/>
            <w:tcBorders>
              <w:bottom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Total assets</w:t>
            </w:r>
          </w:p>
        </w:tc>
        <w:tc>
          <w:tcPr>
            <w:tcW w:w="640" w:type="dxa"/>
            <w:vAlign w:val="bottom"/>
            <w:tcBorders>
              <w:bottom w:val="single" w:sz="8" w:color="auto"/>
            </w:tcBorders>
            <w:shd w:val="clear" w:color="auto" w:fill="E5E5E5"/>
          </w:tcPr>
          <w:p>
            <w:pPr>
              <w:ind w:left="560"/>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b w:val="1"/>
                <w:bCs w:val="1"/>
                <w:color w:val="auto"/>
                <w:w w:val="88"/>
              </w:rPr>
              <w:t>72,717</w:t>
            </w:r>
          </w:p>
        </w:tc>
        <w:tc>
          <w:tcPr>
            <w:tcW w:w="22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b w:val="1"/>
                <w:bCs w:val="1"/>
                <w:color w:val="auto"/>
                <w:w w:val="79"/>
              </w:rPr>
              <w:t>88,153</w:t>
            </w:r>
          </w:p>
        </w:tc>
        <w:tc>
          <w:tcPr>
            <w:tcW w:w="22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b w:val="1"/>
                <w:bCs w:val="1"/>
                <w:color w:val="auto"/>
              </w:rPr>
              <w:t>44,762</w:t>
            </w:r>
          </w:p>
        </w:tc>
        <w:tc>
          <w:tcPr>
            <w:tcW w:w="240" w:type="dxa"/>
            <w:vAlign w:val="bottom"/>
            <w:tcBorders>
              <w:bottom w:val="single" w:sz="8" w:color="auto"/>
            </w:tcBorders>
            <w:shd w:val="clear" w:color="auto" w:fill="E5E5E5"/>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b w:val="1"/>
                <w:bCs w:val="1"/>
                <w:color w:val="auto"/>
                <w:w w:val="88"/>
              </w:rPr>
              <w:t>86,844</w:t>
            </w:r>
          </w:p>
        </w:tc>
        <w:tc>
          <w:tcPr>
            <w:tcW w:w="280" w:type="dxa"/>
            <w:vAlign w:val="bottom"/>
            <w:tcBorders>
              <w:bottom w:val="single" w:sz="8" w:color="auto"/>
            </w:tcBorders>
            <w:shd w:val="clear" w:color="auto" w:fill="E5E5E5"/>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b w:val="1"/>
                <w:bCs w:val="1"/>
                <w:color w:val="auto"/>
                <w:w w:val="98"/>
              </w:rPr>
              <w:t>190,557</w:t>
            </w:r>
          </w:p>
        </w:tc>
        <w:tc>
          <w:tcPr>
            <w:tcW w:w="220" w:type="dxa"/>
            <w:vAlign w:val="bottom"/>
            <w:tcBorders>
              <w:bottom w:val="single" w:sz="8" w:color="auto"/>
            </w:tcBorders>
            <w:shd w:val="clear" w:color="auto" w:fill="E5E5E5"/>
          </w:tcPr>
          <w:p>
            <w:pPr>
              <w:ind w:left="140"/>
              <w:spacing w:after="0" w:line="142" w:lineRule="exact"/>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b w:val="1"/>
                <w:bCs w:val="1"/>
                <w:color w:val="auto"/>
              </w:rPr>
              <w:t>(326,206)</w:t>
            </w:r>
          </w:p>
        </w:tc>
        <w:tc>
          <w:tcPr>
            <w:tcW w:w="220" w:type="dxa"/>
            <w:vAlign w:val="bottom"/>
            <w:tcBorders>
              <w:bottom w:val="single" w:sz="8" w:color="auto"/>
            </w:tcBorders>
            <w:shd w:val="clear" w:color="auto" w:fill="E5E5E5"/>
          </w:tcPr>
          <w:p>
            <w:pPr>
              <w:ind w:left="120"/>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156,827</w:t>
            </w:r>
          </w:p>
        </w:tc>
      </w:tr>
      <w:tr>
        <w:trPr>
          <w:trHeight w:val="243"/>
        </w:trPr>
        <w:tc>
          <w:tcPr>
            <w:tcW w:w="4940" w:type="dxa"/>
            <w:vAlign w:val="bottom"/>
            <w:gridSpan w:val="2"/>
          </w:tcPr>
          <w:p>
            <w:pPr>
              <w:spacing w:after="0"/>
              <w:rPr>
                <w:sz w:val="20"/>
                <w:szCs w:val="20"/>
                <w:color w:val="auto"/>
              </w:rPr>
            </w:pPr>
            <w:r>
              <w:rPr>
                <w:rFonts w:ascii="Arial" w:cs="Arial" w:eastAsia="Arial" w:hAnsi="Arial"/>
                <w:sz w:val="14"/>
                <w:szCs w:val="14"/>
                <w:b w:val="1"/>
                <w:bCs w:val="1"/>
                <w:color w:val="auto"/>
              </w:rPr>
              <w:t>Liabilities and Equity</w:t>
            </w: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149"/>
        </w:trPr>
        <w:tc>
          <w:tcPr>
            <w:tcW w:w="20" w:type="dxa"/>
            <w:vAlign w:val="bottom"/>
          </w:tcPr>
          <w:p>
            <w:pPr>
              <w:spacing w:after="0"/>
              <w:rPr>
                <w:sz w:val="12"/>
                <w:szCs w:val="12"/>
                <w:color w:val="auto"/>
              </w:rPr>
            </w:pPr>
          </w:p>
        </w:tc>
        <w:tc>
          <w:tcPr>
            <w:tcW w:w="49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Accounts payable and accrued expenses related to trade creditors</w:t>
            </w:r>
          </w:p>
        </w:tc>
        <w:tc>
          <w:tcPr>
            <w:tcW w:w="640" w:type="dxa"/>
            <w:vAlign w:val="bottom"/>
            <w:shd w:val="clear" w:color="auto" w:fill="E5E5E5"/>
          </w:tcPr>
          <w:p>
            <w:pPr>
              <w:ind w:left="56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13</w:t>
            </w:r>
          </w:p>
        </w:tc>
        <w:tc>
          <w:tcPr>
            <w:tcW w:w="2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ind w:left="16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ind w:left="14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ind w:left="14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5,442</w:t>
            </w:r>
          </w:p>
        </w:tc>
        <w:tc>
          <w:tcPr>
            <w:tcW w:w="220" w:type="dxa"/>
            <w:vAlign w:val="bottom"/>
            <w:shd w:val="clear" w:color="auto" w:fill="E5E5E5"/>
          </w:tcPr>
          <w:p>
            <w:pPr>
              <w:ind w:left="140"/>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ind w:left="1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5,455</w:t>
            </w:r>
          </w:p>
        </w:tc>
      </w:tr>
      <w:tr>
        <w:trPr>
          <w:trHeight w:val="149"/>
        </w:trPr>
        <w:tc>
          <w:tcPr>
            <w:tcW w:w="20" w:type="dxa"/>
            <w:vAlign w:val="bottom"/>
          </w:tcPr>
          <w:p>
            <w:pPr>
              <w:spacing w:after="0"/>
              <w:rPr>
                <w:sz w:val="12"/>
                <w:szCs w:val="12"/>
                <w:color w:val="auto"/>
              </w:rPr>
            </w:pPr>
          </w:p>
        </w:tc>
        <w:tc>
          <w:tcPr>
            <w:tcW w:w="4920" w:type="dxa"/>
            <w:vAlign w:val="bottom"/>
          </w:tcPr>
          <w:p>
            <w:pPr>
              <w:ind w:left="200"/>
              <w:spacing w:after="0" w:line="149" w:lineRule="exact"/>
              <w:rPr>
                <w:sz w:val="20"/>
                <w:szCs w:val="20"/>
                <w:color w:val="auto"/>
              </w:rPr>
            </w:pPr>
            <w:r>
              <w:rPr>
                <w:rFonts w:ascii="Arial" w:cs="Arial" w:eastAsia="Arial" w:hAnsi="Arial"/>
                <w:sz w:val="14"/>
                <w:szCs w:val="14"/>
                <w:color w:val="auto"/>
              </w:rPr>
              <w:t>Accrued participations and residuals</w:t>
            </w:r>
          </w:p>
        </w:tc>
        <w:tc>
          <w:tcPr>
            <w:tcW w:w="640" w:type="dxa"/>
            <w:vAlign w:val="bottom"/>
          </w:tcPr>
          <w:p>
            <w:pPr>
              <w:spacing w:after="0"/>
              <w:rPr>
                <w:sz w:val="12"/>
                <w:szCs w:val="12"/>
                <w:color w:val="auto"/>
              </w:rPr>
            </w:pP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1,247</w:t>
            </w:r>
          </w:p>
        </w:tc>
        <w:tc>
          <w:tcPr>
            <w:tcW w:w="220" w:type="dxa"/>
            <w:vAlign w:val="bottom"/>
          </w:tcPr>
          <w:p>
            <w:pPr>
              <w:spacing w:after="0"/>
              <w:rPr>
                <w:sz w:val="12"/>
                <w:szCs w:val="12"/>
                <w:color w:val="auto"/>
              </w:rPr>
            </w:pPr>
          </w:p>
        </w:tc>
        <w:tc>
          <w:tcPr>
            <w:tcW w:w="8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1,247</w:t>
            </w:r>
          </w:p>
        </w:tc>
      </w:tr>
      <w:tr>
        <w:trPr>
          <w:trHeight w:val="149"/>
        </w:trPr>
        <w:tc>
          <w:tcPr>
            <w:tcW w:w="20" w:type="dxa"/>
            <w:vAlign w:val="bottom"/>
          </w:tcPr>
          <w:p>
            <w:pPr>
              <w:spacing w:after="0"/>
              <w:rPr>
                <w:sz w:val="12"/>
                <w:szCs w:val="12"/>
                <w:color w:val="auto"/>
              </w:rPr>
            </w:pPr>
          </w:p>
        </w:tc>
        <w:tc>
          <w:tcPr>
            <w:tcW w:w="49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64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935</w:t>
            </w:r>
          </w:p>
        </w:tc>
        <w:tc>
          <w:tcPr>
            <w:tcW w:w="220" w:type="dxa"/>
            <w:vAlign w:val="bottom"/>
            <w:shd w:val="clear" w:color="auto" w:fill="E5E5E5"/>
          </w:tcPr>
          <w:p>
            <w:pPr>
              <w:spacing w:after="0"/>
              <w:rPr>
                <w:sz w:val="12"/>
                <w:szCs w:val="12"/>
                <w:color w:val="auto"/>
              </w:rPr>
            </w:pPr>
          </w:p>
        </w:tc>
        <w:tc>
          <w:tcPr>
            <w:tcW w:w="50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278</w:t>
            </w:r>
          </w:p>
        </w:tc>
        <w:tc>
          <w:tcPr>
            <w:tcW w:w="22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32</w:t>
            </w:r>
          </w:p>
        </w:tc>
        <w:tc>
          <w:tcPr>
            <w:tcW w:w="24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267</w:t>
            </w:r>
          </w:p>
        </w:tc>
        <w:tc>
          <w:tcPr>
            <w:tcW w:w="28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3,484</w:t>
            </w:r>
          </w:p>
        </w:tc>
        <w:tc>
          <w:tcPr>
            <w:tcW w:w="220" w:type="dxa"/>
            <w:vAlign w:val="bottom"/>
            <w:shd w:val="clear" w:color="auto" w:fill="E5E5E5"/>
          </w:tcPr>
          <w:p>
            <w:pPr>
              <w:spacing w:after="0"/>
              <w:rPr>
                <w:sz w:val="12"/>
                <w:szCs w:val="12"/>
                <w:color w:val="auto"/>
              </w:rPr>
            </w:pPr>
          </w:p>
        </w:tc>
        <w:tc>
          <w:tcPr>
            <w:tcW w:w="88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68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4,996</w:t>
            </w:r>
          </w:p>
        </w:tc>
      </w:tr>
      <w:tr>
        <w:trPr>
          <w:trHeight w:val="149"/>
        </w:trPr>
        <w:tc>
          <w:tcPr>
            <w:tcW w:w="20" w:type="dxa"/>
            <w:vAlign w:val="bottom"/>
          </w:tcPr>
          <w:p>
            <w:pPr>
              <w:spacing w:after="0"/>
              <w:rPr>
                <w:sz w:val="12"/>
                <w:szCs w:val="12"/>
                <w:color w:val="auto"/>
              </w:rPr>
            </w:pPr>
          </w:p>
        </w:tc>
        <w:tc>
          <w:tcPr>
            <w:tcW w:w="492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Current portion of long-term debt</w:t>
            </w:r>
          </w:p>
        </w:tc>
        <w:tc>
          <w:tcPr>
            <w:tcW w:w="6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400</w:t>
            </w: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300</w:t>
            </w: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557</w:t>
            </w: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202</w:t>
            </w: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989</w:t>
            </w: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2,448</w:t>
            </w:r>
          </w:p>
        </w:tc>
      </w:tr>
      <w:tr>
        <w:trPr>
          <w:trHeight w:val="142"/>
        </w:trPr>
        <w:tc>
          <w:tcPr>
            <w:tcW w:w="20" w:type="dxa"/>
            <w:vAlign w:val="bottom"/>
          </w:tcPr>
          <w:p>
            <w:pPr>
              <w:spacing w:after="0"/>
              <w:rPr>
                <w:sz w:val="12"/>
                <w:szCs w:val="12"/>
                <w:color w:val="auto"/>
              </w:rPr>
            </w:pPr>
          </w:p>
        </w:tc>
        <w:tc>
          <w:tcPr>
            <w:tcW w:w="492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Total current liabilities</w:t>
            </w:r>
          </w:p>
        </w:tc>
        <w:tc>
          <w:tcPr>
            <w:tcW w:w="64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rPr>
              <w:t>1,348</w:t>
            </w:r>
          </w:p>
        </w:tc>
        <w:tc>
          <w:tcPr>
            <w:tcW w:w="220" w:type="dxa"/>
            <w:vAlign w:val="bottom"/>
            <w:shd w:val="clear" w:color="auto" w:fill="E5E5E5"/>
          </w:tcPr>
          <w:p>
            <w:pPr>
              <w:spacing w:after="0"/>
              <w:rPr>
                <w:sz w:val="12"/>
                <w:szCs w:val="12"/>
                <w:color w:val="auto"/>
              </w:rPr>
            </w:pPr>
          </w:p>
        </w:tc>
        <w:tc>
          <w:tcPr>
            <w:tcW w:w="500" w:type="dxa"/>
            <w:vAlign w:val="bottom"/>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rPr>
              <w:t>578</w:t>
            </w:r>
          </w:p>
        </w:tc>
        <w:tc>
          <w:tcPr>
            <w:tcW w:w="22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rPr>
              <w:t>589</w:t>
            </w:r>
          </w:p>
        </w:tc>
        <w:tc>
          <w:tcPr>
            <w:tcW w:w="24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rPr>
              <w:t>469</w:t>
            </w:r>
          </w:p>
        </w:tc>
        <w:tc>
          <w:tcPr>
            <w:tcW w:w="28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rPr>
              <w:t>11,162</w:t>
            </w:r>
          </w:p>
        </w:tc>
        <w:tc>
          <w:tcPr>
            <w:tcW w:w="220" w:type="dxa"/>
            <w:vAlign w:val="bottom"/>
            <w:shd w:val="clear" w:color="auto" w:fill="E5E5E5"/>
          </w:tcPr>
          <w:p>
            <w:pPr>
              <w:spacing w:after="0"/>
              <w:rPr>
                <w:sz w:val="12"/>
                <w:szCs w:val="12"/>
                <w:color w:val="auto"/>
              </w:rPr>
            </w:pPr>
          </w:p>
        </w:tc>
        <w:tc>
          <w:tcPr>
            <w:tcW w:w="880" w:type="dxa"/>
            <w:vAlign w:val="bottom"/>
            <w:shd w:val="clear" w:color="auto" w:fill="E5E5E5"/>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680" w:type="dxa"/>
            <w:vAlign w:val="bottom"/>
            <w:shd w:val="clear" w:color="auto" w:fill="E5E5E5"/>
          </w:tcPr>
          <w:p>
            <w:pPr>
              <w:jc w:val="right"/>
              <w:spacing w:after="0" w:line="142" w:lineRule="exact"/>
              <w:rPr>
                <w:sz w:val="20"/>
                <w:szCs w:val="20"/>
                <w:color w:val="auto"/>
              </w:rPr>
            </w:pPr>
            <w:r>
              <w:rPr>
                <w:rFonts w:ascii="Arial" w:cs="Arial" w:eastAsia="Arial" w:hAnsi="Arial"/>
                <w:sz w:val="14"/>
                <w:szCs w:val="14"/>
                <w:color w:val="auto"/>
              </w:rPr>
              <w:t>14,146</w:t>
            </w:r>
          </w:p>
        </w:tc>
      </w:tr>
      <w:tr>
        <w:trPr>
          <w:trHeight w:val="149"/>
        </w:trPr>
        <w:tc>
          <w:tcPr>
            <w:tcW w:w="20" w:type="dxa"/>
            <w:vAlign w:val="bottom"/>
          </w:tcPr>
          <w:p>
            <w:pPr>
              <w:spacing w:after="0"/>
              <w:rPr>
                <w:sz w:val="12"/>
                <w:szCs w:val="12"/>
                <w:color w:val="auto"/>
              </w:rPr>
            </w:pPr>
          </w:p>
        </w:tc>
        <w:tc>
          <w:tcPr>
            <w:tcW w:w="4920" w:type="dxa"/>
            <w:vAlign w:val="bottom"/>
          </w:tcPr>
          <w:p>
            <w:pPr>
              <w:spacing w:after="0" w:line="149" w:lineRule="exact"/>
              <w:rPr>
                <w:sz w:val="20"/>
                <w:szCs w:val="20"/>
                <w:color w:val="auto"/>
              </w:rPr>
            </w:pPr>
            <w:r>
              <w:rPr>
                <w:rFonts w:ascii="Arial" w:cs="Arial" w:eastAsia="Arial" w:hAnsi="Arial"/>
                <w:sz w:val="14"/>
                <w:szCs w:val="14"/>
                <w:color w:val="auto"/>
              </w:rPr>
              <w:t>Long-term debt, less current portion</w:t>
            </w:r>
          </w:p>
        </w:tc>
        <w:tc>
          <w:tcPr>
            <w:tcW w:w="640" w:type="dxa"/>
            <w:vAlign w:val="bottom"/>
          </w:tcPr>
          <w:p>
            <w:pPr>
              <w:spacing w:after="0"/>
              <w:rPr>
                <w:sz w:val="12"/>
                <w:szCs w:val="12"/>
                <w:color w:val="auto"/>
              </w:rPr>
            </w:pP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color w:val="auto"/>
                <w:w w:val="88"/>
              </w:rPr>
              <w:t>22,842</w:t>
            </w:r>
          </w:p>
        </w:tc>
        <w:tc>
          <w:tcPr>
            <w:tcW w:w="220" w:type="dxa"/>
            <w:vAlign w:val="bottom"/>
          </w:tcPr>
          <w:p>
            <w:pPr>
              <w:spacing w:after="0"/>
              <w:rPr>
                <w:sz w:val="12"/>
                <w:szCs w:val="12"/>
                <w:color w:val="auto"/>
              </w:rPr>
            </w:pPr>
          </w:p>
        </w:tc>
        <w:tc>
          <w:tcPr>
            <w:tcW w:w="500" w:type="dxa"/>
            <w:vAlign w:val="bottom"/>
          </w:tcPr>
          <w:p>
            <w:pPr>
              <w:jc w:val="right"/>
              <w:ind w:right="72"/>
              <w:spacing w:after="0" w:line="149" w:lineRule="exact"/>
              <w:rPr>
                <w:sz w:val="20"/>
                <w:szCs w:val="20"/>
                <w:color w:val="auto"/>
              </w:rPr>
            </w:pPr>
            <w:r>
              <w:rPr>
                <w:rFonts w:ascii="Arial" w:cs="Arial" w:eastAsia="Arial" w:hAnsi="Arial"/>
                <w:sz w:val="14"/>
                <w:szCs w:val="14"/>
                <w:color w:val="auto"/>
                <w:w w:val="96"/>
              </w:rPr>
              <w:t>3,961</w:t>
            </w:r>
          </w:p>
        </w:tc>
        <w:tc>
          <w:tcPr>
            <w:tcW w:w="220" w:type="dxa"/>
            <w:vAlign w:val="bottom"/>
          </w:tcPr>
          <w:p>
            <w:pPr>
              <w:spacing w:after="0"/>
              <w:rPr>
                <w:sz w:val="12"/>
                <w:szCs w:val="12"/>
                <w:color w:val="auto"/>
              </w:rPr>
            </w:pPr>
          </w:p>
        </w:tc>
        <w:tc>
          <w:tcPr>
            <w:tcW w:w="6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1,767</w:t>
            </w:r>
          </w:p>
        </w:tc>
        <w:tc>
          <w:tcPr>
            <w:tcW w:w="240" w:type="dxa"/>
            <w:vAlign w:val="bottom"/>
          </w:tcPr>
          <w:p>
            <w:pPr>
              <w:spacing w:after="0"/>
              <w:rPr>
                <w:sz w:val="12"/>
                <w:szCs w:val="12"/>
                <w:color w:val="auto"/>
              </w:rPr>
            </w:pP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112</w:t>
            </w:r>
          </w:p>
        </w:tc>
        <w:tc>
          <w:tcPr>
            <w:tcW w:w="28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9,840</w:t>
            </w:r>
          </w:p>
        </w:tc>
        <w:tc>
          <w:tcPr>
            <w:tcW w:w="220" w:type="dxa"/>
            <w:vAlign w:val="bottom"/>
          </w:tcPr>
          <w:p>
            <w:pPr>
              <w:spacing w:after="0"/>
              <w:rPr>
                <w:sz w:val="12"/>
                <w:szCs w:val="12"/>
                <w:color w:val="auto"/>
              </w:rPr>
            </w:pPr>
          </w:p>
        </w:tc>
        <w:tc>
          <w:tcPr>
            <w:tcW w:w="8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38,522</w:t>
            </w:r>
          </w:p>
        </w:tc>
      </w:tr>
      <w:tr>
        <w:trPr>
          <w:trHeight w:val="149"/>
        </w:trPr>
        <w:tc>
          <w:tcPr>
            <w:tcW w:w="20" w:type="dxa"/>
            <w:vAlign w:val="bottom"/>
          </w:tcPr>
          <w:p>
            <w:pPr>
              <w:spacing w:after="0"/>
              <w:rPr>
                <w:sz w:val="12"/>
                <w:szCs w:val="12"/>
                <w:color w:val="auto"/>
              </w:rPr>
            </w:pPr>
          </w:p>
        </w:tc>
        <w:tc>
          <w:tcPr>
            <w:tcW w:w="49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Deferred income taxes</w:t>
            </w:r>
          </w:p>
        </w:tc>
        <w:tc>
          <w:tcPr>
            <w:tcW w:w="64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50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721</w:t>
            </w:r>
          </w:p>
        </w:tc>
        <w:tc>
          <w:tcPr>
            <w:tcW w:w="28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29,454</w:t>
            </w:r>
          </w:p>
        </w:tc>
        <w:tc>
          <w:tcPr>
            <w:tcW w:w="220" w:type="dxa"/>
            <w:vAlign w:val="bottom"/>
            <w:shd w:val="clear" w:color="auto" w:fill="E5E5E5"/>
          </w:tcPr>
          <w:p>
            <w:pPr>
              <w:spacing w:after="0"/>
              <w:rPr>
                <w:sz w:val="12"/>
                <w:szCs w:val="12"/>
                <w:color w:val="auto"/>
              </w:rPr>
            </w:pPr>
          </w:p>
        </w:tc>
        <w:tc>
          <w:tcPr>
            <w:tcW w:w="8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(512)</w:t>
            </w:r>
          </w:p>
        </w:tc>
        <w:tc>
          <w:tcPr>
            <w:tcW w:w="220" w:type="dxa"/>
            <w:vAlign w:val="bottom"/>
            <w:shd w:val="clear" w:color="auto" w:fill="E5E5E5"/>
          </w:tcPr>
          <w:p>
            <w:pPr>
              <w:spacing w:after="0"/>
              <w:rPr>
                <w:sz w:val="12"/>
                <w:szCs w:val="12"/>
                <w:color w:val="auto"/>
              </w:rPr>
            </w:pPr>
          </w:p>
        </w:tc>
        <w:tc>
          <w:tcPr>
            <w:tcW w:w="68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29,663</w:t>
            </w:r>
          </w:p>
        </w:tc>
      </w:tr>
      <w:tr>
        <w:trPr>
          <w:trHeight w:val="149"/>
        </w:trPr>
        <w:tc>
          <w:tcPr>
            <w:tcW w:w="20" w:type="dxa"/>
            <w:vAlign w:val="bottom"/>
          </w:tcPr>
          <w:p>
            <w:pPr>
              <w:spacing w:after="0"/>
              <w:rPr>
                <w:sz w:val="12"/>
                <w:szCs w:val="12"/>
                <w:color w:val="auto"/>
              </w:rPr>
            </w:pPr>
          </w:p>
        </w:tc>
        <w:tc>
          <w:tcPr>
            <w:tcW w:w="4920" w:type="dxa"/>
            <w:vAlign w:val="bottom"/>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640" w:type="dxa"/>
            <w:vAlign w:val="bottom"/>
          </w:tcPr>
          <w:p>
            <w:pPr>
              <w:spacing w:after="0"/>
              <w:rPr>
                <w:sz w:val="12"/>
                <w:szCs w:val="12"/>
                <w:color w:val="auto"/>
              </w:rPr>
            </w:pP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1,844</w:t>
            </w:r>
          </w:p>
        </w:tc>
        <w:tc>
          <w:tcPr>
            <w:tcW w:w="220" w:type="dxa"/>
            <w:vAlign w:val="bottom"/>
          </w:tcPr>
          <w:p>
            <w:pPr>
              <w:spacing w:after="0"/>
              <w:rPr>
                <w:sz w:val="12"/>
                <w:szCs w:val="12"/>
                <w:color w:val="auto"/>
              </w:rPr>
            </w:pPr>
          </w:p>
        </w:tc>
        <w:tc>
          <w:tcPr>
            <w:tcW w:w="5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9,956</w:t>
            </w:r>
          </w:p>
        </w:tc>
        <w:tc>
          <w:tcPr>
            <w:tcW w:w="22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(143)</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11,657</w:t>
            </w:r>
          </w:p>
        </w:tc>
      </w:tr>
      <w:tr>
        <w:trPr>
          <w:trHeight w:val="149"/>
        </w:trPr>
        <w:tc>
          <w:tcPr>
            <w:tcW w:w="20" w:type="dxa"/>
            <w:vAlign w:val="bottom"/>
          </w:tcPr>
          <w:p>
            <w:pPr>
              <w:spacing w:after="0"/>
              <w:rPr>
                <w:sz w:val="12"/>
                <w:szCs w:val="12"/>
                <w:color w:val="auto"/>
              </w:rPr>
            </w:pPr>
          </w:p>
        </w:tc>
        <w:tc>
          <w:tcPr>
            <w:tcW w:w="49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Redeemable noncontrolling interests</w:t>
            </w:r>
          </w:p>
        </w:tc>
        <w:tc>
          <w:tcPr>
            <w:tcW w:w="64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50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15,827</w:t>
            </w:r>
          </w:p>
        </w:tc>
        <w:tc>
          <w:tcPr>
            <w:tcW w:w="220" w:type="dxa"/>
            <w:vAlign w:val="bottom"/>
            <w:shd w:val="clear" w:color="auto" w:fill="E5E5E5"/>
          </w:tcPr>
          <w:p>
            <w:pPr>
              <w:spacing w:after="0"/>
              <w:rPr>
                <w:sz w:val="12"/>
                <w:szCs w:val="12"/>
                <w:color w:val="auto"/>
              </w:rPr>
            </w:pPr>
          </w:p>
        </w:tc>
        <w:tc>
          <w:tcPr>
            <w:tcW w:w="88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68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15,827</w:t>
            </w:r>
          </w:p>
        </w:tc>
      </w:tr>
      <w:tr>
        <w:trPr>
          <w:trHeight w:val="149"/>
        </w:trPr>
        <w:tc>
          <w:tcPr>
            <w:tcW w:w="20" w:type="dxa"/>
            <w:vAlign w:val="bottom"/>
          </w:tcPr>
          <w:p>
            <w:pPr>
              <w:spacing w:after="0"/>
              <w:rPr>
                <w:sz w:val="12"/>
                <w:szCs w:val="12"/>
                <w:color w:val="auto"/>
              </w:rPr>
            </w:pPr>
          </w:p>
        </w:tc>
        <w:tc>
          <w:tcPr>
            <w:tcW w:w="4920" w:type="dxa"/>
            <w:vAlign w:val="bottom"/>
          </w:tcPr>
          <w:p>
            <w:pPr>
              <w:spacing w:after="0" w:line="149" w:lineRule="exact"/>
              <w:rPr>
                <w:sz w:val="20"/>
                <w:szCs w:val="20"/>
                <w:color w:val="auto"/>
              </w:rPr>
            </w:pPr>
            <w:r>
              <w:rPr>
                <w:rFonts w:ascii="Arial" w:cs="Arial" w:eastAsia="Arial" w:hAnsi="Arial"/>
                <w:sz w:val="14"/>
                <w:szCs w:val="14"/>
                <w:color w:val="auto"/>
              </w:rPr>
              <w:t>Equity:</w:t>
            </w: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Common stock</w:t>
            </w:r>
          </w:p>
        </w:tc>
        <w:tc>
          <w:tcPr>
            <w:tcW w:w="64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32</w:t>
            </w:r>
          </w:p>
        </w:tc>
        <w:tc>
          <w:tcPr>
            <w:tcW w:w="220" w:type="dxa"/>
            <w:vAlign w:val="bottom"/>
            <w:shd w:val="clear" w:color="auto" w:fill="E5E5E5"/>
          </w:tcPr>
          <w:p>
            <w:pPr>
              <w:spacing w:after="0"/>
              <w:rPr>
                <w:sz w:val="12"/>
                <w:szCs w:val="12"/>
                <w:color w:val="auto"/>
              </w:rPr>
            </w:pPr>
          </w:p>
        </w:tc>
        <w:tc>
          <w:tcPr>
            <w:tcW w:w="50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88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68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32</w:t>
            </w:r>
          </w:p>
        </w:tc>
      </w:tr>
      <w:tr>
        <w:trPr>
          <w:trHeight w:val="149"/>
        </w:trPr>
        <w:tc>
          <w:tcPr>
            <w:tcW w:w="20" w:type="dxa"/>
            <w:vAlign w:val="bottom"/>
          </w:tcPr>
          <w:p>
            <w:pPr>
              <w:spacing w:after="0"/>
              <w:rPr>
                <w:sz w:val="12"/>
                <w:szCs w:val="12"/>
                <w:color w:val="auto"/>
              </w:rPr>
            </w:pPr>
          </w:p>
        </w:tc>
        <w:tc>
          <w:tcPr>
            <w:tcW w:w="492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 shareholders’ equity</w:t>
            </w:r>
          </w:p>
        </w:tc>
        <w:tc>
          <w:tcPr>
            <w:tcW w:w="6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w w:val="88"/>
              </w:rPr>
              <w:t>46,651</w:t>
            </w: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w w:val="79"/>
              </w:rPr>
              <w:t>83,614</w:t>
            </w: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42,406</w:t>
            </w: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w w:val="88"/>
              </w:rPr>
              <w:t>85,542</w:t>
            </w: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w w:val="98"/>
              </w:rPr>
              <w:t>113,989</w:t>
            </w: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(325,551)</w:t>
            </w: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46,651</w:t>
            </w:r>
          </w:p>
        </w:tc>
      </w:tr>
      <w:tr>
        <w:trPr>
          <w:trHeight w:val="142"/>
        </w:trPr>
        <w:tc>
          <w:tcPr>
            <w:tcW w:w="20" w:type="dxa"/>
            <w:vAlign w:val="bottom"/>
          </w:tcPr>
          <w:p>
            <w:pPr>
              <w:spacing w:after="0"/>
              <w:rPr>
                <w:sz w:val="12"/>
                <w:szCs w:val="12"/>
                <w:color w:val="auto"/>
              </w:rPr>
            </w:pPr>
          </w:p>
        </w:tc>
        <w:tc>
          <w:tcPr>
            <w:tcW w:w="492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Total Comcast Corporation shareholders’ equity</w:t>
            </w:r>
          </w:p>
        </w:tc>
        <w:tc>
          <w:tcPr>
            <w:tcW w:w="64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w w:val="88"/>
              </w:rPr>
              <w:t>46,683</w:t>
            </w:r>
          </w:p>
        </w:tc>
        <w:tc>
          <w:tcPr>
            <w:tcW w:w="220" w:type="dxa"/>
            <w:vAlign w:val="bottom"/>
            <w:shd w:val="clear" w:color="auto" w:fill="E5E5E5"/>
          </w:tcPr>
          <w:p>
            <w:pPr>
              <w:spacing w:after="0"/>
              <w:rPr>
                <w:sz w:val="12"/>
                <w:szCs w:val="12"/>
                <w:color w:val="auto"/>
              </w:rPr>
            </w:pPr>
          </w:p>
        </w:tc>
        <w:tc>
          <w:tcPr>
            <w:tcW w:w="500" w:type="dxa"/>
            <w:vAlign w:val="bottom"/>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w w:val="79"/>
              </w:rPr>
              <w:t>83,614</w:t>
            </w:r>
          </w:p>
        </w:tc>
        <w:tc>
          <w:tcPr>
            <w:tcW w:w="22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rPr>
              <w:t>42,406</w:t>
            </w:r>
          </w:p>
        </w:tc>
        <w:tc>
          <w:tcPr>
            <w:tcW w:w="24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w w:val="88"/>
              </w:rPr>
              <w:t>85,542</w:t>
            </w:r>
          </w:p>
        </w:tc>
        <w:tc>
          <w:tcPr>
            <w:tcW w:w="28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w w:val="98"/>
              </w:rPr>
              <w:t>113,989</w:t>
            </w:r>
          </w:p>
        </w:tc>
        <w:tc>
          <w:tcPr>
            <w:tcW w:w="220" w:type="dxa"/>
            <w:vAlign w:val="bottom"/>
            <w:shd w:val="clear" w:color="auto" w:fill="E5E5E5"/>
          </w:tcPr>
          <w:p>
            <w:pPr>
              <w:spacing w:after="0"/>
              <w:rPr>
                <w:sz w:val="12"/>
                <w:szCs w:val="12"/>
                <w:color w:val="auto"/>
              </w:rPr>
            </w:pPr>
          </w:p>
        </w:tc>
        <w:tc>
          <w:tcPr>
            <w:tcW w:w="880" w:type="dxa"/>
            <w:vAlign w:val="bottom"/>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rPr>
              <w:t>(325,551)</w:t>
            </w:r>
          </w:p>
        </w:tc>
        <w:tc>
          <w:tcPr>
            <w:tcW w:w="220" w:type="dxa"/>
            <w:vAlign w:val="bottom"/>
            <w:shd w:val="clear" w:color="auto" w:fill="E5E5E5"/>
          </w:tcPr>
          <w:p>
            <w:pPr>
              <w:spacing w:after="0"/>
              <w:rPr>
                <w:sz w:val="12"/>
                <w:szCs w:val="12"/>
                <w:color w:val="auto"/>
              </w:rPr>
            </w:pPr>
          </w:p>
        </w:tc>
        <w:tc>
          <w:tcPr>
            <w:tcW w:w="680" w:type="dxa"/>
            <w:vAlign w:val="bottom"/>
            <w:shd w:val="clear" w:color="auto" w:fill="E5E5E5"/>
          </w:tcPr>
          <w:p>
            <w:pPr>
              <w:jc w:val="right"/>
              <w:spacing w:after="0" w:line="142" w:lineRule="exact"/>
              <w:rPr>
                <w:sz w:val="20"/>
                <w:szCs w:val="20"/>
                <w:color w:val="auto"/>
              </w:rPr>
            </w:pPr>
            <w:r>
              <w:rPr>
                <w:rFonts w:ascii="Arial" w:cs="Arial" w:eastAsia="Arial" w:hAnsi="Arial"/>
                <w:sz w:val="14"/>
                <w:szCs w:val="14"/>
                <w:color w:val="auto"/>
              </w:rPr>
              <w:t>46,683</w:t>
            </w:r>
          </w:p>
        </w:tc>
      </w:tr>
      <w:tr>
        <w:trPr>
          <w:trHeight w:val="149"/>
        </w:trPr>
        <w:tc>
          <w:tcPr>
            <w:tcW w:w="20" w:type="dxa"/>
            <w:vAlign w:val="bottom"/>
          </w:tcPr>
          <w:p>
            <w:pPr>
              <w:spacing w:after="0"/>
              <w:rPr>
                <w:sz w:val="12"/>
                <w:szCs w:val="12"/>
                <w:color w:val="auto"/>
              </w:rPr>
            </w:pPr>
          </w:p>
        </w:tc>
        <w:tc>
          <w:tcPr>
            <w:tcW w:w="49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Noncontrolling interests</w:t>
            </w:r>
          </w:p>
        </w:tc>
        <w:tc>
          <w:tcPr>
            <w:tcW w:w="6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329</w:t>
            </w: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329</w:t>
            </w:r>
          </w:p>
        </w:tc>
      </w:tr>
      <w:tr>
        <w:trPr>
          <w:trHeight w:val="142"/>
        </w:trPr>
        <w:tc>
          <w:tcPr>
            <w:tcW w:w="20" w:type="dxa"/>
            <w:vAlign w:val="bottom"/>
          </w:tcPr>
          <w:p>
            <w:pPr>
              <w:spacing w:after="0"/>
              <w:rPr>
                <w:sz w:val="12"/>
                <w:szCs w:val="12"/>
                <w:color w:val="auto"/>
              </w:rPr>
            </w:pPr>
          </w:p>
        </w:tc>
        <w:tc>
          <w:tcPr>
            <w:tcW w:w="4920" w:type="dxa"/>
            <w:vAlign w:val="bottom"/>
            <w:tcBorders>
              <w:bottom w:val="single" w:sz="8" w:color="auto"/>
            </w:tcBorders>
            <w:shd w:val="clear" w:color="auto" w:fill="E5E5E5"/>
          </w:tcPr>
          <w:p>
            <w:pPr>
              <w:spacing w:after="0" w:line="142" w:lineRule="exact"/>
              <w:rPr>
                <w:sz w:val="20"/>
                <w:szCs w:val="20"/>
                <w:color w:val="auto"/>
              </w:rPr>
            </w:pPr>
            <w:r>
              <w:rPr>
                <w:rFonts w:ascii="Arial" w:cs="Arial" w:eastAsia="Arial" w:hAnsi="Arial"/>
                <w:sz w:val="14"/>
                <w:szCs w:val="14"/>
                <w:color w:val="auto"/>
              </w:rPr>
              <w:t>Total equity</w:t>
            </w:r>
          </w:p>
        </w:tc>
        <w:tc>
          <w:tcPr>
            <w:tcW w:w="640" w:type="dxa"/>
            <w:vAlign w:val="bottom"/>
            <w:tcBorders>
              <w:bottom w:val="single" w:sz="8" w:color="auto"/>
            </w:tcBorders>
            <w:shd w:val="clear" w:color="auto" w:fill="E5E5E5"/>
          </w:tcPr>
          <w:p>
            <w:pPr>
              <w:spacing w:after="0"/>
              <w:rPr>
                <w:sz w:val="12"/>
                <w:szCs w:val="12"/>
                <w:color w:val="auto"/>
              </w:rPr>
            </w:pPr>
          </w:p>
        </w:tc>
        <w:tc>
          <w:tcPr>
            <w:tcW w:w="540" w:type="dxa"/>
            <w:vAlign w:val="bottom"/>
            <w:tcBorders>
              <w:bottom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w w:val="88"/>
              </w:rPr>
              <w:t>46,683</w:t>
            </w:r>
          </w:p>
        </w:tc>
        <w:tc>
          <w:tcPr>
            <w:tcW w:w="220" w:type="dxa"/>
            <w:vAlign w:val="bottom"/>
            <w:tcBorders>
              <w:bottom w:val="single" w:sz="8" w:color="auto"/>
            </w:tcBorders>
            <w:shd w:val="clear" w:color="auto" w:fill="E5E5E5"/>
          </w:tcPr>
          <w:p>
            <w:pPr>
              <w:spacing w:after="0"/>
              <w:rPr>
                <w:sz w:val="12"/>
                <w:szCs w:val="12"/>
                <w:color w:val="auto"/>
              </w:rPr>
            </w:pPr>
          </w:p>
        </w:tc>
        <w:tc>
          <w:tcPr>
            <w:tcW w:w="500" w:type="dxa"/>
            <w:vAlign w:val="bottom"/>
            <w:tcBorders>
              <w:bottom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w w:val="79"/>
              </w:rPr>
              <w:t>83,614</w:t>
            </w:r>
          </w:p>
        </w:tc>
        <w:tc>
          <w:tcPr>
            <w:tcW w:w="220" w:type="dxa"/>
            <w:vAlign w:val="bottom"/>
            <w:tcBorders>
              <w:bottom w:val="single" w:sz="8" w:color="auto"/>
            </w:tcBorders>
            <w:shd w:val="clear" w:color="auto" w:fill="E5E5E5"/>
          </w:tcPr>
          <w:p>
            <w:pPr>
              <w:spacing w:after="0"/>
              <w:rPr>
                <w:sz w:val="12"/>
                <w:szCs w:val="12"/>
                <w:color w:val="auto"/>
              </w:rPr>
            </w:pPr>
          </w:p>
        </w:tc>
        <w:tc>
          <w:tcPr>
            <w:tcW w:w="640" w:type="dxa"/>
            <w:vAlign w:val="bottom"/>
            <w:tcBorders>
              <w:bottom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rPr>
              <w:t>42,406</w:t>
            </w:r>
          </w:p>
        </w:tc>
        <w:tc>
          <w:tcPr>
            <w:tcW w:w="240" w:type="dxa"/>
            <w:vAlign w:val="bottom"/>
            <w:tcBorders>
              <w:bottom w:val="single" w:sz="8" w:color="auto"/>
            </w:tcBorders>
            <w:shd w:val="clear" w:color="auto" w:fill="E5E5E5"/>
          </w:tcPr>
          <w:p>
            <w:pPr>
              <w:spacing w:after="0"/>
              <w:rPr>
                <w:sz w:val="12"/>
                <w:szCs w:val="12"/>
                <w:color w:val="auto"/>
              </w:rPr>
            </w:pPr>
          </w:p>
        </w:tc>
        <w:tc>
          <w:tcPr>
            <w:tcW w:w="540" w:type="dxa"/>
            <w:vAlign w:val="bottom"/>
            <w:tcBorders>
              <w:bottom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w w:val="88"/>
              </w:rPr>
              <w:t>85,542</w:t>
            </w:r>
          </w:p>
        </w:tc>
        <w:tc>
          <w:tcPr>
            <w:tcW w:w="280" w:type="dxa"/>
            <w:vAlign w:val="bottom"/>
            <w:tcBorders>
              <w:bottom w:val="single" w:sz="8" w:color="auto"/>
            </w:tcBorders>
            <w:shd w:val="clear" w:color="auto" w:fill="E5E5E5"/>
          </w:tcPr>
          <w:p>
            <w:pPr>
              <w:spacing w:after="0"/>
              <w:rPr>
                <w:sz w:val="12"/>
                <w:szCs w:val="12"/>
                <w:color w:val="auto"/>
              </w:rPr>
            </w:pPr>
          </w:p>
        </w:tc>
        <w:tc>
          <w:tcPr>
            <w:tcW w:w="660" w:type="dxa"/>
            <w:vAlign w:val="bottom"/>
            <w:tcBorders>
              <w:bottom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w w:val="98"/>
              </w:rPr>
              <w:t>114,318</w:t>
            </w:r>
          </w:p>
        </w:tc>
        <w:tc>
          <w:tcPr>
            <w:tcW w:w="220" w:type="dxa"/>
            <w:vAlign w:val="bottom"/>
            <w:tcBorders>
              <w:bottom w:val="single" w:sz="8" w:color="auto"/>
            </w:tcBorders>
            <w:shd w:val="clear" w:color="auto" w:fill="E5E5E5"/>
          </w:tcPr>
          <w:p>
            <w:pPr>
              <w:spacing w:after="0"/>
              <w:rPr>
                <w:sz w:val="12"/>
                <w:szCs w:val="12"/>
                <w:color w:val="auto"/>
              </w:rPr>
            </w:pPr>
          </w:p>
        </w:tc>
        <w:tc>
          <w:tcPr>
            <w:tcW w:w="880" w:type="dxa"/>
            <w:vAlign w:val="bottom"/>
            <w:tcBorders>
              <w:bottom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rPr>
              <w:t>(325,551)</w:t>
            </w:r>
          </w:p>
        </w:tc>
        <w:tc>
          <w:tcPr>
            <w:tcW w:w="220" w:type="dxa"/>
            <w:vAlign w:val="bottom"/>
            <w:tcBorders>
              <w:bottom w:val="single" w:sz="8" w:color="auto"/>
            </w:tcBorders>
            <w:shd w:val="clear" w:color="auto" w:fill="E5E5E5"/>
          </w:tcPr>
          <w:p>
            <w:pPr>
              <w:spacing w:after="0"/>
              <w:rPr>
                <w:sz w:val="12"/>
                <w:szCs w:val="12"/>
                <w:color w:val="auto"/>
              </w:rPr>
            </w:pPr>
          </w:p>
        </w:tc>
        <w:tc>
          <w:tcPr>
            <w:tcW w:w="68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47,012</w:t>
            </w:r>
          </w:p>
        </w:tc>
      </w:tr>
      <w:tr>
        <w:trPr>
          <w:trHeight w:val="149"/>
        </w:trPr>
        <w:tc>
          <w:tcPr>
            <w:tcW w:w="20" w:type="dxa"/>
            <w:vAlign w:val="bottom"/>
            <w:tcBorders>
              <w:bottom w:val="single" w:sz="8" w:color="auto"/>
            </w:tcBorders>
          </w:tcPr>
          <w:p>
            <w:pPr>
              <w:spacing w:after="0"/>
              <w:rPr>
                <w:sz w:val="12"/>
                <w:szCs w:val="12"/>
                <w:color w:val="auto"/>
              </w:rPr>
            </w:pPr>
          </w:p>
        </w:tc>
        <w:tc>
          <w:tcPr>
            <w:tcW w:w="49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Total liabilities and equity</w:t>
            </w:r>
          </w:p>
        </w:tc>
        <w:tc>
          <w:tcPr>
            <w:tcW w:w="640" w:type="dxa"/>
            <w:vAlign w:val="bottom"/>
            <w:tcBorders>
              <w:bottom w:val="single" w:sz="8" w:color="auto"/>
            </w:tcBorders>
          </w:tcPr>
          <w:p>
            <w:pPr>
              <w:ind w:left="560"/>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8"/>
              </w:rPr>
              <w:t>72,717</w:t>
            </w: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79"/>
              </w:rPr>
              <w:t>88,153</w:t>
            </w:r>
          </w:p>
        </w:tc>
        <w:tc>
          <w:tcPr>
            <w:tcW w:w="220" w:type="dxa"/>
            <w:vAlign w:val="bottom"/>
            <w:tcBorders>
              <w:bottom w:val="single" w:sz="8" w:color="auto"/>
            </w:tcBorders>
          </w:tcPr>
          <w:p>
            <w:pPr>
              <w:ind w:left="160"/>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44,762</w:t>
            </w:r>
          </w:p>
        </w:tc>
        <w:tc>
          <w:tcPr>
            <w:tcW w:w="2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8"/>
              </w:rPr>
              <w:t>86,844</w:t>
            </w:r>
          </w:p>
        </w:tc>
        <w:tc>
          <w:tcPr>
            <w:tcW w:w="28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8"/>
              </w:rPr>
              <w:t>190,557</w:t>
            </w:r>
          </w:p>
        </w:tc>
        <w:tc>
          <w:tcPr>
            <w:tcW w:w="22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(326,206)</w:t>
            </w:r>
          </w:p>
        </w:tc>
        <w:tc>
          <w:tcPr>
            <w:tcW w:w="2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156,827</w:t>
            </w: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center"/>
              <w:ind w:right="192"/>
              <w:spacing w:after="0"/>
              <w:rPr>
                <w:sz w:val="20"/>
                <w:szCs w:val="20"/>
                <w:color w:val="auto"/>
              </w:rPr>
            </w:pPr>
            <w:r>
              <w:rPr>
                <w:rFonts w:ascii="Arial" w:cs="Arial" w:eastAsia="Arial" w:hAnsi="Arial"/>
                <w:sz w:val="14"/>
                <w:szCs w:val="14"/>
                <w:color w:val="auto"/>
                <w:w w:val="93"/>
              </w:rPr>
              <w:t>Elimination</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Combined</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ind w:right="172"/>
              <w:spacing w:after="0" w:line="149" w:lineRule="exact"/>
              <w:rPr>
                <w:sz w:val="20"/>
                <w:szCs w:val="20"/>
                <w:color w:val="auto"/>
              </w:rPr>
            </w:pPr>
            <w:r>
              <w:rPr>
                <w:rFonts w:ascii="Arial" w:cs="Arial" w:eastAsia="Arial" w:hAnsi="Arial"/>
                <w:sz w:val="14"/>
                <w:szCs w:val="14"/>
                <w:color w:val="auto"/>
                <w:w w:val="85"/>
              </w:rPr>
              <w:t>Non-</w:t>
            </w:r>
          </w:p>
        </w:tc>
        <w:tc>
          <w:tcPr>
            <w:tcW w:w="200" w:type="dxa"/>
            <w:vAlign w:val="bottom"/>
          </w:tcPr>
          <w:p>
            <w:pPr>
              <w:spacing w:after="0"/>
              <w:rPr>
                <w:sz w:val="12"/>
                <w:szCs w:val="12"/>
                <w:color w:val="auto"/>
              </w:rPr>
            </w:pPr>
          </w:p>
        </w:tc>
        <w:tc>
          <w:tcPr>
            <w:tcW w:w="1020" w:type="dxa"/>
            <w:vAlign w:val="bottom"/>
          </w:tcPr>
          <w:p>
            <w:pPr>
              <w:jc w:val="center"/>
              <w:ind w:right="192"/>
              <w:spacing w:after="0" w:line="149" w:lineRule="exact"/>
              <w:rPr>
                <w:sz w:val="20"/>
                <w:szCs w:val="20"/>
                <w:color w:val="auto"/>
              </w:rPr>
            </w:pPr>
            <w:r>
              <w:rPr>
                <w:rFonts w:ascii="Arial" w:cs="Arial" w:eastAsia="Arial" w:hAnsi="Arial"/>
                <w:sz w:val="14"/>
                <w:szCs w:val="14"/>
                <w:color w:val="auto"/>
                <w:w w:val="85"/>
              </w:rPr>
              <w:t>and</w:t>
            </w:r>
          </w:p>
        </w:tc>
        <w:tc>
          <w:tcPr>
            <w:tcW w:w="200" w:type="dxa"/>
            <w:vAlign w:val="bottom"/>
          </w:tcPr>
          <w:p>
            <w:pPr>
              <w:spacing w:after="0"/>
              <w:rPr>
                <w:sz w:val="12"/>
                <w:szCs w:val="12"/>
                <w:color w:val="auto"/>
              </w:rPr>
            </w:pPr>
          </w:p>
        </w:tc>
        <w:tc>
          <w:tcPr>
            <w:tcW w:w="86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8"/>
              </w:rPr>
              <w:t>Consolidated</w:t>
            </w: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920" w:type="dxa"/>
            <w:vAlign w:val="bottom"/>
            <w:gridSpan w:val="2"/>
          </w:tcPr>
          <w:p>
            <w:pPr>
              <w:jc w:val="right"/>
              <w:ind w:right="92"/>
              <w:spacing w:after="0" w:line="149" w:lineRule="exact"/>
              <w:rPr>
                <w:sz w:val="20"/>
                <w:szCs w:val="20"/>
                <w:color w:val="auto"/>
              </w:rPr>
            </w:pPr>
            <w:r>
              <w:rPr>
                <w:rFonts w:ascii="Arial" w:cs="Arial" w:eastAsia="Arial" w:hAnsi="Arial"/>
                <w:sz w:val="14"/>
                <w:szCs w:val="14"/>
                <w:color w:val="auto"/>
              </w:rPr>
              <w:t>Comcast</w:t>
            </w:r>
          </w:p>
        </w:tc>
        <w:tc>
          <w:tcPr>
            <w:tcW w:w="220" w:type="dxa"/>
            <w:vAlign w:val="bottom"/>
          </w:tcPr>
          <w:p>
            <w:pPr>
              <w:spacing w:after="0"/>
              <w:rPr>
                <w:sz w:val="12"/>
                <w:szCs w:val="12"/>
                <w:color w:val="auto"/>
              </w:rPr>
            </w:pPr>
          </w:p>
        </w:tc>
        <w:tc>
          <w:tcPr>
            <w:tcW w:w="56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83"/>
              </w:rPr>
              <w:t>CCCL</w:t>
            </w:r>
          </w:p>
        </w:tc>
        <w:tc>
          <w:tcPr>
            <w:tcW w:w="200" w:type="dxa"/>
            <w:vAlign w:val="bottom"/>
          </w:tcPr>
          <w:p>
            <w:pPr>
              <w:spacing w:after="0"/>
              <w:rPr>
                <w:sz w:val="12"/>
                <w:szCs w:val="12"/>
                <w:color w:val="auto"/>
              </w:rPr>
            </w:pPr>
          </w:p>
        </w:tc>
        <w:tc>
          <w:tcPr>
            <w:tcW w:w="720" w:type="dxa"/>
            <w:vAlign w:val="bottom"/>
          </w:tcPr>
          <w:p>
            <w:pPr>
              <w:jc w:val="center"/>
              <w:ind w:right="152"/>
              <w:spacing w:after="0" w:line="149" w:lineRule="exact"/>
              <w:rPr>
                <w:sz w:val="20"/>
                <w:szCs w:val="20"/>
                <w:color w:val="auto"/>
              </w:rPr>
            </w:pPr>
            <w:r>
              <w:rPr>
                <w:rFonts w:ascii="Arial" w:cs="Arial" w:eastAsia="Arial" w:hAnsi="Arial"/>
                <w:sz w:val="14"/>
                <w:szCs w:val="14"/>
                <w:color w:val="auto"/>
                <w:w w:val="94"/>
              </w:rPr>
              <w:t>CCHMO</w:t>
            </w:r>
          </w:p>
        </w:tc>
        <w:tc>
          <w:tcPr>
            <w:tcW w:w="84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Comcast</w:t>
            </w:r>
          </w:p>
        </w:tc>
        <w:tc>
          <w:tcPr>
            <w:tcW w:w="220" w:type="dxa"/>
            <w:vAlign w:val="bottom"/>
          </w:tcPr>
          <w:p>
            <w:pPr>
              <w:spacing w:after="0"/>
              <w:rPr>
                <w:sz w:val="12"/>
                <w:szCs w:val="12"/>
                <w:color w:val="auto"/>
              </w:rPr>
            </w:pPr>
          </w:p>
        </w:tc>
        <w:tc>
          <w:tcPr>
            <w:tcW w:w="820" w:type="dxa"/>
            <w:vAlign w:val="bottom"/>
          </w:tcPr>
          <w:p>
            <w:pPr>
              <w:jc w:val="center"/>
              <w:ind w:right="172"/>
              <w:spacing w:after="0" w:line="149" w:lineRule="exact"/>
              <w:rPr>
                <w:sz w:val="20"/>
                <w:szCs w:val="20"/>
                <w:color w:val="auto"/>
              </w:rPr>
            </w:pPr>
            <w:r>
              <w:rPr>
                <w:rFonts w:ascii="Arial" w:cs="Arial" w:eastAsia="Arial" w:hAnsi="Arial"/>
                <w:sz w:val="14"/>
                <w:szCs w:val="14"/>
                <w:color w:val="auto"/>
                <w:w w:val="85"/>
              </w:rPr>
              <w:t>Guarantor</w:t>
            </w:r>
          </w:p>
        </w:tc>
        <w:tc>
          <w:tcPr>
            <w:tcW w:w="200" w:type="dxa"/>
            <w:vAlign w:val="bottom"/>
          </w:tcPr>
          <w:p>
            <w:pPr>
              <w:spacing w:after="0"/>
              <w:rPr>
                <w:sz w:val="12"/>
                <w:szCs w:val="12"/>
                <w:color w:val="auto"/>
              </w:rPr>
            </w:pPr>
          </w:p>
        </w:tc>
        <w:tc>
          <w:tcPr>
            <w:tcW w:w="1020" w:type="dxa"/>
            <w:vAlign w:val="bottom"/>
          </w:tcPr>
          <w:p>
            <w:pPr>
              <w:jc w:val="center"/>
              <w:ind w:right="192"/>
              <w:spacing w:after="0" w:line="149" w:lineRule="exact"/>
              <w:rPr>
                <w:sz w:val="20"/>
                <w:szCs w:val="20"/>
                <w:color w:val="auto"/>
              </w:rPr>
            </w:pPr>
            <w:r>
              <w:rPr>
                <w:rFonts w:ascii="Arial" w:cs="Arial" w:eastAsia="Arial" w:hAnsi="Arial"/>
                <w:sz w:val="14"/>
                <w:szCs w:val="14"/>
                <w:color w:val="auto"/>
                <w:w w:val="89"/>
              </w:rPr>
              <w:t>Consolidation</w:t>
            </w:r>
          </w:p>
        </w:tc>
        <w:tc>
          <w:tcPr>
            <w:tcW w:w="200" w:type="dxa"/>
            <w:vAlign w:val="bottom"/>
          </w:tcPr>
          <w:p>
            <w:pPr>
              <w:spacing w:after="0"/>
              <w:rPr>
                <w:sz w:val="12"/>
                <w:szCs w:val="12"/>
                <w:color w:val="auto"/>
              </w:rPr>
            </w:pPr>
          </w:p>
        </w:tc>
        <w:tc>
          <w:tcPr>
            <w:tcW w:w="8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83"/>
              </w:rPr>
              <w:t>Comcast</w:t>
            </w:r>
          </w:p>
        </w:tc>
      </w:tr>
      <w:tr>
        <w:trPr>
          <w:trHeight w:val="173"/>
        </w:trPr>
        <w:tc>
          <w:tcPr>
            <w:tcW w:w="46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15"/>
                <w:szCs w:val="15"/>
                <w:color w:val="auto"/>
              </w:rPr>
            </w:pPr>
          </w:p>
        </w:tc>
        <w:tc>
          <w:tcPr>
            <w:tcW w:w="580" w:type="dxa"/>
            <w:vAlign w:val="bottom"/>
          </w:tcPr>
          <w:p>
            <w:pPr>
              <w:jc w:val="right"/>
              <w:ind w:right="152"/>
              <w:spacing w:after="0"/>
              <w:rPr>
                <w:sz w:val="20"/>
                <w:szCs w:val="20"/>
                <w:color w:val="auto"/>
              </w:rPr>
            </w:pPr>
            <w:r>
              <w:rPr>
                <w:rFonts w:ascii="Arial" w:cs="Arial" w:eastAsia="Arial" w:hAnsi="Arial"/>
                <w:sz w:val="14"/>
                <w:szCs w:val="14"/>
                <w:color w:val="auto"/>
                <w:w w:val="82"/>
              </w:rPr>
              <w:t>Parent</w:t>
            </w:r>
          </w:p>
        </w:tc>
        <w:tc>
          <w:tcPr>
            <w:tcW w:w="220" w:type="dxa"/>
            <w:vAlign w:val="bottom"/>
          </w:tcPr>
          <w:p>
            <w:pPr>
              <w:spacing w:after="0"/>
              <w:rPr>
                <w:sz w:val="15"/>
                <w:szCs w:val="15"/>
                <w:color w:val="auto"/>
              </w:rPr>
            </w:pPr>
          </w:p>
        </w:tc>
        <w:tc>
          <w:tcPr>
            <w:tcW w:w="560" w:type="dxa"/>
            <w:vAlign w:val="bottom"/>
          </w:tcPr>
          <w:p>
            <w:pPr>
              <w:jc w:val="right"/>
              <w:ind w:right="152"/>
              <w:spacing w:after="0"/>
              <w:rPr>
                <w:sz w:val="20"/>
                <w:szCs w:val="20"/>
                <w:color w:val="auto"/>
              </w:rPr>
            </w:pPr>
            <w:r>
              <w:rPr>
                <w:rFonts w:ascii="Arial" w:cs="Arial" w:eastAsia="Arial" w:hAnsi="Arial"/>
                <w:sz w:val="14"/>
                <w:szCs w:val="14"/>
                <w:color w:val="auto"/>
                <w:w w:val="77"/>
              </w:rPr>
              <w:t>Parent</w:t>
            </w:r>
          </w:p>
        </w:tc>
        <w:tc>
          <w:tcPr>
            <w:tcW w:w="200" w:type="dxa"/>
            <w:vAlign w:val="bottom"/>
          </w:tcPr>
          <w:p>
            <w:pPr>
              <w:spacing w:after="0"/>
              <w:rPr>
                <w:sz w:val="15"/>
                <w:szCs w:val="15"/>
                <w:color w:val="auto"/>
              </w:rPr>
            </w:pPr>
          </w:p>
        </w:tc>
        <w:tc>
          <w:tcPr>
            <w:tcW w:w="720" w:type="dxa"/>
            <w:vAlign w:val="bottom"/>
          </w:tcPr>
          <w:p>
            <w:pPr>
              <w:jc w:val="center"/>
              <w:ind w:right="132"/>
              <w:spacing w:after="0"/>
              <w:rPr>
                <w:sz w:val="20"/>
                <w:szCs w:val="20"/>
                <w:color w:val="auto"/>
              </w:rPr>
            </w:pPr>
            <w:r>
              <w:rPr>
                <w:rFonts w:ascii="Arial" w:cs="Arial" w:eastAsia="Arial" w:hAnsi="Arial"/>
                <w:sz w:val="14"/>
                <w:szCs w:val="14"/>
                <w:color w:val="auto"/>
                <w:w w:val="82"/>
              </w:rPr>
              <w:t>Parents</w:t>
            </w:r>
          </w:p>
        </w:tc>
        <w:tc>
          <w:tcPr>
            <w:tcW w:w="840" w:type="dxa"/>
            <w:vAlign w:val="bottom"/>
            <w:gridSpan w:val="2"/>
          </w:tcPr>
          <w:p>
            <w:pPr>
              <w:jc w:val="right"/>
              <w:ind w:right="112"/>
              <w:spacing w:after="0"/>
              <w:rPr>
                <w:sz w:val="20"/>
                <w:szCs w:val="20"/>
                <w:color w:val="auto"/>
              </w:rPr>
            </w:pPr>
            <w:r>
              <w:rPr>
                <w:rFonts w:ascii="Arial" w:cs="Arial" w:eastAsia="Arial" w:hAnsi="Arial"/>
                <w:sz w:val="14"/>
                <w:szCs w:val="14"/>
                <w:color w:val="auto"/>
              </w:rPr>
              <w:t>Holdings</w:t>
            </w:r>
          </w:p>
        </w:tc>
        <w:tc>
          <w:tcPr>
            <w:tcW w:w="1040" w:type="dxa"/>
            <w:vAlign w:val="bottom"/>
            <w:gridSpan w:val="2"/>
          </w:tcPr>
          <w:p>
            <w:pPr>
              <w:jc w:val="center"/>
              <w:spacing w:after="0"/>
              <w:rPr>
                <w:sz w:val="20"/>
                <w:szCs w:val="20"/>
                <w:color w:val="auto"/>
              </w:rPr>
            </w:pPr>
            <w:r>
              <w:rPr>
                <w:rFonts w:ascii="Arial" w:cs="Arial" w:eastAsia="Arial" w:hAnsi="Arial"/>
                <w:sz w:val="14"/>
                <w:szCs w:val="14"/>
                <w:color w:val="auto"/>
                <w:w w:val="86"/>
              </w:rPr>
              <w:t>Subsidiaries</w:t>
            </w:r>
          </w:p>
        </w:tc>
        <w:tc>
          <w:tcPr>
            <w:tcW w:w="200" w:type="dxa"/>
            <w:vAlign w:val="bottom"/>
          </w:tcPr>
          <w:p>
            <w:pPr>
              <w:spacing w:after="0"/>
              <w:rPr>
                <w:sz w:val="15"/>
                <w:szCs w:val="15"/>
                <w:color w:val="auto"/>
              </w:rPr>
            </w:pPr>
          </w:p>
        </w:tc>
        <w:tc>
          <w:tcPr>
            <w:tcW w:w="1020" w:type="dxa"/>
            <w:vAlign w:val="bottom"/>
          </w:tcPr>
          <w:p>
            <w:pPr>
              <w:jc w:val="center"/>
              <w:ind w:right="192"/>
              <w:spacing w:after="0"/>
              <w:rPr>
                <w:sz w:val="20"/>
                <w:szCs w:val="20"/>
                <w:color w:val="auto"/>
              </w:rPr>
            </w:pPr>
            <w:r>
              <w:rPr>
                <w:rFonts w:ascii="Arial" w:cs="Arial" w:eastAsia="Arial" w:hAnsi="Arial"/>
                <w:sz w:val="14"/>
                <w:szCs w:val="14"/>
                <w:color w:val="auto"/>
                <w:w w:val="88"/>
              </w:rPr>
              <w:t>Adjustments</w:t>
            </w:r>
          </w:p>
        </w:tc>
        <w:tc>
          <w:tcPr>
            <w:tcW w:w="200" w:type="dxa"/>
            <w:vAlign w:val="bottom"/>
          </w:tcPr>
          <w:p>
            <w:pPr>
              <w:spacing w:after="0"/>
              <w:rPr>
                <w:sz w:val="15"/>
                <w:szCs w:val="15"/>
                <w:color w:val="auto"/>
              </w:rPr>
            </w:pPr>
          </w:p>
        </w:tc>
        <w:tc>
          <w:tcPr>
            <w:tcW w:w="860" w:type="dxa"/>
            <w:vAlign w:val="bottom"/>
          </w:tcPr>
          <w:p>
            <w:pPr>
              <w:jc w:val="center"/>
              <w:ind w:right="92"/>
              <w:spacing w:after="0"/>
              <w:rPr>
                <w:sz w:val="20"/>
                <w:szCs w:val="20"/>
                <w:color w:val="auto"/>
              </w:rPr>
            </w:pPr>
            <w:r>
              <w:rPr>
                <w:rFonts w:ascii="Arial" w:cs="Arial" w:eastAsia="Arial" w:hAnsi="Arial"/>
                <w:sz w:val="14"/>
                <w:szCs w:val="14"/>
                <w:color w:val="auto"/>
                <w:w w:val="90"/>
              </w:rPr>
              <w:t>Corporation</w:t>
            </w:r>
          </w:p>
        </w:tc>
      </w:tr>
      <w:tr>
        <w:trPr>
          <w:trHeight w:val="142"/>
        </w:trPr>
        <w:tc>
          <w:tcPr>
            <w:tcW w:w="20" w:type="dxa"/>
            <w:vAlign w:val="bottom"/>
          </w:tcPr>
          <w:p>
            <w:pPr>
              <w:spacing w:after="0"/>
              <w:rPr>
                <w:sz w:val="12"/>
                <w:szCs w:val="12"/>
                <w:color w:val="auto"/>
              </w:rPr>
            </w:pPr>
          </w:p>
        </w:tc>
        <w:tc>
          <w:tcPr>
            <w:tcW w:w="4620" w:type="dxa"/>
            <w:vAlign w:val="bottom"/>
            <w:tcBorders>
              <w:top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Assets</w:t>
            </w:r>
          </w:p>
        </w:tc>
        <w:tc>
          <w:tcPr>
            <w:tcW w:w="340" w:type="dxa"/>
            <w:vAlign w:val="bottom"/>
            <w:tcBorders>
              <w:top w:val="single" w:sz="8" w:color="auto"/>
            </w:tcBorders>
            <w:shd w:val="clear" w:color="auto" w:fill="E5E5E5"/>
          </w:tcPr>
          <w:p>
            <w:pPr>
              <w:spacing w:after="0"/>
              <w:rPr>
                <w:sz w:val="12"/>
                <w:szCs w:val="12"/>
                <w:color w:val="auto"/>
              </w:rPr>
            </w:pPr>
          </w:p>
        </w:tc>
        <w:tc>
          <w:tcPr>
            <w:tcW w:w="580" w:type="dxa"/>
            <w:vAlign w:val="bottom"/>
            <w:tcBorders>
              <w:top w:val="single" w:sz="8" w:color="auto"/>
            </w:tcBorders>
            <w:shd w:val="clear" w:color="auto" w:fill="E5E5E5"/>
          </w:tcPr>
          <w:p>
            <w:pPr>
              <w:spacing w:after="0"/>
              <w:rPr>
                <w:sz w:val="12"/>
                <w:szCs w:val="12"/>
                <w:color w:val="auto"/>
              </w:rPr>
            </w:pPr>
          </w:p>
        </w:tc>
        <w:tc>
          <w:tcPr>
            <w:tcW w:w="220" w:type="dxa"/>
            <w:vAlign w:val="bottom"/>
            <w:tcBorders>
              <w:top w:val="single" w:sz="8" w:color="auto"/>
            </w:tcBorders>
            <w:shd w:val="clear" w:color="auto" w:fill="E5E5E5"/>
          </w:tcPr>
          <w:p>
            <w:pPr>
              <w:spacing w:after="0"/>
              <w:rPr>
                <w:sz w:val="12"/>
                <w:szCs w:val="12"/>
                <w:color w:val="auto"/>
              </w:rPr>
            </w:pPr>
          </w:p>
        </w:tc>
        <w:tc>
          <w:tcPr>
            <w:tcW w:w="560" w:type="dxa"/>
            <w:vAlign w:val="bottom"/>
            <w:tcBorders>
              <w:top w:val="single" w:sz="8" w:color="auto"/>
            </w:tcBorders>
            <w:shd w:val="clear" w:color="auto" w:fill="E5E5E5"/>
          </w:tcPr>
          <w:p>
            <w:pPr>
              <w:spacing w:after="0"/>
              <w:rPr>
                <w:sz w:val="12"/>
                <w:szCs w:val="12"/>
                <w:color w:val="auto"/>
              </w:rPr>
            </w:pPr>
          </w:p>
        </w:tc>
        <w:tc>
          <w:tcPr>
            <w:tcW w:w="200" w:type="dxa"/>
            <w:vAlign w:val="bottom"/>
            <w:tcBorders>
              <w:top w:val="single" w:sz="8" w:color="auto"/>
            </w:tcBorders>
            <w:shd w:val="clear" w:color="auto" w:fill="E5E5E5"/>
          </w:tcPr>
          <w:p>
            <w:pPr>
              <w:spacing w:after="0"/>
              <w:rPr>
                <w:sz w:val="12"/>
                <w:szCs w:val="12"/>
                <w:color w:val="auto"/>
              </w:rPr>
            </w:pPr>
          </w:p>
        </w:tc>
        <w:tc>
          <w:tcPr>
            <w:tcW w:w="720" w:type="dxa"/>
            <w:vAlign w:val="bottom"/>
            <w:tcBorders>
              <w:top w:val="single" w:sz="8" w:color="auto"/>
            </w:tcBorders>
            <w:shd w:val="clear" w:color="auto" w:fill="E5E5E5"/>
          </w:tcPr>
          <w:p>
            <w:pPr>
              <w:spacing w:after="0"/>
              <w:rPr>
                <w:sz w:val="12"/>
                <w:szCs w:val="12"/>
                <w:color w:val="auto"/>
              </w:rPr>
            </w:pPr>
          </w:p>
        </w:tc>
        <w:tc>
          <w:tcPr>
            <w:tcW w:w="260" w:type="dxa"/>
            <w:vAlign w:val="bottom"/>
            <w:tcBorders>
              <w:top w:val="single" w:sz="8" w:color="auto"/>
            </w:tcBorders>
            <w:shd w:val="clear" w:color="auto" w:fill="E5E5E5"/>
          </w:tcPr>
          <w:p>
            <w:pPr>
              <w:spacing w:after="0"/>
              <w:rPr>
                <w:sz w:val="12"/>
                <w:szCs w:val="12"/>
                <w:color w:val="auto"/>
              </w:rPr>
            </w:pPr>
          </w:p>
        </w:tc>
        <w:tc>
          <w:tcPr>
            <w:tcW w:w="580" w:type="dxa"/>
            <w:vAlign w:val="bottom"/>
            <w:tcBorders>
              <w:top w:val="single" w:sz="8" w:color="auto"/>
            </w:tcBorders>
            <w:shd w:val="clear" w:color="auto" w:fill="E5E5E5"/>
          </w:tcPr>
          <w:p>
            <w:pPr>
              <w:spacing w:after="0"/>
              <w:rPr>
                <w:sz w:val="12"/>
                <w:szCs w:val="12"/>
                <w:color w:val="auto"/>
              </w:rPr>
            </w:pPr>
          </w:p>
        </w:tc>
        <w:tc>
          <w:tcPr>
            <w:tcW w:w="220" w:type="dxa"/>
            <w:vAlign w:val="bottom"/>
            <w:tcBorders>
              <w:top w:val="single" w:sz="8" w:color="auto"/>
            </w:tcBorders>
            <w:shd w:val="clear" w:color="auto" w:fill="E5E5E5"/>
          </w:tcPr>
          <w:p>
            <w:pPr>
              <w:spacing w:after="0"/>
              <w:rPr>
                <w:sz w:val="12"/>
                <w:szCs w:val="12"/>
                <w:color w:val="auto"/>
              </w:rPr>
            </w:pPr>
          </w:p>
        </w:tc>
        <w:tc>
          <w:tcPr>
            <w:tcW w:w="820" w:type="dxa"/>
            <w:vAlign w:val="bottom"/>
            <w:tcBorders>
              <w:top w:val="single" w:sz="8" w:color="auto"/>
            </w:tcBorders>
            <w:shd w:val="clear" w:color="auto" w:fill="E5E5E5"/>
          </w:tcPr>
          <w:p>
            <w:pPr>
              <w:spacing w:after="0"/>
              <w:rPr>
                <w:sz w:val="12"/>
                <w:szCs w:val="12"/>
                <w:color w:val="auto"/>
              </w:rPr>
            </w:pPr>
          </w:p>
        </w:tc>
        <w:tc>
          <w:tcPr>
            <w:tcW w:w="200" w:type="dxa"/>
            <w:vAlign w:val="bottom"/>
            <w:tcBorders>
              <w:top w:val="single" w:sz="8" w:color="auto"/>
            </w:tcBorders>
            <w:shd w:val="clear" w:color="auto" w:fill="E5E5E5"/>
          </w:tcPr>
          <w:p>
            <w:pPr>
              <w:spacing w:after="0"/>
              <w:rPr>
                <w:sz w:val="12"/>
                <w:szCs w:val="12"/>
                <w:color w:val="auto"/>
              </w:rPr>
            </w:pPr>
          </w:p>
        </w:tc>
        <w:tc>
          <w:tcPr>
            <w:tcW w:w="1020" w:type="dxa"/>
            <w:vAlign w:val="bottom"/>
            <w:tcBorders>
              <w:top w:val="single" w:sz="8" w:color="auto"/>
            </w:tcBorders>
            <w:shd w:val="clear" w:color="auto" w:fill="E5E5E5"/>
          </w:tcPr>
          <w:p>
            <w:pPr>
              <w:spacing w:after="0"/>
              <w:rPr>
                <w:sz w:val="12"/>
                <w:szCs w:val="12"/>
                <w:color w:val="auto"/>
              </w:rPr>
            </w:pPr>
          </w:p>
        </w:tc>
        <w:tc>
          <w:tcPr>
            <w:tcW w:w="200" w:type="dxa"/>
            <w:vAlign w:val="bottom"/>
            <w:tcBorders>
              <w:top w:val="single" w:sz="8" w:color="auto"/>
            </w:tcBorders>
            <w:shd w:val="clear" w:color="auto" w:fill="E5E5E5"/>
          </w:tcPr>
          <w:p>
            <w:pPr>
              <w:spacing w:after="0"/>
              <w:rPr>
                <w:sz w:val="12"/>
                <w:szCs w:val="12"/>
                <w:color w:val="auto"/>
              </w:rPr>
            </w:pPr>
          </w:p>
        </w:tc>
        <w:tc>
          <w:tcPr>
            <w:tcW w:w="860" w:type="dxa"/>
            <w:vAlign w:val="bottom"/>
            <w:tcBorders>
              <w:top w:val="single" w:sz="8" w:color="auto"/>
            </w:tcBorders>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5,984</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5,984</w:t>
            </w:r>
          </w:p>
        </w:tc>
      </w:tr>
      <w:tr>
        <w:trPr>
          <w:trHeight w:val="149"/>
        </w:trPr>
        <w:tc>
          <w:tcPr>
            <w:tcW w:w="20" w:type="dxa"/>
            <w:vAlign w:val="bottom"/>
          </w:tcPr>
          <w:p>
            <w:pPr>
              <w:spacing w:after="0"/>
              <w:rPr>
                <w:sz w:val="12"/>
                <w:szCs w:val="12"/>
                <w:color w:val="auto"/>
              </w:rPr>
            </w:pPr>
          </w:p>
        </w:tc>
        <w:tc>
          <w:tcPr>
            <w:tcW w:w="46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Receivables, net</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1,855</w:t>
            </w:r>
          </w:p>
        </w:tc>
        <w:tc>
          <w:tcPr>
            <w:tcW w:w="200" w:type="dxa"/>
            <w:vAlign w:val="bottom"/>
            <w:shd w:val="clear" w:color="auto" w:fill="E5E5E5"/>
          </w:tcPr>
          <w:p>
            <w:pPr>
              <w:spacing w:after="0"/>
              <w:rPr>
                <w:sz w:val="12"/>
                <w:szCs w:val="12"/>
                <w:color w:val="auto"/>
              </w:rPr>
            </w:pPr>
          </w:p>
        </w:tc>
        <w:tc>
          <w:tcPr>
            <w:tcW w:w="102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1,855</w:t>
            </w:r>
          </w:p>
        </w:tc>
      </w:tr>
      <w:tr>
        <w:trPr>
          <w:trHeight w:val="149"/>
        </w:trPr>
        <w:tc>
          <w:tcPr>
            <w:tcW w:w="20" w:type="dxa"/>
            <w:vAlign w:val="bottom"/>
          </w:tcPr>
          <w:p>
            <w:pPr>
              <w:spacing w:after="0"/>
              <w:rPr>
                <w:sz w:val="12"/>
                <w:szCs w:val="12"/>
                <w:color w:val="auto"/>
              </w:rPr>
            </w:pPr>
          </w:p>
        </w:tc>
        <w:tc>
          <w:tcPr>
            <w:tcW w:w="4620" w:type="dxa"/>
            <w:vAlign w:val="bottom"/>
          </w:tcPr>
          <w:p>
            <w:pPr>
              <w:ind w:left="200"/>
              <w:spacing w:after="0" w:line="149" w:lineRule="exact"/>
              <w:rPr>
                <w:sz w:val="20"/>
                <w:szCs w:val="20"/>
                <w:color w:val="auto"/>
              </w:rPr>
            </w:pPr>
            <w:r>
              <w:rPr>
                <w:rFonts w:ascii="Arial" w:cs="Arial" w:eastAsia="Arial" w:hAnsi="Arial"/>
                <w:sz w:val="14"/>
                <w:szCs w:val="14"/>
                <w:color w:val="auto"/>
              </w:rPr>
              <w:t>Programming rights</w:t>
            </w:r>
          </w:p>
        </w:tc>
        <w:tc>
          <w:tcPr>
            <w:tcW w:w="3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122</w:t>
            </w:r>
          </w:p>
        </w:tc>
        <w:tc>
          <w:tcPr>
            <w:tcW w:w="200" w:type="dxa"/>
            <w:vAlign w:val="bottom"/>
          </w:tcPr>
          <w:p>
            <w:pPr>
              <w:spacing w:after="0"/>
              <w:rPr>
                <w:sz w:val="12"/>
                <w:szCs w:val="12"/>
                <w:color w:val="auto"/>
              </w:rPr>
            </w:pP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122</w:t>
            </w:r>
          </w:p>
        </w:tc>
      </w:tr>
      <w:tr>
        <w:trPr>
          <w:trHeight w:val="149"/>
        </w:trPr>
        <w:tc>
          <w:tcPr>
            <w:tcW w:w="20" w:type="dxa"/>
            <w:vAlign w:val="bottom"/>
          </w:tcPr>
          <w:p>
            <w:pPr>
              <w:spacing w:after="0"/>
              <w:rPr>
                <w:sz w:val="12"/>
                <w:szCs w:val="12"/>
                <w:color w:val="auto"/>
              </w:rPr>
            </w:pPr>
          </w:p>
        </w:tc>
        <w:tc>
          <w:tcPr>
            <w:tcW w:w="462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Other current assets</w:t>
            </w:r>
          </w:p>
        </w:tc>
        <w:tc>
          <w:tcPr>
            <w:tcW w:w="34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162</w:t>
            </w:r>
          </w:p>
        </w:tc>
        <w:tc>
          <w:tcPr>
            <w:tcW w:w="22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E5E5E5"/>
          </w:tcPr>
          <w:p>
            <w:pPr>
              <w:spacing w:after="0"/>
              <w:rPr>
                <w:sz w:val="12"/>
                <w:szCs w:val="12"/>
                <w:color w:val="auto"/>
              </w:rPr>
            </w:pPr>
          </w:p>
        </w:tc>
        <w:tc>
          <w:tcPr>
            <w:tcW w:w="72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E5E5E5"/>
          </w:tcPr>
          <w:p>
            <w:pPr>
              <w:spacing w:after="0"/>
              <w:rPr>
                <w:sz w:val="12"/>
                <w:szCs w:val="12"/>
                <w:color w:val="auto"/>
              </w:rPr>
            </w:pPr>
          </w:p>
        </w:tc>
        <w:tc>
          <w:tcPr>
            <w:tcW w:w="82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763</w:t>
            </w:r>
          </w:p>
        </w:tc>
        <w:tc>
          <w:tcPr>
            <w:tcW w:w="200" w:type="dxa"/>
            <w:vAlign w:val="bottom"/>
            <w:tcBorders>
              <w:bottom w:val="single" w:sz="8" w:color="auto"/>
            </w:tcBorders>
            <w:shd w:val="clear" w:color="auto" w:fill="E5E5E5"/>
          </w:tcPr>
          <w:p>
            <w:pPr>
              <w:spacing w:after="0"/>
              <w:rPr>
                <w:sz w:val="12"/>
                <w:szCs w:val="12"/>
                <w:color w:val="auto"/>
              </w:rPr>
            </w:pPr>
          </w:p>
        </w:tc>
        <w:tc>
          <w:tcPr>
            <w:tcW w:w="1020" w:type="dxa"/>
            <w:vAlign w:val="bottom"/>
            <w:tcBorders>
              <w:bottom w:val="single" w:sz="8" w:color="auto"/>
            </w:tcBorders>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E5E5E5"/>
          </w:tcPr>
          <w:p>
            <w:pPr>
              <w:spacing w:after="0"/>
              <w:rPr>
                <w:sz w:val="12"/>
                <w:szCs w:val="12"/>
                <w:color w:val="auto"/>
              </w:rPr>
            </w:pPr>
          </w:p>
        </w:tc>
        <w:tc>
          <w:tcPr>
            <w:tcW w:w="86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925</w:t>
            </w:r>
          </w:p>
        </w:tc>
      </w:tr>
      <w:tr>
        <w:trPr>
          <w:trHeight w:val="142"/>
        </w:trPr>
        <w:tc>
          <w:tcPr>
            <w:tcW w:w="20" w:type="dxa"/>
            <w:vAlign w:val="bottom"/>
          </w:tcPr>
          <w:p>
            <w:pPr>
              <w:spacing w:after="0"/>
              <w:rPr>
                <w:sz w:val="12"/>
                <w:szCs w:val="12"/>
                <w:color w:val="auto"/>
              </w:rPr>
            </w:pPr>
          </w:p>
        </w:tc>
        <w:tc>
          <w:tcPr>
            <w:tcW w:w="4620" w:type="dxa"/>
            <w:vAlign w:val="bottom"/>
          </w:tcPr>
          <w:p>
            <w:pPr>
              <w:spacing w:after="0" w:line="142" w:lineRule="exact"/>
              <w:rPr>
                <w:sz w:val="20"/>
                <w:szCs w:val="20"/>
                <w:color w:val="auto"/>
              </w:rPr>
            </w:pPr>
            <w:r>
              <w:rPr>
                <w:rFonts w:ascii="Arial" w:cs="Arial" w:eastAsia="Arial" w:hAnsi="Arial"/>
                <w:sz w:val="14"/>
                <w:szCs w:val="14"/>
                <w:color w:val="auto"/>
              </w:rPr>
              <w:t>Total current assets</w:t>
            </w:r>
          </w:p>
        </w:tc>
        <w:tc>
          <w:tcPr>
            <w:tcW w:w="340" w:type="dxa"/>
            <w:vAlign w:val="bottom"/>
          </w:tcPr>
          <w:p>
            <w:pPr>
              <w:spacing w:after="0"/>
              <w:rPr>
                <w:sz w:val="12"/>
                <w:szCs w:val="12"/>
                <w:color w:val="auto"/>
              </w:rPr>
            </w:pPr>
          </w:p>
        </w:tc>
        <w:tc>
          <w:tcPr>
            <w:tcW w:w="580" w:type="dxa"/>
            <w:vAlign w:val="bottom"/>
          </w:tcPr>
          <w:p>
            <w:pPr>
              <w:jc w:val="right"/>
              <w:ind w:right="72"/>
              <w:spacing w:after="0" w:line="142" w:lineRule="exact"/>
              <w:rPr>
                <w:sz w:val="20"/>
                <w:szCs w:val="20"/>
                <w:color w:val="auto"/>
              </w:rPr>
            </w:pPr>
            <w:r>
              <w:rPr>
                <w:rFonts w:ascii="Arial" w:cs="Arial" w:eastAsia="Arial" w:hAnsi="Arial"/>
                <w:sz w:val="14"/>
                <w:szCs w:val="14"/>
                <w:color w:val="auto"/>
              </w:rPr>
              <w:t>162</w:t>
            </w:r>
          </w:p>
        </w:tc>
        <w:tc>
          <w:tcPr>
            <w:tcW w:w="220" w:type="dxa"/>
            <w:vAlign w:val="bottom"/>
          </w:tcPr>
          <w:p>
            <w:pPr>
              <w:spacing w:after="0"/>
              <w:rPr>
                <w:sz w:val="12"/>
                <w:szCs w:val="12"/>
                <w:color w:val="auto"/>
              </w:rPr>
            </w:pPr>
          </w:p>
        </w:tc>
        <w:tc>
          <w:tcPr>
            <w:tcW w:w="560" w:type="dxa"/>
            <w:vAlign w:val="bottom"/>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ind w:right="92"/>
              <w:spacing w:after="0" w:line="142" w:lineRule="exact"/>
              <w:rPr>
                <w:sz w:val="20"/>
                <w:szCs w:val="20"/>
                <w:color w:val="auto"/>
              </w:rPr>
            </w:pPr>
            <w:r>
              <w:rPr>
                <w:rFonts w:ascii="Arial" w:cs="Arial" w:eastAsia="Arial" w:hAnsi="Arial"/>
                <w:sz w:val="14"/>
                <w:szCs w:val="14"/>
                <w:color w:val="auto"/>
              </w:rPr>
              <w:t>8,724</w:t>
            </w:r>
          </w:p>
        </w:tc>
        <w:tc>
          <w:tcPr>
            <w:tcW w:w="200" w:type="dxa"/>
            <w:vAlign w:val="bottom"/>
          </w:tcPr>
          <w:p>
            <w:pPr>
              <w:spacing w:after="0"/>
              <w:rPr>
                <w:sz w:val="12"/>
                <w:szCs w:val="12"/>
                <w:color w:val="auto"/>
              </w:rPr>
            </w:pPr>
          </w:p>
        </w:tc>
        <w:tc>
          <w:tcPr>
            <w:tcW w:w="1020" w:type="dxa"/>
            <w:vAlign w:val="bottom"/>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ind w:right="12"/>
              <w:spacing w:after="0" w:line="142" w:lineRule="exact"/>
              <w:rPr>
                <w:sz w:val="20"/>
                <w:szCs w:val="20"/>
                <w:color w:val="auto"/>
              </w:rPr>
            </w:pPr>
            <w:r>
              <w:rPr>
                <w:rFonts w:ascii="Arial" w:cs="Arial" w:eastAsia="Arial" w:hAnsi="Arial"/>
                <w:sz w:val="14"/>
                <w:szCs w:val="14"/>
                <w:color w:val="auto"/>
              </w:rPr>
              <w:t>8,886</w:t>
            </w:r>
          </w:p>
        </w:tc>
      </w:tr>
      <w:tr>
        <w:trPr>
          <w:trHeight w:val="149"/>
        </w:trPr>
        <w:tc>
          <w:tcPr>
            <w:tcW w:w="20" w:type="dxa"/>
            <w:vAlign w:val="bottom"/>
          </w:tcPr>
          <w:p>
            <w:pPr>
              <w:spacing w:after="0"/>
              <w:rPr>
                <w:sz w:val="12"/>
                <w:szCs w:val="12"/>
                <w:color w:val="auto"/>
              </w:rPr>
            </w:pPr>
          </w:p>
        </w:tc>
        <w:tc>
          <w:tcPr>
            <w:tcW w:w="46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Film and television costs</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460</w:t>
            </w:r>
          </w:p>
        </w:tc>
        <w:tc>
          <w:tcPr>
            <w:tcW w:w="200" w:type="dxa"/>
            <w:vAlign w:val="bottom"/>
            <w:shd w:val="clear" w:color="auto" w:fill="E5E5E5"/>
          </w:tcPr>
          <w:p>
            <w:pPr>
              <w:spacing w:after="0"/>
              <w:rPr>
                <w:sz w:val="12"/>
                <w:szCs w:val="12"/>
                <w:color w:val="auto"/>
              </w:rPr>
            </w:pPr>
          </w:p>
        </w:tc>
        <w:tc>
          <w:tcPr>
            <w:tcW w:w="102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460</w:t>
            </w:r>
          </w:p>
        </w:tc>
      </w:tr>
      <w:tr>
        <w:trPr>
          <w:trHeight w:val="149"/>
        </w:trPr>
        <w:tc>
          <w:tcPr>
            <w:tcW w:w="20" w:type="dxa"/>
            <w:vAlign w:val="bottom"/>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Investments</w:t>
            </w:r>
          </w:p>
        </w:tc>
        <w:tc>
          <w:tcPr>
            <w:tcW w:w="3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6,670</w:t>
            </w:r>
          </w:p>
        </w:tc>
        <w:tc>
          <w:tcPr>
            <w:tcW w:w="200" w:type="dxa"/>
            <w:vAlign w:val="bottom"/>
          </w:tcPr>
          <w:p>
            <w:pPr>
              <w:spacing w:after="0"/>
              <w:rPr>
                <w:sz w:val="12"/>
                <w:szCs w:val="12"/>
                <w:color w:val="auto"/>
              </w:rPr>
            </w:pP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6,670</w:t>
            </w:r>
          </w:p>
        </w:tc>
      </w:tr>
      <w:tr>
        <w:trPr>
          <w:trHeight w:val="149"/>
        </w:trPr>
        <w:tc>
          <w:tcPr>
            <w:tcW w:w="20" w:type="dxa"/>
            <w:vAlign w:val="bottom"/>
          </w:tcPr>
          <w:p>
            <w:pPr>
              <w:spacing w:after="0"/>
              <w:rPr>
                <w:sz w:val="12"/>
                <w:szCs w:val="12"/>
                <w:color w:val="auto"/>
              </w:rPr>
            </w:pPr>
          </w:p>
        </w:tc>
        <w:tc>
          <w:tcPr>
            <w:tcW w:w="46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w w:val="91"/>
              </w:rPr>
              <w:t>Investments in and amounts due from subsidiaries eliminated upon consolidation</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w w:val="97"/>
              </w:rPr>
              <w:t>68,987</w:t>
            </w:r>
          </w:p>
        </w:tc>
        <w:tc>
          <w:tcPr>
            <w:tcW w:w="22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w w:val="93"/>
              </w:rPr>
              <w:t>90,076</w:t>
            </w:r>
          </w:p>
        </w:tc>
        <w:tc>
          <w:tcPr>
            <w:tcW w:w="20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52,652</w:t>
            </w:r>
          </w:p>
        </w:tc>
        <w:tc>
          <w:tcPr>
            <w:tcW w:w="26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w w:val="93"/>
              </w:rPr>
              <w:t>72,629</w:t>
            </w:r>
          </w:p>
        </w:tc>
        <w:tc>
          <w:tcPr>
            <w:tcW w:w="22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12,339</w:t>
            </w:r>
          </w:p>
        </w:tc>
        <w:tc>
          <w:tcPr>
            <w:tcW w:w="200" w:type="dxa"/>
            <w:vAlign w:val="bottom"/>
            <w:shd w:val="clear" w:color="auto" w:fill="E5E5E5"/>
          </w:tcPr>
          <w:p>
            <w:pPr>
              <w:spacing w:after="0"/>
              <w:rPr>
                <w:sz w:val="12"/>
                <w:szCs w:val="12"/>
                <w:color w:val="auto"/>
              </w:rPr>
            </w:pPr>
          </w:p>
        </w:tc>
        <w:tc>
          <w:tcPr>
            <w:tcW w:w="102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(296,683)</w:t>
            </w: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3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278</w:t>
            </w:r>
          </w:p>
        </w:tc>
        <w:tc>
          <w:tcPr>
            <w:tcW w:w="22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23,237</w:t>
            </w:r>
          </w:p>
        </w:tc>
        <w:tc>
          <w:tcPr>
            <w:tcW w:w="200" w:type="dxa"/>
            <w:vAlign w:val="bottom"/>
          </w:tcPr>
          <w:p>
            <w:pPr>
              <w:spacing w:after="0"/>
              <w:rPr>
                <w:sz w:val="12"/>
                <w:szCs w:val="12"/>
                <w:color w:val="auto"/>
              </w:rPr>
            </w:pP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23,515</w:t>
            </w:r>
          </w:p>
        </w:tc>
      </w:tr>
      <w:tr>
        <w:trPr>
          <w:trHeight w:val="149"/>
        </w:trPr>
        <w:tc>
          <w:tcPr>
            <w:tcW w:w="20" w:type="dxa"/>
            <w:vAlign w:val="bottom"/>
          </w:tcPr>
          <w:p>
            <w:pPr>
              <w:spacing w:after="0"/>
              <w:rPr>
                <w:sz w:val="12"/>
                <w:szCs w:val="12"/>
                <w:color w:val="auto"/>
              </w:rPr>
            </w:pPr>
          </w:p>
        </w:tc>
        <w:tc>
          <w:tcPr>
            <w:tcW w:w="46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Franchise rights</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59,442</w:t>
            </w:r>
          </w:p>
        </w:tc>
        <w:tc>
          <w:tcPr>
            <w:tcW w:w="200" w:type="dxa"/>
            <w:vAlign w:val="bottom"/>
            <w:shd w:val="clear" w:color="auto" w:fill="E5E5E5"/>
          </w:tcPr>
          <w:p>
            <w:pPr>
              <w:spacing w:after="0"/>
              <w:rPr>
                <w:sz w:val="12"/>
                <w:szCs w:val="12"/>
                <w:color w:val="auto"/>
              </w:rPr>
            </w:pPr>
          </w:p>
        </w:tc>
        <w:tc>
          <w:tcPr>
            <w:tcW w:w="102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59,442</w:t>
            </w:r>
          </w:p>
        </w:tc>
      </w:tr>
      <w:tr>
        <w:trPr>
          <w:trHeight w:val="149"/>
        </w:trPr>
        <w:tc>
          <w:tcPr>
            <w:tcW w:w="20" w:type="dxa"/>
            <w:vAlign w:val="bottom"/>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3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14,958</w:t>
            </w:r>
          </w:p>
        </w:tc>
        <w:tc>
          <w:tcPr>
            <w:tcW w:w="200" w:type="dxa"/>
            <w:vAlign w:val="bottom"/>
          </w:tcPr>
          <w:p>
            <w:pPr>
              <w:spacing w:after="0"/>
              <w:rPr>
                <w:sz w:val="12"/>
                <w:szCs w:val="12"/>
                <w:color w:val="auto"/>
              </w:rPr>
            </w:pP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14,958</w:t>
            </w:r>
          </w:p>
        </w:tc>
      </w:tr>
      <w:tr>
        <w:trPr>
          <w:trHeight w:val="149"/>
        </w:trPr>
        <w:tc>
          <w:tcPr>
            <w:tcW w:w="20" w:type="dxa"/>
            <w:vAlign w:val="bottom"/>
          </w:tcPr>
          <w:p>
            <w:pPr>
              <w:spacing w:after="0"/>
              <w:rPr>
                <w:sz w:val="12"/>
                <w:szCs w:val="12"/>
                <w:color w:val="auto"/>
              </w:rPr>
            </w:pPr>
          </w:p>
        </w:tc>
        <w:tc>
          <w:tcPr>
            <w:tcW w:w="46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Other intangible assets, net</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10</w:t>
            </w:r>
          </w:p>
        </w:tc>
        <w:tc>
          <w:tcPr>
            <w:tcW w:w="22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3,421</w:t>
            </w:r>
          </w:p>
        </w:tc>
        <w:tc>
          <w:tcPr>
            <w:tcW w:w="200" w:type="dxa"/>
            <w:vAlign w:val="bottom"/>
            <w:shd w:val="clear" w:color="auto" w:fill="E5E5E5"/>
          </w:tcPr>
          <w:p>
            <w:pPr>
              <w:spacing w:after="0"/>
              <w:rPr>
                <w:sz w:val="12"/>
                <w:szCs w:val="12"/>
                <w:color w:val="auto"/>
              </w:rPr>
            </w:pPr>
          </w:p>
        </w:tc>
        <w:tc>
          <w:tcPr>
            <w:tcW w:w="102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3,431</w:t>
            </w:r>
          </w:p>
        </w:tc>
      </w:tr>
      <w:tr>
        <w:trPr>
          <w:trHeight w:val="149"/>
        </w:trPr>
        <w:tc>
          <w:tcPr>
            <w:tcW w:w="20" w:type="dxa"/>
            <w:vAlign w:val="bottom"/>
          </w:tcPr>
          <w:p>
            <w:pPr>
              <w:spacing w:after="0"/>
              <w:rPr>
                <w:sz w:val="12"/>
                <w:szCs w:val="12"/>
                <w:color w:val="auto"/>
              </w:rPr>
            </w:pPr>
          </w:p>
        </w:tc>
        <w:tc>
          <w:tcPr>
            <w:tcW w:w="46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Other noncurrent assets, net</w:t>
            </w:r>
          </w:p>
        </w:tc>
        <w:tc>
          <w:tcPr>
            <w:tcW w:w="3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1,128</w:t>
            </w: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45</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148</w:t>
            </w: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670</w:t>
            </w: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(819)</w:t>
            </w: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1,172</w:t>
            </w:r>
          </w:p>
        </w:tc>
      </w:tr>
      <w:tr>
        <w:trPr>
          <w:trHeight w:val="149"/>
        </w:trPr>
        <w:tc>
          <w:tcPr>
            <w:tcW w:w="20" w:type="dxa"/>
            <w:vAlign w:val="bottom"/>
          </w:tcPr>
          <w:p>
            <w:pPr>
              <w:spacing w:after="0"/>
              <w:rPr>
                <w:sz w:val="12"/>
                <w:szCs w:val="12"/>
                <w:color w:val="auto"/>
              </w:rPr>
            </w:pPr>
          </w:p>
        </w:tc>
        <w:tc>
          <w:tcPr>
            <w:tcW w:w="4620" w:type="dxa"/>
            <w:vAlign w:val="bottom"/>
            <w:tcBorders>
              <w:bottom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Total assets</w:t>
            </w:r>
          </w:p>
        </w:tc>
        <w:tc>
          <w:tcPr>
            <w:tcW w:w="34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b w:val="1"/>
                <w:bCs w:val="1"/>
                <w:color w:val="auto"/>
                <w:w w:val="97"/>
              </w:rPr>
              <w:t>70,565</w:t>
            </w:r>
          </w:p>
        </w:tc>
        <w:tc>
          <w:tcPr>
            <w:tcW w:w="22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b w:val="1"/>
                <w:bCs w:val="1"/>
                <w:color w:val="auto"/>
                <w:w w:val="93"/>
              </w:rPr>
              <w:t>90,121</w:t>
            </w:r>
          </w:p>
        </w:tc>
        <w:tc>
          <w:tcPr>
            <w:tcW w:w="20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b w:val="1"/>
                <w:bCs w:val="1"/>
                <w:color w:val="auto"/>
              </w:rPr>
              <w:t>52,652</w:t>
            </w:r>
          </w:p>
        </w:tc>
        <w:tc>
          <w:tcPr>
            <w:tcW w:w="26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E5E5E5"/>
          </w:tcPr>
          <w:p>
            <w:pPr>
              <w:jc w:val="right"/>
              <w:ind w:right="92"/>
              <w:spacing w:after="0" w:line="142" w:lineRule="exact"/>
              <w:rPr>
                <w:sz w:val="20"/>
                <w:szCs w:val="20"/>
                <w:color w:val="auto"/>
              </w:rPr>
            </w:pPr>
            <w:r>
              <w:rPr>
                <w:rFonts w:ascii="Arial" w:cs="Arial" w:eastAsia="Arial" w:hAnsi="Arial"/>
                <w:sz w:val="14"/>
                <w:szCs w:val="14"/>
                <w:b w:val="1"/>
                <w:bCs w:val="1"/>
                <w:color w:val="auto"/>
                <w:w w:val="93"/>
              </w:rPr>
              <w:t>72,777</w:t>
            </w:r>
          </w:p>
        </w:tc>
        <w:tc>
          <w:tcPr>
            <w:tcW w:w="22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E5E5E5"/>
          </w:tcPr>
          <w:p>
            <w:pPr>
              <w:jc w:val="right"/>
              <w:ind w:right="92"/>
              <w:spacing w:after="0" w:line="142" w:lineRule="exact"/>
              <w:rPr>
                <w:sz w:val="20"/>
                <w:szCs w:val="20"/>
                <w:color w:val="auto"/>
              </w:rPr>
            </w:pPr>
            <w:r>
              <w:rPr>
                <w:rFonts w:ascii="Arial" w:cs="Arial" w:eastAsia="Arial" w:hAnsi="Arial"/>
                <w:sz w:val="14"/>
                <w:szCs w:val="14"/>
                <w:b w:val="1"/>
                <w:bCs w:val="1"/>
                <w:color w:val="auto"/>
              </w:rPr>
              <w:t>129,921</w:t>
            </w:r>
          </w:p>
        </w:tc>
        <w:tc>
          <w:tcPr>
            <w:tcW w:w="20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b w:val="1"/>
                <w:bCs w:val="1"/>
                <w:color w:val="auto"/>
              </w:rPr>
              <w:t>(297,502)</w:t>
            </w:r>
          </w:p>
        </w:tc>
        <w:tc>
          <w:tcPr>
            <w:tcW w:w="20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b w:val="1"/>
                <w:bCs w:val="1"/>
                <w:color w:val="auto"/>
              </w:rPr>
              <w:t>118,534</w:t>
            </w:r>
          </w:p>
        </w:tc>
      </w:tr>
      <w:tr>
        <w:trPr>
          <w:trHeight w:val="243"/>
        </w:trPr>
        <w:tc>
          <w:tcPr>
            <w:tcW w:w="4640" w:type="dxa"/>
            <w:vAlign w:val="bottom"/>
            <w:gridSpan w:val="2"/>
          </w:tcPr>
          <w:p>
            <w:pPr>
              <w:spacing w:after="0"/>
              <w:rPr>
                <w:sz w:val="20"/>
                <w:szCs w:val="20"/>
                <w:color w:val="auto"/>
              </w:rPr>
            </w:pPr>
            <w:r>
              <w:rPr>
                <w:rFonts w:ascii="Arial" w:cs="Arial" w:eastAsia="Arial" w:hAnsi="Arial"/>
                <w:sz w:val="14"/>
                <w:szCs w:val="14"/>
                <w:b w:val="1"/>
                <w:bCs w:val="1"/>
                <w:color w:val="auto"/>
              </w:rPr>
              <w:t>Liabilities and Equity</w:t>
            </w: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Accounts payable and accrued expenses related to trade creditors</w:t>
            </w:r>
          </w:p>
        </w:tc>
        <w:tc>
          <w:tcPr>
            <w:tcW w:w="3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6</w:t>
            </w:r>
          </w:p>
        </w:tc>
        <w:tc>
          <w:tcPr>
            <w:tcW w:w="2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3</w:t>
            </w:r>
          </w:p>
        </w:tc>
        <w:tc>
          <w:tcPr>
            <w:tcW w:w="2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3,282</w:t>
            </w:r>
          </w:p>
        </w:tc>
        <w:tc>
          <w:tcPr>
            <w:tcW w:w="2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3,291</w:t>
            </w:r>
          </w:p>
        </w:tc>
      </w:tr>
      <w:tr>
        <w:trPr>
          <w:trHeight w:val="149"/>
        </w:trPr>
        <w:tc>
          <w:tcPr>
            <w:tcW w:w="20" w:type="dxa"/>
            <w:vAlign w:val="bottom"/>
          </w:tcPr>
          <w:p>
            <w:pPr>
              <w:spacing w:after="0"/>
              <w:rPr>
                <w:sz w:val="12"/>
                <w:szCs w:val="12"/>
                <w:color w:val="auto"/>
              </w:rPr>
            </w:pPr>
          </w:p>
        </w:tc>
        <w:tc>
          <w:tcPr>
            <w:tcW w:w="4620" w:type="dxa"/>
            <w:vAlign w:val="bottom"/>
          </w:tcPr>
          <w:p>
            <w:pPr>
              <w:ind w:left="20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3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1,038</w:t>
            </w:r>
          </w:p>
        </w:tc>
        <w:tc>
          <w:tcPr>
            <w:tcW w:w="22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187</w:t>
            </w:r>
          </w:p>
        </w:tc>
        <w:tc>
          <w:tcPr>
            <w:tcW w:w="20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74</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266</w:t>
            </w:r>
          </w:p>
        </w:tc>
        <w:tc>
          <w:tcPr>
            <w:tcW w:w="22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1,578</w:t>
            </w:r>
          </w:p>
        </w:tc>
        <w:tc>
          <w:tcPr>
            <w:tcW w:w="200" w:type="dxa"/>
            <w:vAlign w:val="bottom"/>
          </w:tcPr>
          <w:p>
            <w:pPr>
              <w:spacing w:after="0"/>
              <w:rPr>
                <w:sz w:val="12"/>
                <w:szCs w:val="12"/>
                <w:color w:val="auto"/>
              </w:rPr>
            </w:pP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3,143</w:t>
            </w:r>
          </w:p>
        </w:tc>
      </w:tr>
      <w:tr>
        <w:trPr>
          <w:trHeight w:val="149"/>
        </w:trPr>
        <w:tc>
          <w:tcPr>
            <w:tcW w:w="20" w:type="dxa"/>
            <w:vAlign w:val="bottom"/>
          </w:tcPr>
          <w:p>
            <w:pPr>
              <w:spacing w:after="0"/>
              <w:rPr>
                <w:sz w:val="12"/>
                <w:szCs w:val="12"/>
                <w:color w:val="auto"/>
              </w:rPr>
            </w:pPr>
          </w:p>
        </w:tc>
        <w:tc>
          <w:tcPr>
            <w:tcW w:w="462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Current portion of long-term debt</w:t>
            </w:r>
          </w:p>
        </w:tc>
        <w:tc>
          <w:tcPr>
            <w:tcW w:w="34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755</w:t>
            </w:r>
          </w:p>
        </w:tc>
        <w:tc>
          <w:tcPr>
            <w:tcW w:w="22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1,000</w:t>
            </w:r>
          </w:p>
        </w:tc>
        <w:tc>
          <w:tcPr>
            <w:tcW w:w="200" w:type="dxa"/>
            <w:vAlign w:val="bottom"/>
            <w:tcBorders>
              <w:bottom w:val="single" w:sz="8" w:color="auto"/>
            </w:tcBorders>
            <w:shd w:val="clear" w:color="auto" w:fill="E5E5E5"/>
          </w:tcPr>
          <w:p>
            <w:pPr>
              <w:spacing w:after="0"/>
              <w:rPr>
                <w:sz w:val="12"/>
                <w:szCs w:val="12"/>
                <w:color w:val="auto"/>
              </w:rPr>
            </w:pPr>
          </w:p>
        </w:tc>
        <w:tc>
          <w:tcPr>
            <w:tcW w:w="72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E5E5E5"/>
          </w:tcPr>
          <w:p>
            <w:pPr>
              <w:spacing w:after="0"/>
              <w:rPr>
                <w:sz w:val="12"/>
                <w:szCs w:val="12"/>
                <w:color w:val="auto"/>
              </w:rPr>
            </w:pPr>
          </w:p>
        </w:tc>
        <w:tc>
          <w:tcPr>
            <w:tcW w:w="82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45</w:t>
            </w:r>
          </w:p>
        </w:tc>
        <w:tc>
          <w:tcPr>
            <w:tcW w:w="200" w:type="dxa"/>
            <w:vAlign w:val="bottom"/>
            <w:tcBorders>
              <w:bottom w:val="single" w:sz="8" w:color="auto"/>
            </w:tcBorders>
            <w:shd w:val="clear" w:color="auto" w:fill="E5E5E5"/>
          </w:tcPr>
          <w:p>
            <w:pPr>
              <w:spacing w:after="0"/>
              <w:rPr>
                <w:sz w:val="12"/>
                <w:szCs w:val="12"/>
                <w:color w:val="auto"/>
              </w:rPr>
            </w:pPr>
          </w:p>
        </w:tc>
        <w:tc>
          <w:tcPr>
            <w:tcW w:w="1020" w:type="dxa"/>
            <w:vAlign w:val="bottom"/>
            <w:tcBorders>
              <w:bottom w:val="single" w:sz="8" w:color="auto"/>
            </w:tcBorders>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E5E5E5"/>
          </w:tcPr>
          <w:p>
            <w:pPr>
              <w:spacing w:after="0"/>
              <w:rPr>
                <w:sz w:val="12"/>
                <w:szCs w:val="12"/>
                <w:color w:val="auto"/>
              </w:rPr>
            </w:pPr>
          </w:p>
        </w:tc>
        <w:tc>
          <w:tcPr>
            <w:tcW w:w="86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1,800</w:t>
            </w:r>
          </w:p>
        </w:tc>
      </w:tr>
      <w:tr>
        <w:trPr>
          <w:trHeight w:val="142"/>
        </w:trPr>
        <w:tc>
          <w:tcPr>
            <w:tcW w:w="20" w:type="dxa"/>
            <w:vAlign w:val="bottom"/>
          </w:tcPr>
          <w:p>
            <w:pPr>
              <w:spacing w:after="0"/>
              <w:rPr>
                <w:sz w:val="12"/>
                <w:szCs w:val="12"/>
                <w:color w:val="auto"/>
              </w:rPr>
            </w:pPr>
          </w:p>
        </w:tc>
        <w:tc>
          <w:tcPr>
            <w:tcW w:w="4620" w:type="dxa"/>
            <w:vAlign w:val="bottom"/>
          </w:tcPr>
          <w:p>
            <w:pPr>
              <w:spacing w:after="0" w:line="142" w:lineRule="exact"/>
              <w:rPr>
                <w:sz w:val="20"/>
                <w:szCs w:val="20"/>
                <w:color w:val="auto"/>
              </w:rPr>
            </w:pPr>
            <w:r>
              <w:rPr>
                <w:rFonts w:ascii="Arial" w:cs="Arial" w:eastAsia="Arial" w:hAnsi="Arial"/>
                <w:sz w:val="14"/>
                <w:szCs w:val="14"/>
                <w:color w:val="auto"/>
              </w:rPr>
              <w:t>Total current liabilities</w:t>
            </w:r>
          </w:p>
        </w:tc>
        <w:tc>
          <w:tcPr>
            <w:tcW w:w="340" w:type="dxa"/>
            <w:vAlign w:val="bottom"/>
          </w:tcPr>
          <w:p>
            <w:pPr>
              <w:spacing w:after="0"/>
              <w:rPr>
                <w:sz w:val="12"/>
                <w:szCs w:val="12"/>
                <w:color w:val="auto"/>
              </w:rPr>
            </w:pPr>
          </w:p>
        </w:tc>
        <w:tc>
          <w:tcPr>
            <w:tcW w:w="580" w:type="dxa"/>
            <w:vAlign w:val="bottom"/>
          </w:tcPr>
          <w:p>
            <w:pPr>
              <w:jc w:val="right"/>
              <w:ind w:right="72"/>
              <w:spacing w:after="0" w:line="142" w:lineRule="exact"/>
              <w:rPr>
                <w:sz w:val="20"/>
                <w:szCs w:val="20"/>
                <w:color w:val="auto"/>
              </w:rPr>
            </w:pPr>
            <w:r>
              <w:rPr>
                <w:rFonts w:ascii="Arial" w:cs="Arial" w:eastAsia="Arial" w:hAnsi="Arial"/>
                <w:sz w:val="14"/>
                <w:szCs w:val="14"/>
                <w:color w:val="auto"/>
              </w:rPr>
              <w:t>1,799</w:t>
            </w:r>
          </w:p>
        </w:tc>
        <w:tc>
          <w:tcPr>
            <w:tcW w:w="220" w:type="dxa"/>
            <w:vAlign w:val="bottom"/>
          </w:tcPr>
          <w:p>
            <w:pPr>
              <w:spacing w:after="0"/>
              <w:rPr>
                <w:sz w:val="12"/>
                <w:szCs w:val="12"/>
                <w:color w:val="auto"/>
              </w:rPr>
            </w:pPr>
          </w:p>
        </w:tc>
        <w:tc>
          <w:tcPr>
            <w:tcW w:w="560" w:type="dxa"/>
            <w:vAlign w:val="bottom"/>
          </w:tcPr>
          <w:p>
            <w:pPr>
              <w:jc w:val="right"/>
              <w:ind w:right="72"/>
              <w:spacing w:after="0" w:line="142" w:lineRule="exact"/>
              <w:rPr>
                <w:sz w:val="20"/>
                <w:szCs w:val="20"/>
                <w:color w:val="auto"/>
              </w:rPr>
            </w:pPr>
            <w:r>
              <w:rPr>
                <w:rFonts w:ascii="Arial" w:cs="Arial" w:eastAsia="Arial" w:hAnsi="Arial"/>
                <w:sz w:val="14"/>
                <w:szCs w:val="14"/>
                <w:color w:val="auto"/>
              </w:rPr>
              <w:t>1,190</w:t>
            </w:r>
          </w:p>
        </w:tc>
        <w:tc>
          <w:tcPr>
            <w:tcW w:w="200" w:type="dxa"/>
            <w:vAlign w:val="bottom"/>
          </w:tcPr>
          <w:p>
            <w:pPr>
              <w:spacing w:after="0"/>
              <w:rPr>
                <w:sz w:val="12"/>
                <w:szCs w:val="12"/>
                <w:color w:val="auto"/>
              </w:rPr>
            </w:pPr>
          </w:p>
        </w:tc>
        <w:tc>
          <w:tcPr>
            <w:tcW w:w="720" w:type="dxa"/>
            <w:vAlign w:val="bottom"/>
          </w:tcPr>
          <w:p>
            <w:pPr>
              <w:jc w:val="right"/>
              <w:ind w:right="72"/>
              <w:spacing w:after="0" w:line="142" w:lineRule="exact"/>
              <w:rPr>
                <w:sz w:val="20"/>
                <w:szCs w:val="20"/>
                <w:color w:val="auto"/>
              </w:rPr>
            </w:pPr>
            <w:r>
              <w:rPr>
                <w:rFonts w:ascii="Arial" w:cs="Arial" w:eastAsia="Arial" w:hAnsi="Arial"/>
                <w:sz w:val="14"/>
                <w:szCs w:val="14"/>
                <w:color w:val="auto"/>
              </w:rPr>
              <w:t>74</w:t>
            </w:r>
          </w:p>
        </w:tc>
        <w:tc>
          <w:tcPr>
            <w:tcW w:w="260" w:type="dxa"/>
            <w:vAlign w:val="bottom"/>
          </w:tcPr>
          <w:p>
            <w:pPr>
              <w:spacing w:after="0"/>
              <w:rPr>
                <w:sz w:val="12"/>
                <w:szCs w:val="12"/>
                <w:color w:val="auto"/>
              </w:rPr>
            </w:pPr>
          </w:p>
        </w:tc>
        <w:tc>
          <w:tcPr>
            <w:tcW w:w="580" w:type="dxa"/>
            <w:vAlign w:val="bottom"/>
          </w:tcPr>
          <w:p>
            <w:pPr>
              <w:jc w:val="right"/>
              <w:ind w:right="92"/>
              <w:spacing w:after="0" w:line="142" w:lineRule="exact"/>
              <w:rPr>
                <w:sz w:val="20"/>
                <w:szCs w:val="20"/>
                <w:color w:val="auto"/>
              </w:rPr>
            </w:pPr>
            <w:r>
              <w:rPr>
                <w:rFonts w:ascii="Arial" w:cs="Arial" w:eastAsia="Arial" w:hAnsi="Arial"/>
                <w:sz w:val="14"/>
                <w:szCs w:val="14"/>
                <w:color w:val="auto"/>
              </w:rPr>
              <w:t>266</w:t>
            </w:r>
          </w:p>
        </w:tc>
        <w:tc>
          <w:tcPr>
            <w:tcW w:w="220" w:type="dxa"/>
            <w:vAlign w:val="bottom"/>
          </w:tcPr>
          <w:p>
            <w:pPr>
              <w:spacing w:after="0"/>
              <w:rPr>
                <w:sz w:val="12"/>
                <w:szCs w:val="12"/>
                <w:color w:val="auto"/>
              </w:rPr>
            </w:pPr>
          </w:p>
        </w:tc>
        <w:tc>
          <w:tcPr>
            <w:tcW w:w="820" w:type="dxa"/>
            <w:vAlign w:val="bottom"/>
          </w:tcPr>
          <w:p>
            <w:pPr>
              <w:jc w:val="right"/>
              <w:ind w:right="92"/>
              <w:spacing w:after="0" w:line="142" w:lineRule="exact"/>
              <w:rPr>
                <w:sz w:val="20"/>
                <w:szCs w:val="20"/>
                <w:color w:val="auto"/>
              </w:rPr>
            </w:pPr>
            <w:r>
              <w:rPr>
                <w:rFonts w:ascii="Arial" w:cs="Arial" w:eastAsia="Arial" w:hAnsi="Arial"/>
                <w:sz w:val="14"/>
                <w:szCs w:val="14"/>
                <w:color w:val="auto"/>
              </w:rPr>
              <w:t>4,905</w:t>
            </w:r>
          </w:p>
        </w:tc>
        <w:tc>
          <w:tcPr>
            <w:tcW w:w="200" w:type="dxa"/>
            <w:vAlign w:val="bottom"/>
          </w:tcPr>
          <w:p>
            <w:pPr>
              <w:spacing w:after="0"/>
              <w:rPr>
                <w:sz w:val="12"/>
                <w:szCs w:val="12"/>
                <w:color w:val="auto"/>
              </w:rPr>
            </w:pPr>
          </w:p>
        </w:tc>
        <w:tc>
          <w:tcPr>
            <w:tcW w:w="1020" w:type="dxa"/>
            <w:vAlign w:val="bottom"/>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ind w:right="12"/>
              <w:spacing w:after="0" w:line="142" w:lineRule="exact"/>
              <w:rPr>
                <w:sz w:val="20"/>
                <w:szCs w:val="20"/>
                <w:color w:val="auto"/>
              </w:rPr>
            </w:pPr>
            <w:r>
              <w:rPr>
                <w:rFonts w:ascii="Arial" w:cs="Arial" w:eastAsia="Arial" w:hAnsi="Arial"/>
                <w:sz w:val="14"/>
                <w:szCs w:val="14"/>
                <w:color w:val="auto"/>
              </w:rPr>
              <w:t>8,234</w:t>
            </w:r>
          </w:p>
        </w:tc>
      </w:tr>
      <w:tr>
        <w:trPr>
          <w:trHeight w:val="149"/>
        </w:trPr>
        <w:tc>
          <w:tcPr>
            <w:tcW w:w="20" w:type="dxa"/>
            <w:vAlign w:val="bottom"/>
          </w:tcPr>
          <w:p>
            <w:pPr>
              <w:spacing w:after="0"/>
              <w:rPr>
                <w:sz w:val="12"/>
                <w:szCs w:val="12"/>
                <w:color w:val="auto"/>
              </w:rPr>
            </w:pPr>
          </w:p>
        </w:tc>
        <w:tc>
          <w:tcPr>
            <w:tcW w:w="46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Long-term debt, less current portion</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w w:val="97"/>
              </w:rPr>
              <w:t>22,754</w:t>
            </w:r>
          </w:p>
        </w:tc>
        <w:tc>
          <w:tcPr>
            <w:tcW w:w="22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3,963</w:t>
            </w:r>
          </w:p>
        </w:tc>
        <w:tc>
          <w:tcPr>
            <w:tcW w:w="20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2,339</w:t>
            </w:r>
          </w:p>
        </w:tc>
        <w:tc>
          <w:tcPr>
            <w:tcW w:w="26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310</w:t>
            </w:r>
          </w:p>
        </w:tc>
        <w:tc>
          <w:tcPr>
            <w:tcW w:w="22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249</w:t>
            </w:r>
          </w:p>
        </w:tc>
        <w:tc>
          <w:tcPr>
            <w:tcW w:w="200" w:type="dxa"/>
            <w:vAlign w:val="bottom"/>
            <w:shd w:val="clear" w:color="auto" w:fill="E5E5E5"/>
          </w:tcPr>
          <w:p>
            <w:pPr>
              <w:spacing w:after="0"/>
              <w:rPr>
                <w:sz w:val="12"/>
                <w:szCs w:val="12"/>
                <w:color w:val="auto"/>
              </w:rPr>
            </w:pPr>
          </w:p>
        </w:tc>
        <w:tc>
          <w:tcPr>
            <w:tcW w:w="102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29,615</w:t>
            </w:r>
          </w:p>
        </w:tc>
      </w:tr>
      <w:tr>
        <w:trPr>
          <w:trHeight w:val="149"/>
        </w:trPr>
        <w:tc>
          <w:tcPr>
            <w:tcW w:w="20" w:type="dxa"/>
            <w:vAlign w:val="bottom"/>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3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704</w:t>
            </w:r>
          </w:p>
        </w:tc>
        <w:tc>
          <w:tcPr>
            <w:tcW w:w="22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28,218</w:t>
            </w:r>
          </w:p>
        </w:tc>
        <w:tc>
          <w:tcPr>
            <w:tcW w:w="200" w:type="dxa"/>
            <w:vAlign w:val="bottom"/>
          </w:tcPr>
          <w:p>
            <w:pPr>
              <w:spacing w:after="0"/>
              <w:rPr>
                <w:sz w:val="12"/>
                <w:szCs w:val="12"/>
                <w:color w:val="auto"/>
              </w:rPr>
            </w:pPr>
          </w:p>
        </w:tc>
        <w:tc>
          <w:tcPr>
            <w:tcW w:w="10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(676)</w:t>
            </w:r>
          </w:p>
        </w:tc>
        <w:tc>
          <w:tcPr>
            <w:tcW w:w="20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28,246</w:t>
            </w:r>
          </w:p>
        </w:tc>
      </w:tr>
      <w:tr>
        <w:trPr>
          <w:trHeight w:val="149"/>
        </w:trPr>
        <w:tc>
          <w:tcPr>
            <w:tcW w:w="20" w:type="dxa"/>
            <w:vAlign w:val="bottom"/>
          </w:tcPr>
          <w:p>
            <w:pPr>
              <w:spacing w:after="0"/>
              <w:rPr>
                <w:sz w:val="12"/>
                <w:szCs w:val="12"/>
                <w:color w:val="auto"/>
              </w:rPr>
            </w:pPr>
          </w:p>
        </w:tc>
        <w:tc>
          <w:tcPr>
            <w:tcW w:w="46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1,658</w:t>
            </w:r>
          </w:p>
        </w:tc>
        <w:tc>
          <w:tcPr>
            <w:tcW w:w="22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6,347</w:t>
            </w:r>
          </w:p>
        </w:tc>
        <w:tc>
          <w:tcPr>
            <w:tcW w:w="200" w:type="dxa"/>
            <w:vAlign w:val="bottom"/>
            <w:shd w:val="clear" w:color="auto" w:fill="E5E5E5"/>
          </w:tcPr>
          <w:p>
            <w:pPr>
              <w:spacing w:after="0"/>
              <w:rPr>
                <w:sz w:val="12"/>
                <w:szCs w:val="12"/>
                <w:color w:val="auto"/>
              </w:rPr>
            </w:pPr>
          </w:p>
        </w:tc>
        <w:tc>
          <w:tcPr>
            <w:tcW w:w="102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(143)</w:t>
            </w: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7,862</w:t>
            </w:r>
          </w:p>
        </w:tc>
      </w:tr>
      <w:tr>
        <w:trPr>
          <w:trHeight w:val="149"/>
        </w:trPr>
        <w:tc>
          <w:tcPr>
            <w:tcW w:w="20" w:type="dxa"/>
            <w:vAlign w:val="bottom"/>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Redeemable noncontrolling interests</w:t>
            </w:r>
          </w:p>
        </w:tc>
        <w:tc>
          <w:tcPr>
            <w:tcW w:w="3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143</w:t>
            </w:r>
          </w:p>
        </w:tc>
        <w:tc>
          <w:tcPr>
            <w:tcW w:w="200" w:type="dxa"/>
            <w:vAlign w:val="bottom"/>
          </w:tcPr>
          <w:p>
            <w:pPr>
              <w:spacing w:after="0"/>
              <w:rPr>
                <w:sz w:val="12"/>
                <w:szCs w:val="12"/>
                <w:color w:val="auto"/>
              </w:rPr>
            </w:pP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143</w:t>
            </w:r>
          </w:p>
        </w:tc>
      </w:tr>
      <w:tr>
        <w:trPr>
          <w:trHeight w:val="149"/>
        </w:trPr>
        <w:tc>
          <w:tcPr>
            <w:tcW w:w="20" w:type="dxa"/>
            <w:vAlign w:val="bottom"/>
          </w:tcPr>
          <w:p>
            <w:pPr>
              <w:spacing w:after="0"/>
              <w:rPr>
                <w:sz w:val="12"/>
                <w:szCs w:val="12"/>
                <w:color w:val="auto"/>
              </w:rPr>
            </w:pPr>
          </w:p>
        </w:tc>
        <w:tc>
          <w:tcPr>
            <w:tcW w:w="46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Equity:</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56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72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82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102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200"/>
              <w:spacing w:after="0" w:line="149" w:lineRule="exact"/>
              <w:rPr>
                <w:sz w:val="20"/>
                <w:szCs w:val="20"/>
                <w:color w:val="auto"/>
              </w:rPr>
            </w:pPr>
            <w:r>
              <w:rPr>
                <w:rFonts w:ascii="Arial" w:cs="Arial" w:eastAsia="Arial" w:hAnsi="Arial"/>
                <w:sz w:val="14"/>
                <w:szCs w:val="14"/>
                <w:color w:val="auto"/>
              </w:rPr>
              <w:t>Common stock</w:t>
            </w:r>
          </w:p>
        </w:tc>
        <w:tc>
          <w:tcPr>
            <w:tcW w:w="3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32</w:t>
            </w:r>
          </w:p>
        </w:tc>
        <w:tc>
          <w:tcPr>
            <w:tcW w:w="22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32</w:t>
            </w:r>
          </w:p>
        </w:tc>
      </w:tr>
      <w:tr>
        <w:trPr>
          <w:trHeight w:val="149"/>
        </w:trPr>
        <w:tc>
          <w:tcPr>
            <w:tcW w:w="20" w:type="dxa"/>
            <w:vAlign w:val="bottom"/>
          </w:tcPr>
          <w:p>
            <w:pPr>
              <w:spacing w:after="0"/>
              <w:rPr>
                <w:sz w:val="12"/>
                <w:szCs w:val="12"/>
                <w:color w:val="auto"/>
              </w:rPr>
            </w:pPr>
          </w:p>
        </w:tc>
        <w:tc>
          <w:tcPr>
            <w:tcW w:w="462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Other shareholders’ equity</w:t>
            </w:r>
          </w:p>
        </w:tc>
        <w:tc>
          <w:tcPr>
            <w:tcW w:w="34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w w:val="97"/>
              </w:rPr>
              <w:t>44,322</w:t>
            </w:r>
          </w:p>
        </w:tc>
        <w:tc>
          <w:tcPr>
            <w:tcW w:w="22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w w:val="93"/>
              </w:rPr>
              <w:t>84,968</w:t>
            </w:r>
          </w:p>
        </w:tc>
        <w:tc>
          <w:tcPr>
            <w:tcW w:w="200" w:type="dxa"/>
            <w:vAlign w:val="bottom"/>
            <w:tcBorders>
              <w:bottom w:val="single" w:sz="8" w:color="auto"/>
            </w:tcBorders>
            <w:shd w:val="clear" w:color="auto" w:fill="E5E5E5"/>
          </w:tcPr>
          <w:p>
            <w:pPr>
              <w:spacing w:after="0"/>
              <w:rPr>
                <w:sz w:val="12"/>
                <w:szCs w:val="12"/>
                <w:color w:val="auto"/>
              </w:rPr>
            </w:pPr>
          </w:p>
        </w:tc>
        <w:tc>
          <w:tcPr>
            <w:tcW w:w="72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50,239</w:t>
            </w:r>
          </w:p>
        </w:tc>
        <w:tc>
          <w:tcPr>
            <w:tcW w:w="26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w w:val="93"/>
              </w:rPr>
              <w:t>71,497</w:t>
            </w:r>
          </w:p>
        </w:tc>
        <w:tc>
          <w:tcPr>
            <w:tcW w:w="220" w:type="dxa"/>
            <w:vAlign w:val="bottom"/>
            <w:tcBorders>
              <w:bottom w:val="single" w:sz="8" w:color="auto"/>
            </w:tcBorders>
            <w:shd w:val="clear" w:color="auto" w:fill="E5E5E5"/>
          </w:tcPr>
          <w:p>
            <w:pPr>
              <w:spacing w:after="0"/>
              <w:rPr>
                <w:sz w:val="12"/>
                <w:szCs w:val="12"/>
                <w:color w:val="auto"/>
              </w:rPr>
            </w:pPr>
          </w:p>
        </w:tc>
        <w:tc>
          <w:tcPr>
            <w:tcW w:w="82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89,979</w:t>
            </w:r>
          </w:p>
        </w:tc>
        <w:tc>
          <w:tcPr>
            <w:tcW w:w="200" w:type="dxa"/>
            <w:vAlign w:val="bottom"/>
            <w:tcBorders>
              <w:bottom w:val="single" w:sz="8" w:color="auto"/>
            </w:tcBorders>
            <w:shd w:val="clear" w:color="auto" w:fill="E5E5E5"/>
          </w:tcPr>
          <w:p>
            <w:pPr>
              <w:spacing w:after="0"/>
              <w:rPr>
                <w:sz w:val="12"/>
                <w:szCs w:val="12"/>
                <w:color w:val="auto"/>
              </w:rPr>
            </w:pPr>
          </w:p>
        </w:tc>
        <w:tc>
          <w:tcPr>
            <w:tcW w:w="102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(296,683)</w:t>
            </w:r>
          </w:p>
        </w:tc>
        <w:tc>
          <w:tcPr>
            <w:tcW w:w="200" w:type="dxa"/>
            <w:vAlign w:val="bottom"/>
            <w:tcBorders>
              <w:bottom w:val="single" w:sz="8" w:color="auto"/>
            </w:tcBorders>
            <w:shd w:val="clear" w:color="auto" w:fill="E5E5E5"/>
          </w:tcPr>
          <w:p>
            <w:pPr>
              <w:spacing w:after="0"/>
              <w:rPr>
                <w:sz w:val="12"/>
                <w:szCs w:val="12"/>
                <w:color w:val="auto"/>
              </w:rPr>
            </w:pPr>
          </w:p>
        </w:tc>
        <w:tc>
          <w:tcPr>
            <w:tcW w:w="86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44,322</w:t>
            </w:r>
          </w:p>
        </w:tc>
      </w:tr>
      <w:tr>
        <w:trPr>
          <w:trHeight w:val="142"/>
        </w:trPr>
        <w:tc>
          <w:tcPr>
            <w:tcW w:w="20" w:type="dxa"/>
            <w:vAlign w:val="bottom"/>
          </w:tcPr>
          <w:p>
            <w:pPr>
              <w:spacing w:after="0"/>
              <w:rPr>
                <w:sz w:val="12"/>
                <w:szCs w:val="12"/>
                <w:color w:val="auto"/>
              </w:rPr>
            </w:pPr>
          </w:p>
        </w:tc>
        <w:tc>
          <w:tcPr>
            <w:tcW w:w="4620" w:type="dxa"/>
            <w:vAlign w:val="bottom"/>
          </w:tcPr>
          <w:p>
            <w:pPr>
              <w:spacing w:after="0" w:line="142" w:lineRule="exact"/>
              <w:rPr>
                <w:sz w:val="20"/>
                <w:szCs w:val="20"/>
                <w:color w:val="auto"/>
              </w:rPr>
            </w:pPr>
            <w:r>
              <w:rPr>
                <w:rFonts w:ascii="Arial" w:cs="Arial" w:eastAsia="Arial" w:hAnsi="Arial"/>
                <w:sz w:val="14"/>
                <w:szCs w:val="14"/>
                <w:color w:val="auto"/>
              </w:rPr>
              <w:t>Total Comcast Corporation shareholders’ equity</w:t>
            </w:r>
          </w:p>
        </w:tc>
        <w:tc>
          <w:tcPr>
            <w:tcW w:w="340" w:type="dxa"/>
            <w:vAlign w:val="bottom"/>
          </w:tcPr>
          <w:p>
            <w:pPr>
              <w:spacing w:after="0"/>
              <w:rPr>
                <w:sz w:val="12"/>
                <w:szCs w:val="12"/>
                <w:color w:val="auto"/>
              </w:rPr>
            </w:pPr>
          </w:p>
        </w:tc>
        <w:tc>
          <w:tcPr>
            <w:tcW w:w="580" w:type="dxa"/>
            <w:vAlign w:val="bottom"/>
          </w:tcPr>
          <w:p>
            <w:pPr>
              <w:jc w:val="right"/>
              <w:ind w:right="72"/>
              <w:spacing w:after="0" w:line="142" w:lineRule="exact"/>
              <w:rPr>
                <w:sz w:val="20"/>
                <w:szCs w:val="20"/>
                <w:color w:val="auto"/>
              </w:rPr>
            </w:pPr>
            <w:r>
              <w:rPr>
                <w:rFonts w:ascii="Arial" w:cs="Arial" w:eastAsia="Arial" w:hAnsi="Arial"/>
                <w:sz w:val="14"/>
                <w:szCs w:val="14"/>
                <w:color w:val="auto"/>
                <w:w w:val="97"/>
              </w:rPr>
              <w:t>44,354</w:t>
            </w:r>
          </w:p>
        </w:tc>
        <w:tc>
          <w:tcPr>
            <w:tcW w:w="220" w:type="dxa"/>
            <w:vAlign w:val="bottom"/>
          </w:tcPr>
          <w:p>
            <w:pPr>
              <w:spacing w:after="0"/>
              <w:rPr>
                <w:sz w:val="12"/>
                <w:szCs w:val="12"/>
                <w:color w:val="auto"/>
              </w:rPr>
            </w:pPr>
          </w:p>
        </w:tc>
        <w:tc>
          <w:tcPr>
            <w:tcW w:w="560" w:type="dxa"/>
            <w:vAlign w:val="bottom"/>
          </w:tcPr>
          <w:p>
            <w:pPr>
              <w:jc w:val="right"/>
              <w:ind w:right="72"/>
              <w:spacing w:after="0" w:line="142" w:lineRule="exact"/>
              <w:rPr>
                <w:sz w:val="20"/>
                <w:szCs w:val="20"/>
                <w:color w:val="auto"/>
              </w:rPr>
            </w:pPr>
            <w:r>
              <w:rPr>
                <w:rFonts w:ascii="Arial" w:cs="Arial" w:eastAsia="Arial" w:hAnsi="Arial"/>
                <w:sz w:val="14"/>
                <w:szCs w:val="14"/>
                <w:color w:val="auto"/>
                <w:w w:val="93"/>
              </w:rPr>
              <w:t>84,968</w:t>
            </w:r>
          </w:p>
        </w:tc>
        <w:tc>
          <w:tcPr>
            <w:tcW w:w="200" w:type="dxa"/>
            <w:vAlign w:val="bottom"/>
          </w:tcPr>
          <w:p>
            <w:pPr>
              <w:spacing w:after="0"/>
              <w:rPr>
                <w:sz w:val="12"/>
                <w:szCs w:val="12"/>
                <w:color w:val="auto"/>
              </w:rPr>
            </w:pPr>
          </w:p>
        </w:tc>
        <w:tc>
          <w:tcPr>
            <w:tcW w:w="720" w:type="dxa"/>
            <w:vAlign w:val="bottom"/>
          </w:tcPr>
          <w:p>
            <w:pPr>
              <w:jc w:val="right"/>
              <w:ind w:right="72"/>
              <w:spacing w:after="0" w:line="142" w:lineRule="exact"/>
              <w:rPr>
                <w:sz w:val="20"/>
                <w:szCs w:val="20"/>
                <w:color w:val="auto"/>
              </w:rPr>
            </w:pPr>
            <w:r>
              <w:rPr>
                <w:rFonts w:ascii="Arial" w:cs="Arial" w:eastAsia="Arial" w:hAnsi="Arial"/>
                <w:sz w:val="14"/>
                <w:szCs w:val="14"/>
                <w:color w:val="auto"/>
              </w:rPr>
              <w:t>50,239</w:t>
            </w:r>
          </w:p>
        </w:tc>
        <w:tc>
          <w:tcPr>
            <w:tcW w:w="260" w:type="dxa"/>
            <w:vAlign w:val="bottom"/>
          </w:tcPr>
          <w:p>
            <w:pPr>
              <w:spacing w:after="0"/>
              <w:rPr>
                <w:sz w:val="12"/>
                <w:szCs w:val="12"/>
                <w:color w:val="auto"/>
              </w:rPr>
            </w:pPr>
          </w:p>
        </w:tc>
        <w:tc>
          <w:tcPr>
            <w:tcW w:w="580" w:type="dxa"/>
            <w:vAlign w:val="bottom"/>
          </w:tcPr>
          <w:p>
            <w:pPr>
              <w:jc w:val="right"/>
              <w:ind w:right="92"/>
              <w:spacing w:after="0" w:line="142" w:lineRule="exact"/>
              <w:rPr>
                <w:sz w:val="20"/>
                <w:szCs w:val="20"/>
                <w:color w:val="auto"/>
              </w:rPr>
            </w:pPr>
            <w:r>
              <w:rPr>
                <w:rFonts w:ascii="Arial" w:cs="Arial" w:eastAsia="Arial" w:hAnsi="Arial"/>
                <w:sz w:val="14"/>
                <w:szCs w:val="14"/>
                <w:color w:val="auto"/>
                <w:w w:val="93"/>
              </w:rPr>
              <w:t>71,497</w:t>
            </w:r>
          </w:p>
        </w:tc>
        <w:tc>
          <w:tcPr>
            <w:tcW w:w="220" w:type="dxa"/>
            <w:vAlign w:val="bottom"/>
          </w:tcPr>
          <w:p>
            <w:pPr>
              <w:spacing w:after="0"/>
              <w:rPr>
                <w:sz w:val="12"/>
                <w:szCs w:val="12"/>
                <w:color w:val="auto"/>
              </w:rPr>
            </w:pPr>
          </w:p>
        </w:tc>
        <w:tc>
          <w:tcPr>
            <w:tcW w:w="820" w:type="dxa"/>
            <w:vAlign w:val="bottom"/>
          </w:tcPr>
          <w:p>
            <w:pPr>
              <w:jc w:val="right"/>
              <w:ind w:right="92"/>
              <w:spacing w:after="0" w:line="142" w:lineRule="exact"/>
              <w:rPr>
                <w:sz w:val="20"/>
                <w:szCs w:val="20"/>
                <w:color w:val="auto"/>
              </w:rPr>
            </w:pPr>
            <w:r>
              <w:rPr>
                <w:rFonts w:ascii="Arial" w:cs="Arial" w:eastAsia="Arial" w:hAnsi="Arial"/>
                <w:sz w:val="14"/>
                <w:szCs w:val="14"/>
                <w:color w:val="auto"/>
              </w:rPr>
              <w:t>89,979</w:t>
            </w:r>
          </w:p>
        </w:tc>
        <w:tc>
          <w:tcPr>
            <w:tcW w:w="200" w:type="dxa"/>
            <w:vAlign w:val="bottom"/>
          </w:tcPr>
          <w:p>
            <w:pPr>
              <w:spacing w:after="0"/>
              <w:rPr>
                <w:sz w:val="12"/>
                <w:szCs w:val="12"/>
                <w:color w:val="auto"/>
              </w:rPr>
            </w:pPr>
          </w:p>
        </w:tc>
        <w:tc>
          <w:tcPr>
            <w:tcW w:w="1020" w:type="dxa"/>
            <w:vAlign w:val="bottom"/>
          </w:tcPr>
          <w:p>
            <w:pPr>
              <w:jc w:val="right"/>
              <w:ind w:right="72"/>
              <w:spacing w:after="0" w:line="142" w:lineRule="exact"/>
              <w:rPr>
                <w:sz w:val="20"/>
                <w:szCs w:val="20"/>
                <w:color w:val="auto"/>
              </w:rPr>
            </w:pPr>
            <w:r>
              <w:rPr>
                <w:rFonts w:ascii="Arial" w:cs="Arial" w:eastAsia="Arial" w:hAnsi="Arial"/>
                <w:sz w:val="14"/>
                <w:szCs w:val="14"/>
                <w:color w:val="auto"/>
              </w:rPr>
              <w:t>(296,683)</w:t>
            </w:r>
          </w:p>
        </w:tc>
        <w:tc>
          <w:tcPr>
            <w:tcW w:w="200" w:type="dxa"/>
            <w:vAlign w:val="bottom"/>
          </w:tcPr>
          <w:p>
            <w:pPr>
              <w:spacing w:after="0"/>
              <w:rPr>
                <w:sz w:val="12"/>
                <w:szCs w:val="12"/>
                <w:color w:val="auto"/>
              </w:rPr>
            </w:pPr>
          </w:p>
        </w:tc>
        <w:tc>
          <w:tcPr>
            <w:tcW w:w="860" w:type="dxa"/>
            <w:vAlign w:val="bottom"/>
          </w:tcPr>
          <w:p>
            <w:pPr>
              <w:jc w:val="right"/>
              <w:ind w:right="12"/>
              <w:spacing w:after="0" w:line="142" w:lineRule="exact"/>
              <w:rPr>
                <w:sz w:val="20"/>
                <w:szCs w:val="20"/>
                <w:color w:val="auto"/>
              </w:rPr>
            </w:pPr>
            <w:r>
              <w:rPr>
                <w:rFonts w:ascii="Arial" w:cs="Arial" w:eastAsia="Arial" w:hAnsi="Arial"/>
                <w:sz w:val="14"/>
                <w:szCs w:val="14"/>
                <w:color w:val="auto"/>
              </w:rPr>
              <w:t>44,354</w:t>
            </w:r>
          </w:p>
        </w:tc>
      </w:tr>
      <w:tr>
        <w:trPr>
          <w:trHeight w:val="149"/>
        </w:trPr>
        <w:tc>
          <w:tcPr>
            <w:tcW w:w="20" w:type="dxa"/>
            <w:vAlign w:val="bottom"/>
          </w:tcPr>
          <w:p>
            <w:pPr>
              <w:spacing w:after="0"/>
              <w:rPr>
                <w:sz w:val="12"/>
                <w:szCs w:val="12"/>
                <w:color w:val="auto"/>
              </w:rPr>
            </w:pPr>
          </w:p>
        </w:tc>
        <w:tc>
          <w:tcPr>
            <w:tcW w:w="4620" w:type="dxa"/>
            <w:vAlign w:val="bottom"/>
            <w:tcBorders>
              <w:bottom w:val="single" w:sz="8" w:color="auto"/>
            </w:tcBorders>
            <w:shd w:val="clear" w:color="auto" w:fill="E5E5E5"/>
          </w:tcPr>
          <w:p>
            <w:pPr>
              <w:spacing w:after="0" w:line="149" w:lineRule="exact"/>
              <w:rPr>
                <w:sz w:val="20"/>
                <w:szCs w:val="20"/>
                <w:color w:val="auto"/>
              </w:rPr>
            </w:pPr>
            <w:r>
              <w:rPr>
                <w:rFonts w:ascii="Arial" w:cs="Arial" w:eastAsia="Arial" w:hAnsi="Arial"/>
                <w:sz w:val="14"/>
                <w:szCs w:val="14"/>
                <w:color w:val="auto"/>
              </w:rPr>
              <w:t>Noncontrolling interests</w:t>
            </w:r>
          </w:p>
        </w:tc>
        <w:tc>
          <w:tcPr>
            <w:tcW w:w="34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E5E5E5"/>
          </w:tcPr>
          <w:p>
            <w:pPr>
              <w:spacing w:after="0"/>
              <w:rPr>
                <w:sz w:val="12"/>
                <w:szCs w:val="12"/>
                <w:color w:val="auto"/>
              </w:rPr>
            </w:pPr>
          </w:p>
        </w:tc>
        <w:tc>
          <w:tcPr>
            <w:tcW w:w="72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E5E5E5"/>
          </w:tcPr>
          <w:p>
            <w:pPr>
              <w:spacing w:after="0"/>
              <w:rPr>
                <w:sz w:val="12"/>
                <w:szCs w:val="12"/>
                <w:color w:val="auto"/>
              </w:rPr>
            </w:pPr>
          </w:p>
        </w:tc>
        <w:tc>
          <w:tcPr>
            <w:tcW w:w="82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80</w:t>
            </w:r>
          </w:p>
        </w:tc>
        <w:tc>
          <w:tcPr>
            <w:tcW w:w="200" w:type="dxa"/>
            <w:vAlign w:val="bottom"/>
            <w:tcBorders>
              <w:bottom w:val="single" w:sz="8" w:color="auto"/>
            </w:tcBorders>
            <w:shd w:val="clear" w:color="auto" w:fill="E5E5E5"/>
          </w:tcPr>
          <w:p>
            <w:pPr>
              <w:spacing w:after="0"/>
              <w:rPr>
                <w:sz w:val="12"/>
                <w:szCs w:val="12"/>
                <w:color w:val="auto"/>
              </w:rPr>
            </w:pPr>
          </w:p>
        </w:tc>
        <w:tc>
          <w:tcPr>
            <w:tcW w:w="1020" w:type="dxa"/>
            <w:vAlign w:val="bottom"/>
            <w:tcBorders>
              <w:bottom w:val="single" w:sz="8" w:color="auto"/>
            </w:tcBorders>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E5E5E5"/>
          </w:tcPr>
          <w:p>
            <w:pPr>
              <w:spacing w:after="0"/>
              <w:rPr>
                <w:sz w:val="12"/>
                <w:szCs w:val="12"/>
                <w:color w:val="auto"/>
              </w:rPr>
            </w:pPr>
          </w:p>
        </w:tc>
        <w:tc>
          <w:tcPr>
            <w:tcW w:w="86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80</w:t>
            </w:r>
          </w:p>
        </w:tc>
      </w:tr>
      <w:tr>
        <w:trPr>
          <w:trHeight w:val="142"/>
        </w:trPr>
        <w:tc>
          <w:tcPr>
            <w:tcW w:w="20" w:type="dxa"/>
            <w:vAlign w:val="bottom"/>
          </w:tcPr>
          <w:p>
            <w:pPr>
              <w:spacing w:after="0"/>
              <w:rPr>
                <w:sz w:val="12"/>
                <w:szCs w:val="12"/>
                <w:color w:val="auto"/>
              </w:rPr>
            </w:pPr>
          </w:p>
        </w:tc>
        <w:tc>
          <w:tcPr>
            <w:tcW w:w="46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Total equity</w:t>
            </w:r>
          </w:p>
        </w:tc>
        <w:tc>
          <w:tcPr>
            <w:tcW w:w="3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w w:val="97"/>
              </w:rPr>
              <w:t>44,354</w:t>
            </w: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w w:val="93"/>
              </w:rPr>
              <w:t>84,968</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50,239</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w w:val="93"/>
              </w:rPr>
              <w:t>71,497</w:t>
            </w: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90,059</w:t>
            </w: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(296,683)</w:t>
            </w: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44,434</w:t>
            </w:r>
          </w:p>
        </w:tc>
      </w:tr>
      <w:tr>
        <w:trPr>
          <w:trHeight w:val="149"/>
        </w:trPr>
        <w:tc>
          <w:tcPr>
            <w:tcW w:w="20" w:type="dxa"/>
            <w:vAlign w:val="bottom"/>
          </w:tcPr>
          <w:p>
            <w:pPr>
              <w:spacing w:after="0"/>
              <w:rPr>
                <w:sz w:val="12"/>
                <w:szCs w:val="12"/>
                <w:color w:val="auto"/>
              </w:rPr>
            </w:pPr>
          </w:p>
        </w:tc>
        <w:tc>
          <w:tcPr>
            <w:tcW w:w="4620" w:type="dxa"/>
            <w:vAlign w:val="bottom"/>
            <w:tcBorders>
              <w:bottom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Total liabilities and equity</w:t>
            </w:r>
          </w:p>
        </w:tc>
        <w:tc>
          <w:tcPr>
            <w:tcW w:w="34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b w:val="1"/>
                <w:bCs w:val="1"/>
                <w:color w:val="auto"/>
                <w:w w:val="97"/>
              </w:rPr>
              <w:t>70,565</w:t>
            </w:r>
          </w:p>
        </w:tc>
        <w:tc>
          <w:tcPr>
            <w:tcW w:w="22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b w:val="1"/>
                <w:bCs w:val="1"/>
                <w:color w:val="auto"/>
                <w:w w:val="93"/>
              </w:rPr>
              <w:t>90,121</w:t>
            </w:r>
          </w:p>
        </w:tc>
        <w:tc>
          <w:tcPr>
            <w:tcW w:w="20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b w:val="1"/>
                <w:bCs w:val="1"/>
                <w:color w:val="auto"/>
              </w:rPr>
              <w:t>52,652</w:t>
            </w:r>
          </w:p>
        </w:tc>
        <w:tc>
          <w:tcPr>
            <w:tcW w:w="26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E5E5E5"/>
          </w:tcPr>
          <w:p>
            <w:pPr>
              <w:jc w:val="right"/>
              <w:ind w:right="92"/>
              <w:spacing w:after="0" w:line="142" w:lineRule="exact"/>
              <w:rPr>
                <w:sz w:val="20"/>
                <w:szCs w:val="20"/>
                <w:color w:val="auto"/>
              </w:rPr>
            </w:pPr>
            <w:r>
              <w:rPr>
                <w:rFonts w:ascii="Arial" w:cs="Arial" w:eastAsia="Arial" w:hAnsi="Arial"/>
                <w:sz w:val="14"/>
                <w:szCs w:val="14"/>
                <w:b w:val="1"/>
                <w:bCs w:val="1"/>
                <w:color w:val="auto"/>
                <w:w w:val="93"/>
              </w:rPr>
              <w:t>72,777</w:t>
            </w:r>
          </w:p>
        </w:tc>
        <w:tc>
          <w:tcPr>
            <w:tcW w:w="22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E5E5E5"/>
          </w:tcPr>
          <w:p>
            <w:pPr>
              <w:jc w:val="right"/>
              <w:ind w:right="92"/>
              <w:spacing w:after="0" w:line="142" w:lineRule="exact"/>
              <w:rPr>
                <w:sz w:val="20"/>
                <w:szCs w:val="20"/>
                <w:color w:val="auto"/>
              </w:rPr>
            </w:pPr>
            <w:r>
              <w:rPr>
                <w:rFonts w:ascii="Arial" w:cs="Arial" w:eastAsia="Arial" w:hAnsi="Arial"/>
                <w:sz w:val="14"/>
                <w:szCs w:val="14"/>
                <w:b w:val="1"/>
                <w:bCs w:val="1"/>
                <w:color w:val="auto"/>
              </w:rPr>
              <w:t>129,921</w:t>
            </w:r>
          </w:p>
        </w:tc>
        <w:tc>
          <w:tcPr>
            <w:tcW w:w="20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b w:val="1"/>
                <w:bCs w:val="1"/>
                <w:color w:val="auto"/>
              </w:rPr>
              <w:t>(297,502)</w:t>
            </w:r>
          </w:p>
        </w:tc>
        <w:tc>
          <w:tcPr>
            <w:tcW w:w="20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b w:val="1"/>
                <w:bCs w:val="1"/>
                <w:color w:val="auto"/>
              </w:rPr>
              <w:t>118,534</w:t>
            </w: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For the Three Months Ended September 30, 2011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center"/>
              <w:ind w:right="252"/>
              <w:spacing w:after="0"/>
              <w:rPr>
                <w:sz w:val="20"/>
                <w:szCs w:val="20"/>
                <w:color w:val="auto"/>
              </w:rPr>
            </w:pPr>
            <w:r>
              <w:rPr>
                <w:rFonts w:ascii="Arial" w:cs="Arial" w:eastAsia="Arial" w:hAnsi="Arial"/>
                <w:sz w:val="14"/>
                <w:szCs w:val="14"/>
                <w:color w:val="auto"/>
                <w:w w:val="93"/>
              </w:rPr>
              <w:t>Elimination</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Combined</w:t>
            </w: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Non-</w:t>
            </w:r>
          </w:p>
        </w:tc>
        <w:tc>
          <w:tcPr>
            <w:tcW w:w="280" w:type="dxa"/>
            <w:vAlign w:val="bottom"/>
          </w:tcPr>
          <w:p>
            <w:pPr>
              <w:spacing w:after="0"/>
              <w:rPr>
                <w:sz w:val="12"/>
                <w:szCs w:val="12"/>
                <w:color w:val="auto"/>
              </w:rPr>
            </w:pPr>
          </w:p>
        </w:tc>
        <w:tc>
          <w:tcPr>
            <w:tcW w:w="960" w:type="dxa"/>
            <w:vAlign w:val="bottom"/>
          </w:tcPr>
          <w:p>
            <w:pPr>
              <w:jc w:val="center"/>
              <w:ind w:right="252"/>
              <w:spacing w:after="0" w:line="149" w:lineRule="exact"/>
              <w:rPr>
                <w:sz w:val="20"/>
                <w:szCs w:val="20"/>
                <w:color w:val="auto"/>
              </w:rPr>
            </w:pPr>
            <w:r>
              <w:rPr>
                <w:rFonts w:ascii="Arial" w:cs="Arial" w:eastAsia="Arial" w:hAnsi="Arial"/>
                <w:sz w:val="14"/>
                <w:szCs w:val="14"/>
                <w:color w:val="auto"/>
                <w:w w:val="85"/>
              </w:rPr>
              <w:t>and</w:t>
            </w:r>
          </w:p>
        </w:tc>
        <w:tc>
          <w:tcPr>
            <w:tcW w:w="102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95"/>
              </w:rPr>
              <w:t>Consolidated</w:t>
            </w: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38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Comcast</w:t>
            </w:r>
          </w:p>
        </w:tc>
        <w:tc>
          <w:tcPr>
            <w:tcW w:w="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CCCL</w:t>
            </w:r>
          </w:p>
        </w:tc>
        <w:tc>
          <w:tcPr>
            <w:tcW w:w="104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CCHMO</w:t>
            </w:r>
          </w:p>
        </w:tc>
        <w:tc>
          <w:tcPr>
            <w:tcW w:w="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Comcast</w:t>
            </w:r>
          </w:p>
        </w:tc>
        <w:tc>
          <w:tcPr>
            <w:tcW w:w="112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Guarantor</w:t>
            </w: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Consolidation</w:t>
            </w:r>
          </w:p>
        </w:tc>
        <w:tc>
          <w:tcPr>
            <w:tcW w:w="320" w:type="dxa"/>
            <w:vAlign w:val="bottom"/>
          </w:tcPr>
          <w:p>
            <w:pPr>
              <w:spacing w:after="0"/>
              <w:rPr>
                <w:sz w:val="12"/>
                <w:szCs w:val="12"/>
                <w:color w:val="auto"/>
              </w:rPr>
            </w:pPr>
          </w:p>
        </w:tc>
        <w:tc>
          <w:tcPr>
            <w:tcW w:w="70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38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380" w:type="dxa"/>
            <w:vAlign w:val="bottom"/>
            <w:gridSpan w:val="2"/>
          </w:tcPr>
          <w:p>
            <w:pPr>
              <w:jc w:val="right"/>
              <w:ind w:right="232"/>
              <w:spacing w:after="0"/>
              <w:rPr>
                <w:sz w:val="20"/>
                <w:szCs w:val="20"/>
                <w:color w:val="auto"/>
              </w:rPr>
            </w:pPr>
            <w:r>
              <w:rPr>
                <w:rFonts w:ascii="Arial" w:cs="Arial" w:eastAsia="Arial" w:hAnsi="Arial"/>
                <w:sz w:val="14"/>
                <w:szCs w:val="14"/>
                <w:color w:val="auto"/>
              </w:rPr>
              <w:t>Parent</w:t>
            </w:r>
          </w:p>
        </w:tc>
        <w:tc>
          <w:tcPr>
            <w:tcW w:w="840" w:type="dxa"/>
            <w:vAlign w:val="bottom"/>
            <w:gridSpan w:val="2"/>
          </w:tcPr>
          <w:p>
            <w:pPr>
              <w:ind w:left="240"/>
              <w:spacing w:after="0"/>
              <w:rPr>
                <w:sz w:val="20"/>
                <w:szCs w:val="20"/>
                <w:color w:val="auto"/>
              </w:rPr>
            </w:pPr>
            <w:r>
              <w:rPr>
                <w:rFonts w:ascii="Arial" w:cs="Arial" w:eastAsia="Arial" w:hAnsi="Arial"/>
                <w:sz w:val="14"/>
                <w:szCs w:val="14"/>
                <w:color w:val="auto"/>
              </w:rPr>
              <w:t>Parent</w:t>
            </w:r>
          </w:p>
        </w:tc>
        <w:tc>
          <w:tcPr>
            <w:tcW w:w="300" w:type="dxa"/>
            <w:vAlign w:val="bottom"/>
          </w:tcPr>
          <w:p>
            <w:pPr>
              <w:spacing w:after="0"/>
              <w:rPr>
                <w:sz w:val="15"/>
                <w:szCs w:val="15"/>
                <w:color w:val="auto"/>
              </w:rPr>
            </w:pPr>
          </w:p>
        </w:tc>
        <w:tc>
          <w:tcPr>
            <w:tcW w:w="740" w:type="dxa"/>
            <w:vAlign w:val="bottom"/>
          </w:tcPr>
          <w:p>
            <w:pPr>
              <w:jc w:val="right"/>
              <w:ind w:right="272"/>
              <w:spacing w:after="0"/>
              <w:rPr>
                <w:sz w:val="20"/>
                <w:szCs w:val="20"/>
                <w:color w:val="auto"/>
              </w:rPr>
            </w:pPr>
            <w:r>
              <w:rPr>
                <w:rFonts w:ascii="Arial" w:cs="Arial" w:eastAsia="Arial" w:hAnsi="Arial"/>
                <w:sz w:val="14"/>
                <w:szCs w:val="14"/>
                <w:color w:val="auto"/>
                <w:w w:val="78"/>
              </w:rPr>
              <w:t>Parents</w:t>
            </w:r>
          </w:p>
        </w:tc>
        <w:tc>
          <w:tcPr>
            <w:tcW w:w="980" w:type="dxa"/>
            <w:vAlign w:val="bottom"/>
            <w:gridSpan w:val="2"/>
          </w:tcPr>
          <w:p>
            <w:pPr>
              <w:ind w:left="220"/>
              <w:spacing w:after="0"/>
              <w:rPr>
                <w:sz w:val="20"/>
                <w:szCs w:val="20"/>
                <w:color w:val="auto"/>
              </w:rPr>
            </w:pPr>
            <w:r>
              <w:rPr>
                <w:rFonts w:ascii="Arial" w:cs="Arial" w:eastAsia="Arial" w:hAnsi="Arial"/>
                <w:sz w:val="14"/>
                <w:szCs w:val="14"/>
                <w:color w:val="auto"/>
              </w:rPr>
              <w:t>Holdings</w:t>
            </w:r>
          </w:p>
        </w:tc>
        <w:tc>
          <w:tcPr>
            <w:tcW w:w="1120" w:type="dxa"/>
            <w:vAlign w:val="bottom"/>
            <w:gridSpan w:val="2"/>
          </w:tcPr>
          <w:p>
            <w:pPr>
              <w:ind w:left="200"/>
              <w:spacing w:after="0"/>
              <w:rPr>
                <w:sz w:val="20"/>
                <w:szCs w:val="20"/>
                <w:color w:val="auto"/>
              </w:rPr>
            </w:pPr>
            <w:r>
              <w:rPr>
                <w:rFonts w:ascii="Arial" w:cs="Arial" w:eastAsia="Arial" w:hAnsi="Arial"/>
                <w:sz w:val="14"/>
                <w:szCs w:val="14"/>
                <w:color w:val="auto"/>
              </w:rPr>
              <w:t>Subsidiaries</w:t>
            </w: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1020" w:type="dxa"/>
            <w:vAlign w:val="bottom"/>
            <w:gridSpan w:val="2"/>
          </w:tcPr>
          <w:p>
            <w:pPr>
              <w:jc w:val="right"/>
              <w:ind w:right="52"/>
              <w:spacing w:after="0"/>
              <w:rPr>
                <w:sz w:val="20"/>
                <w:szCs w:val="20"/>
                <w:color w:val="auto"/>
              </w:rPr>
            </w:pPr>
            <w:r>
              <w:rPr>
                <w:rFonts w:ascii="Arial" w:cs="Arial" w:eastAsia="Arial" w:hAnsi="Arial"/>
                <w:sz w:val="14"/>
                <w:szCs w:val="14"/>
                <w:color w:val="auto"/>
              </w:rPr>
              <w:t>Corporation</w:t>
            </w:r>
          </w:p>
        </w:tc>
      </w:tr>
      <w:tr>
        <w:trPr>
          <w:trHeight w:val="142"/>
        </w:trPr>
        <w:tc>
          <w:tcPr>
            <w:tcW w:w="20" w:type="dxa"/>
            <w:vAlign w:val="bottom"/>
          </w:tcPr>
          <w:p>
            <w:pPr>
              <w:spacing w:after="0"/>
              <w:rPr>
                <w:sz w:val="12"/>
                <w:szCs w:val="12"/>
                <w:color w:val="auto"/>
              </w:rPr>
            </w:pPr>
          </w:p>
        </w:tc>
        <w:tc>
          <w:tcPr>
            <w:tcW w:w="3780" w:type="dxa"/>
            <w:vAlign w:val="bottom"/>
            <w:tcBorders>
              <w:top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Revenue:</w:t>
            </w:r>
          </w:p>
        </w:tc>
        <w:tc>
          <w:tcPr>
            <w:tcW w:w="780" w:type="dxa"/>
            <w:vAlign w:val="bottom"/>
            <w:tcBorders>
              <w:top w:val="single" w:sz="8" w:color="auto"/>
            </w:tcBorders>
            <w:shd w:val="clear" w:color="auto" w:fill="E5E5E5"/>
          </w:tcPr>
          <w:p>
            <w:pPr>
              <w:spacing w:after="0"/>
              <w:rPr>
                <w:sz w:val="12"/>
                <w:szCs w:val="12"/>
                <w:color w:val="auto"/>
              </w:rPr>
            </w:pPr>
          </w:p>
        </w:tc>
        <w:tc>
          <w:tcPr>
            <w:tcW w:w="600" w:type="dxa"/>
            <w:vAlign w:val="bottom"/>
            <w:tcBorders>
              <w:top w:val="single" w:sz="8" w:color="auto"/>
            </w:tcBorders>
            <w:shd w:val="clear" w:color="auto" w:fill="E5E5E5"/>
          </w:tcPr>
          <w:p>
            <w:pPr>
              <w:spacing w:after="0"/>
              <w:rPr>
                <w:sz w:val="12"/>
                <w:szCs w:val="12"/>
                <w:color w:val="auto"/>
              </w:rPr>
            </w:pPr>
          </w:p>
        </w:tc>
        <w:tc>
          <w:tcPr>
            <w:tcW w:w="280" w:type="dxa"/>
            <w:vAlign w:val="bottom"/>
            <w:tcBorders>
              <w:top w:val="single" w:sz="8" w:color="auto"/>
            </w:tcBorders>
            <w:shd w:val="clear" w:color="auto" w:fill="E5E5E5"/>
          </w:tcPr>
          <w:p>
            <w:pPr>
              <w:spacing w:after="0"/>
              <w:rPr>
                <w:sz w:val="12"/>
                <w:szCs w:val="12"/>
                <w:color w:val="auto"/>
              </w:rPr>
            </w:pPr>
          </w:p>
        </w:tc>
        <w:tc>
          <w:tcPr>
            <w:tcW w:w="560" w:type="dxa"/>
            <w:vAlign w:val="bottom"/>
            <w:tcBorders>
              <w:top w:val="single" w:sz="8" w:color="auto"/>
            </w:tcBorders>
            <w:shd w:val="clear" w:color="auto" w:fill="E5E5E5"/>
          </w:tcPr>
          <w:p>
            <w:pPr>
              <w:spacing w:after="0"/>
              <w:rPr>
                <w:sz w:val="12"/>
                <w:szCs w:val="12"/>
                <w:color w:val="auto"/>
              </w:rPr>
            </w:pPr>
          </w:p>
        </w:tc>
        <w:tc>
          <w:tcPr>
            <w:tcW w:w="300" w:type="dxa"/>
            <w:vAlign w:val="bottom"/>
            <w:tcBorders>
              <w:top w:val="single" w:sz="8" w:color="auto"/>
            </w:tcBorders>
            <w:shd w:val="clear" w:color="auto" w:fill="E5E5E5"/>
          </w:tcPr>
          <w:p>
            <w:pPr>
              <w:spacing w:after="0"/>
              <w:rPr>
                <w:sz w:val="12"/>
                <w:szCs w:val="12"/>
                <w:color w:val="auto"/>
              </w:rPr>
            </w:pPr>
          </w:p>
        </w:tc>
        <w:tc>
          <w:tcPr>
            <w:tcW w:w="740" w:type="dxa"/>
            <w:vAlign w:val="bottom"/>
            <w:tcBorders>
              <w:top w:val="single" w:sz="8" w:color="auto"/>
            </w:tcBorders>
            <w:shd w:val="clear" w:color="auto" w:fill="E5E5E5"/>
          </w:tcPr>
          <w:p>
            <w:pPr>
              <w:spacing w:after="0"/>
              <w:rPr>
                <w:sz w:val="12"/>
                <w:szCs w:val="12"/>
                <w:color w:val="auto"/>
              </w:rPr>
            </w:pPr>
          </w:p>
        </w:tc>
        <w:tc>
          <w:tcPr>
            <w:tcW w:w="340" w:type="dxa"/>
            <w:vAlign w:val="bottom"/>
            <w:tcBorders>
              <w:top w:val="single" w:sz="8" w:color="auto"/>
            </w:tcBorders>
            <w:shd w:val="clear" w:color="auto" w:fill="E5E5E5"/>
          </w:tcPr>
          <w:p>
            <w:pPr>
              <w:spacing w:after="0"/>
              <w:rPr>
                <w:sz w:val="12"/>
                <w:szCs w:val="12"/>
                <w:color w:val="auto"/>
              </w:rPr>
            </w:pPr>
          </w:p>
        </w:tc>
        <w:tc>
          <w:tcPr>
            <w:tcW w:w="640" w:type="dxa"/>
            <w:vAlign w:val="bottom"/>
            <w:tcBorders>
              <w:top w:val="single" w:sz="8" w:color="auto"/>
            </w:tcBorders>
            <w:shd w:val="clear" w:color="auto" w:fill="E5E5E5"/>
          </w:tcPr>
          <w:p>
            <w:pPr>
              <w:spacing w:after="0"/>
              <w:rPr>
                <w:sz w:val="12"/>
                <w:szCs w:val="12"/>
                <w:color w:val="auto"/>
              </w:rPr>
            </w:pPr>
          </w:p>
        </w:tc>
        <w:tc>
          <w:tcPr>
            <w:tcW w:w="340" w:type="dxa"/>
            <w:vAlign w:val="bottom"/>
            <w:tcBorders>
              <w:top w:val="single" w:sz="8" w:color="auto"/>
            </w:tcBorders>
            <w:shd w:val="clear" w:color="auto" w:fill="E5E5E5"/>
          </w:tcPr>
          <w:p>
            <w:pPr>
              <w:spacing w:after="0"/>
              <w:rPr>
                <w:sz w:val="12"/>
                <w:szCs w:val="12"/>
                <w:color w:val="auto"/>
              </w:rPr>
            </w:pPr>
          </w:p>
        </w:tc>
        <w:tc>
          <w:tcPr>
            <w:tcW w:w="780" w:type="dxa"/>
            <w:vAlign w:val="bottom"/>
            <w:tcBorders>
              <w:top w:val="single" w:sz="8" w:color="auto"/>
            </w:tcBorders>
            <w:shd w:val="clear" w:color="auto" w:fill="E5E5E5"/>
          </w:tcPr>
          <w:p>
            <w:pPr>
              <w:spacing w:after="0"/>
              <w:rPr>
                <w:sz w:val="12"/>
                <w:szCs w:val="12"/>
                <w:color w:val="auto"/>
              </w:rPr>
            </w:pPr>
          </w:p>
        </w:tc>
        <w:tc>
          <w:tcPr>
            <w:tcW w:w="280" w:type="dxa"/>
            <w:vAlign w:val="bottom"/>
            <w:tcBorders>
              <w:top w:val="single" w:sz="8" w:color="auto"/>
            </w:tcBorders>
            <w:shd w:val="clear" w:color="auto" w:fill="E5E5E5"/>
          </w:tcPr>
          <w:p>
            <w:pPr>
              <w:spacing w:after="0"/>
              <w:rPr>
                <w:sz w:val="12"/>
                <w:szCs w:val="12"/>
                <w:color w:val="auto"/>
              </w:rPr>
            </w:pPr>
          </w:p>
        </w:tc>
        <w:tc>
          <w:tcPr>
            <w:tcW w:w="960" w:type="dxa"/>
            <w:vAlign w:val="bottom"/>
            <w:tcBorders>
              <w:top w:val="single" w:sz="8" w:color="auto"/>
            </w:tcBorders>
            <w:shd w:val="clear" w:color="auto" w:fill="E5E5E5"/>
          </w:tcPr>
          <w:p>
            <w:pPr>
              <w:spacing w:after="0"/>
              <w:rPr>
                <w:sz w:val="12"/>
                <w:szCs w:val="12"/>
                <w:color w:val="auto"/>
              </w:rPr>
            </w:pPr>
          </w:p>
        </w:tc>
        <w:tc>
          <w:tcPr>
            <w:tcW w:w="320" w:type="dxa"/>
            <w:vAlign w:val="bottom"/>
            <w:tcBorders>
              <w:top w:val="single" w:sz="8" w:color="auto"/>
            </w:tcBorders>
            <w:shd w:val="clear" w:color="auto" w:fill="E5E5E5"/>
          </w:tcPr>
          <w:p>
            <w:pPr>
              <w:spacing w:after="0"/>
              <w:rPr>
                <w:sz w:val="12"/>
                <w:szCs w:val="12"/>
                <w:color w:val="auto"/>
              </w:rPr>
            </w:pPr>
          </w:p>
        </w:tc>
        <w:tc>
          <w:tcPr>
            <w:tcW w:w="700" w:type="dxa"/>
            <w:vAlign w:val="bottom"/>
            <w:tcBorders>
              <w:top w:val="single" w:sz="8" w:color="auto"/>
            </w:tcBorders>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780" w:type="dxa"/>
            <w:vAlign w:val="bottom"/>
          </w:tcPr>
          <w:p>
            <w:pPr>
              <w:ind w:left="200"/>
              <w:spacing w:after="0" w:line="149" w:lineRule="exact"/>
              <w:rPr>
                <w:sz w:val="20"/>
                <w:szCs w:val="20"/>
                <w:color w:val="auto"/>
              </w:rPr>
            </w:pPr>
            <w:r>
              <w:rPr>
                <w:rFonts w:ascii="Arial" w:cs="Arial" w:eastAsia="Arial" w:hAnsi="Arial"/>
                <w:sz w:val="14"/>
                <w:szCs w:val="14"/>
                <w:color w:val="auto"/>
              </w:rPr>
              <w:t>Service revenue</w:t>
            </w:r>
          </w:p>
        </w:tc>
        <w:tc>
          <w:tcPr>
            <w:tcW w:w="780" w:type="dxa"/>
            <w:vAlign w:val="bottom"/>
          </w:tcPr>
          <w:p>
            <w:pPr>
              <w:ind w:left="66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ind w:left="22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ind w:left="22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14,339</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14,339</w:t>
            </w:r>
          </w:p>
        </w:tc>
      </w:tr>
      <w:tr>
        <w:trPr>
          <w:trHeight w:val="149"/>
        </w:trPr>
        <w:tc>
          <w:tcPr>
            <w:tcW w:w="20" w:type="dxa"/>
            <w:vAlign w:val="bottom"/>
          </w:tcPr>
          <w:p>
            <w:pPr>
              <w:spacing w:after="0"/>
              <w:rPr>
                <w:sz w:val="12"/>
                <w:szCs w:val="12"/>
                <w:color w:val="auto"/>
              </w:rPr>
            </w:pPr>
          </w:p>
        </w:tc>
        <w:tc>
          <w:tcPr>
            <w:tcW w:w="378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Management fee revenue</w:t>
            </w:r>
          </w:p>
        </w:tc>
        <w:tc>
          <w:tcPr>
            <w:tcW w:w="78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200</w:t>
            </w:r>
          </w:p>
        </w:tc>
        <w:tc>
          <w:tcPr>
            <w:tcW w:w="28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194</w:t>
            </w:r>
          </w:p>
        </w:tc>
        <w:tc>
          <w:tcPr>
            <w:tcW w:w="30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119</w:t>
            </w:r>
          </w:p>
        </w:tc>
        <w:tc>
          <w:tcPr>
            <w:tcW w:w="340" w:type="dxa"/>
            <w:vAlign w:val="bottom"/>
            <w:tcBorders>
              <w:bottom w:val="single" w:sz="8" w:color="auto"/>
            </w:tcBorders>
            <w:shd w:val="clear" w:color="auto" w:fill="E5E5E5"/>
          </w:tcPr>
          <w:p>
            <w:pPr>
              <w:spacing w:after="0"/>
              <w:rPr>
                <w:sz w:val="12"/>
                <w:szCs w:val="12"/>
                <w:color w:val="auto"/>
              </w:rPr>
            </w:pPr>
          </w:p>
        </w:tc>
        <w:tc>
          <w:tcPr>
            <w:tcW w:w="640" w:type="dxa"/>
            <w:vAlign w:val="bottom"/>
            <w:tcBorders>
              <w:bottom w:val="single" w:sz="8" w:color="auto"/>
            </w:tcBorders>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E5E5E5"/>
          </w:tcPr>
          <w:p>
            <w:pPr>
              <w:spacing w:after="0"/>
              <w:rPr>
                <w:sz w:val="12"/>
                <w:szCs w:val="12"/>
                <w:color w:val="auto"/>
              </w:rPr>
            </w:pPr>
          </w:p>
        </w:tc>
        <w:tc>
          <w:tcPr>
            <w:tcW w:w="780" w:type="dxa"/>
            <w:vAlign w:val="bottom"/>
            <w:tcBorders>
              <w:bottom w:val="single" w:sz="8" w:color="auto"/>
            </w:tcBorders>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E5E5E5"/>
          </w:tcPr>
          <w:p>
            <w:pPr>
              <w:spacing w:after="0"/>
              <w:rPr>
                <w:sz w:val="12"/>
                <w:szCs w:val="12"/>
                <w:color w:val="auto"/>
              </w:rPr>
            </w:pPr>
          </w:p>
        </w:tc>
        <w:tc>
          <w:tcPr>
            <w:tcW w:w="960" w:type="dxa"/>
            <w:vAlign w:val="bottom"/>
            <w:tcBorders>
              <w:bottom w:val="single" w:sz="8" w:color="auto"/>
            </w:tcBorders>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(513)</w:t>
            </w:r>
          </w:p>
        </w:tc>
        <w:tc>
          <w:tcPr>
            <w:tcW w:w="32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w:t>
            </w:r>
          </w:p>
        </w:tc>
      </w:tr>
      <w:tr>
        <w:trPr>
          <w:trHeight w:val="142"/>
        </w:trPr>
        <w:tc>
          <w:tcPr>
            <w:tcW w:w="20" w:type="dxa"/>
            <w:vAlign w:val="bottom"/>
          </w:tcPr>
          <w:p>
            <w:pPr>
              <w:spacing w:after="0"/>
              <w:rPr>
                <w:sz w:val="12"/>
                <w:szCs w:val="12"/>
                <w:color w:val="auto"/>
              </w:rPr>
            </w:pPr>
          </w:p>
        </w:tc>
        <w:tc>
          <w:tcPr>
            <w:tcW w:w="37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200</w:t>
            </w: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194</w:t>
            </w: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119</w:t>
            </w: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14,339</w:t>
            </w: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(513)</w:t>
            </w: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14,339</w:t>
            </w:r>
          </w:p>
        </w:tc>
      </w:tr>
      <w:tr>
        <w:trPr>
          <w:trHeight w:val="142"/>
        </w:trPr>
        <w:tc>
          <w:tcPr>
            <w:tcW w:w="20" w:type="dxa"/>
            <w:vAlign w:val="bottom"/>
          </w:tcPr>
          <w:p>
            <w:pPr>
              <w:spacing w:after="0"/>
              <w:rPr>
                <w:sz w:val="12"/>
                <w:szCs w:val="12"/>
                <w:color w:val="auto"/>
              </w:rPr>
            </w:pPr>
          </w:p>
        </w:tc>
        <w:tc>
          <w:tcPr>
            <w:tcW w:w="3780" w:type="dxa"/>
            <w:vAlign w:val="bottom"/>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Costs and Expenses:</w:t>
            </w:r>
          </w:p>
        </w:tc>
        <w:tc>
          <w:tcPr>
            <w:tcW w:w="78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56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74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64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960" w:type="dxa"/>
            <w:vAlign w:val="bottom"/>
            <w:shd w:val="clear" w:color="auto" w:fill="E5E5E5"/>
          </w:tcPr>
          <w:p>
            <w:pPr>
              <w:spacing w:after="0"/>
              <w:rPr>
                <w:sz w:val="12"/>
                <w:szCs w:val="12"/>
                <w:color w:val="auto"/>
              </w:rPr>
            </w:pPr>
          </w:p>
        </w:tc>
        <w:tc>
          <w:tcPr>
            <w:tcW w:w="32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780" w:type="dxa"/>
            <w:vAlign w:val="bottom"/>
          </w:tcPr>
          <w:p>
            <w:pPr>
              <w:ind w:left="200"/>
              <w:spacing w:after="0" w:line="149" w:lineRule="exact"/>
              <w:rPr>
                <w:sz w:val="20"/>
                <w:szCs w:val="20"/>
                <w:color w:val="auto"/>
              </w:rPr>
            </w:pPr>
            <w:r>
              <w:rPr>
                <w:rFonts w:ascii="Arial" w:cs="Arial" w:eastAsia="Arial" w:hAnsi="Arial"/>
                <w:sz w:val="14"/>
                <w:szCs w:val="14"/>
                <w:color w:val="auto"/>
              </w:rPr>
              <w:t>Operating costs and expenses</w:t>
            </w:r>
          </w:p>
        </w:tc>
        <w:tc>
          <w:tcPr>
            <w:tcW w:w="780" w:type="dxa"/>
            <w:vAlign w:val="bottom"/>
          </w:tcPr>
          <w:p>
            <w:pPr>
              <w:spacing w:after="0"/>
              <w:rPr>
                <w:sz w:val="12"/>
                <w:szCs w:val="12"/>
                <w:color w:val="auto"/>
              </w:rPr>
            </w:pPr>
          </w:p>
        </w:tc>
        <w:tc>
          <w:tcPr>
            <w:tcW w:w="6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84</w:t>
            </w:r>
          </w:p>
        </w:tc>
        <w:tc>
          <w:tcPr>
            <w:tcW w:w="280" w:type="dxa"/>
            <w:vAlign w:val="bottom"/>
          </w:tcPr>
          <w:p>
            <w:pPr>
              <w:spacing w:after="0"/>
              <w:rPr>
                <w:sz w:val="12"/>
                <w:szCs w:val="12"/>
                <w:color w:val="auto"/>
              </w:rPr>
            </w:pPr>
          </w:p>
        </w:tc>
        <w:tc>
          <w:tcPr>
            <w:tcW w:w="5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194</w:t>
            </w:r>
          </w:p>
        </w:tc>
        <w:tc>
          <w:tcPr>
            <w:tcW w:w="300" w:type="dxa"/>
            <w:vAlign w:val="bottom"/>
          </w:tcPr>
          <w:p>
            <w:pPr>
              <w:spacing w:after="0"/>
              <w:rPr>
                <w:sz w:val="12"/>
                <w:szCs w:val="12"/>
                <w:color w:val="auto"/>
              </w:rPr>
            </w:pPr>
          </w:p>
        </w:tc>
        <w:tc>
          <w:tcPr>
            <w:tcW w:w="7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119</w:t>
            </w:r>
          </w:p>
        </w:tc>
        <w:tc>
          <w:tcPr>
            <w:tcW w:w="340" w:type="dxa"/>
            <w:vAlign w:val="bottom"/>
          </w:tcPr>
          <w:p>
            <w:pPr>
              <w:spacing w:after="0"/>
              <w:rPr>
                <w:sz w:val="12"/>
                <w:szCs w:val="12"/>
                <w:color w:val="auto"/>
              </w:rPr>
            </w:pPr>
          </w:p>
        </w:tc>
        <w:tc>
          <w:tcPr>
            <w:tcW w:w="6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7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9,881</w:t>
            </w:r>
          </w:p>
        </w:tc>
        <w:tc>
          <w:tcPr>
            <w:tcW w:w="280" w:type="dxa"/>
            <w:vAlign w:val="bottom"/>
          </w:tcPr>
          <w:p>
            <w:pPr>
              <w:spacing w:after="0"/>
              <w:rPr>
                <w:sz w:val="12"/>
                <w:szCs w:val="12"/>
                <w:color w:val="auto"/>
              </w:rPr>
            </w:pPr>
          </w:p>
        </w:tc>
        <w:tc>
          <w:tcPr>
            <w:tcW w:w="9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(513)</w:t>
            </w:r>
          </w:p>
        </w:tc>
        <w:tc>
          <w:tcPr>
            <w:tcW w:w="32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9,765</w:t>
            </w:r>
          </w:p>
        </w:tc>
      </w:tr>
      <w:tr>
        <w:trPr>
          <w:trHeight w:val="149"/>
        </w:trPr>
        <w:tc>
          <w:tcPr>
            <w:tcW w:w="20" w:type="dxa"/>
            <w:vAlign w:val="bottom"/>
          </w:tcPr>
          <w:p>
            <w:pPr>
              <w:spacing w:after="0"/>
              <w:rPr>
                <w:sz w:val="12"/>
                <w:szCs w:val="12"/>
                <w:color w:val="auto"/>
              </w:rPr>
            </w:pPr>
          </w:p>
        </w:tc>
        <w:tc>
          <w:tcPr>
            <w:tcW w:w="378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Depreciation</w:t>
            </w:r>
          </w:p>
        </w:tc>
        <w:tc>
          <w:tcPr>
            <w:tcW w:w="78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8</w:t>
            </w:r>
          </w:p>
        </w:tc>
        <w:tc>
          <w:tcPr>
            <w:tcW w:w="28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1,532</w:t>
            </w:r>
          </w:p>
        </w:tc>
        <w:tc>
          <w:tcPr>
            <w:tcW w:w="28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1,540</w:t>
            </w:r>
          </w:p>
        </w:tc>
      </w:tr>
      <w:tr>
        <w:trPr>
          <w:trHeight w:val="149"/>
        </w:trPr>
        <w:tc>
          <w:tcPr>
            <w:tcW w:w="20" w:type="dxa"/>
            <w:vAlign w:val="bottom"/>
          </w:tcPr>
          <w:p>
            <w:pPr>
              <w:spacing w:after="0"/>
              <w:rPr>
                <w:sz w:val="12"/>
                <w:szCs w:val="12"/>
                <w:color w:val="auto"/>
              </w:rPr>
            </w:pPr>
          </w:p>
        </w:tc>
        <w:tc>
          <w:tcPr>
            <w:tcW w:w="378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Amortization</w:t>
            </w:r>
          </w:p>
        </w:tc>
        <w:tc>
          <w:tcPr>
            <w:tcW w:w="7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393</w:t>
            </w: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393</w:t>
            </w:r>
          </w:p>
        </w:tc>
      </w:tr>
      <w:tr>
        <w:trPr>
          <w:trHeight w:val="142"/>
        </w:trPr>
        <w:tc>
          <w:tcPr>
            <w:tcW w:w="20" w:type="dxa"/>
            <w:vAlign w:val="bottom"/>
          </w:tcPr>
          <w:p>
            <w:pPr>
              <w:spacing w:after="0"/>
              <w:rPr>
                <w:sz w:val="12"/>
                <w:szCs w:val="12"/>
                <w:color w:val="auto"/>
              </w:rPr>
            </w:pPr>
          </w:p>
        </w:tc>
        <w:tc>
          <w:tcPr>
            <w:tcW w:w="3780" w:type="dxa"/>
            <w:vAlign w:val="bottom"/>
            <w:tcBorders>
              <w:bottom w:val="single" w:sz="8" w:color="auto"/>
            </w:tcBorders>
            <w:shd w:val="clear" w:color="auto" w:fill="E5E5E5"/>
          </w:tcPr>
          <w:p>
            <w:pPr>
              <w:spacing w:after="0"/>
              <w:rPr>
                <w:sz w:val="12"/>
                <w:szCs w:val="12"/>
                <w:color w:val="auto"/>
              </w:rPr>
            </w:pPr>
          </w:p>
        </w:tc>
        <w:tc>
          <w:tcPr>
            <w:tcW w:w="78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92</w:t>
            </w:r>
          </w:p>
        </w:tc>
        <w:tc>
          <w:tcPr>
            <w:tcW w:w="28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194</w:t>
            </w:r>
          </w:p>
        </w:tc>
        <w:tc>
          <w:tcPr>
            <w:tcW w:w="30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119</w:t>
            </w:r>
          </w:p>
        </w:tc>
        <w:tc>
          <w:tcPr>
            <w:tcW w:w="340" w:type="dxa"/>
            <w:vAlign w:val="bottom"/>
            <w:tcBorders>
              <w:bottom w:val="single" w:sz="8" w:color="auto"/>
            </w:tcBorders>
            <w:shd w:val="clear" w:color="auto" w:fill="E5E5E5"/>
          </w:tcPr>
          <w:p>
            <w:pPr>
              <w:spacing w:after="0"/>
              <w:rPr>
                <w:sz w:val="12"/>
                <w:szCs w:val="12"/>
                <w:color w:val="auto"/>
              </w:rPr>
            </w:pPr>
          </w:p>
        </w:tc>
        <w:tc>
          <w:tcPr>
            <w:tcW w:w="640" w:type="dxa"/>
            <w:vAlign w:val="bottom"/>
            <w:tcBorders>
              <w:bottom w:val="single" w:sz="8" w:color="auto"/>
            </w:tcBorders>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E5E5E5"/>
          </w:tcPr>
          <w:p>
            <w:pPr>
              <w:spacing w:after="0"/>
              <w:rPr>
                <w:sz w:val="12"/>
                <w:szCs w:val="12"/>
                <w:color w:val="auto"/>
              </w:rPr>
            </w:pPr>
          </w:p>
        </w:tc>
        <w:tc>
          <w:tcPr>
            <w:tcW w:w="780" w:type="dxa"/>
            <w:vAlign w:val="bottom"/>
            <w:tcBorders>
              <w:bottom w:val="single" w:sz="8" w:color="auto"/>
            </w:tcBorders>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11,806</w:t>
            </w:r>
          </w:p>
        </w:tc>
        <w:tc>
          <w:tcPr>
            <w:tcW w:w="280" w:type="dxa"/>
            <w:vAlign w:val="bottom"/>
            <w:tcBorders>
              <w:bottom w:val="single" w:sz="8" w:color="auto"/>
            </w:tcBorders>
            <w:shd w:val="clear" w:color="auto" w:fill="E5E5E5"/>
          </w:tcPr>
          <w:p>
            <w:pPr>
              <w:spacing w:after="0"/>
              <w:rPr>
                <w:sz w:val="12"/>
                <w:szCs w:val="12"/>
                <w:color w:val="auto"/>
              </w:rPr>
            </w:pPr>
          </w:p>
        </w:tc>
        <w:tc>
          <w:tcPr>
            <w:tcW w:w="960" w:type="dxa"/>
            <w:vAlign w:val="bottom"/>
            <w:tcBorders>
              <w:bottom w:val="single" w:sz="8" w:color="auto"/>
            </w:tcBorders>
            <w:shd w:val="clear" w:color="auto" w:fill="E5E5E5"/>
          </w:tcPr>
          <w:p>
            <w:pPr>
              <w:jc w:val="right"/>
              <w:ind w:right="132"/>
              <w:spacing w:after="0" w:line="142" w:lineRule="exact"/>
              <w:rPr>
                <w:sz w:val="20"/>
                <w:szCs w:val="20"/>
                <w:color w:val="auto"/>
              </w:rPr>
            </w:pPr>
            <w:r>
              <w:rPr>
                <w:rFonts w:ascii="Arial" w:cs="Arial" w:eastAsia="Arial" w:hAnsi="Arial"/>
                <w:sz w:val="14"/>
                <w:szCs w:val="14"/>
                <w:color w:val="auto"/>
              </w:rPr>
              <w:t>(513)</w:t>
            </w:r>
          </w:p>
        </w:tc>
        <w:tc>
          <w:tcPr>
            <w:tcW w:w="32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11,698</w:t>
            </w:r>
          </w:p>
        </w:tc>
      </w:tr>
      <w:tr>
        <w:trPr>
          <w:trHeight w:val="142"/>
        </w:trPr>
        <w:tc>
          <w:tcPr>
            <w:tcW w:w="20" w:type="dxa"/>
            <w:vAlign w:val="bottom"/>
          </w:tcPr>
          <w:p>
            <w:pPr>
              <w:spacing w:after="0"/>
              <w:rPr>
                <w:sz w:val="12"/>
                <w:szCs w:val="12"/>
                <w:color w:val="auto"/>
              </w:rPr>
            </w:pPr>
          </w:p>
        </w:tc>
        <w:tc>
          <w:tcPr>
            <w:tcW w:w="3780" w:type="dxa"/>
            <w:vAlign w:val="bottom"/>
          </w:tcPr>
          <w:p>
            <w:pPr>
              <w:spacing w:after="0" w:line="142" w:lineRule="exact"/>
              <w:rPr>
                <w:sz w:val="20"/>
                <w:szCs w:val="20"/>
                <w:color w:val="auto"/>
              </w:rPr>
            </w:pPr>
            <w:r>
              <w:rPr>
                <w:rFonts w:ascii="Arial" w:cs="Arial" w:eastAsia="Arial" w:hAnsi="Arial"/>
                <w:sz w:val="14"/>
                <w:szCs w:val="14"/>
                <w:b w:val="1"/>
                <w:bCs w:val="1"/>
                <w:color w:val="auto"/>
              </w:rPr>
              <w:t>Operating income (loss)</w:t>
            </w:r>
          </w:p>
        </w:tc>
        <w:tc>
          <w:tcPr>
            <w:tcW w:w="780" w:type="dxa"/>
            <w:vAlign w:val="bottom"/>
          </w:tcPr>
          <w:p>
            <w:pPr>
              <w:spacing w:after="0"/>
              <w:rPr>
                <w:sz w:val="12"/>
                <w:szCs w:val="12"/>
                <w:color w:val="auto"/>
              </w:rPr>
            </w:pPr>
          </w:p>
        </w:tc>
        <w:tc>
          <w:tcPr>
            <w:tcW w:w="600" w:type="dxa"/>
            <w:vAlign w:val="bottom"/>
          </w:tcPr>
          <w:p>
            <w:pPr>
              <w:jc w:val="right"/>
              <w:ind w:right="172"/>
              <w:spacing w:after="0" w:line="142" w:lineRule="exact"/>
              <w:rPr>
                <w:sz w:val="20"/>
                <w:szCs w:val="20"/>
                <w:color w:val="auto"/>
              </w:rPr>
            </w:pPr>
            <w:r>
              <w:rPr>
                <w:rFonts w:ascii="Arial" w:cs="Arial" w:eastAsia="Arial" w:hAnsi="Arial"/>
                <w:sz w:val="14"/>
                <w:szCs w:val="14"/>
                <w:color w:val="auto"/>
              </w:rPr>
              <w:t>108</w:t>
            </w:r>
          </w:p>
        </w:tc>
        <w:tc>
          <w:tcPr>
            <w:tcW w:w="280" w:type="dxa"/>
            <w:vAlign w:val="bottom"/>
          </w:tcPr>
          <w:p>
            <w:pPr>
              <w:spacing w:after="0"/>
              <w:rPr>
                <w:sz w:val="12"/>
                <w:szCs w:val="12"/>
                <w:color w:val="auto"/>
              </w:rPr>
            </w:pPr>
          </w:p>
        </w:tc>
        <w:tc>
          <w:tcPr>
            <w:tcW w:w="56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74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64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780" w:type="dxa"/>
            <w:vAlign w:val="bottom"/>
          </w:tcPr>
          <w:p>
            <w:pPr>
              <w:jc w:val="right"/>
              <w:ind w:right="192"/>
              <w:spacing w:after="0" w:line="142" w:lineRule="exact"/>
              <w:rPr>
                <w:sz w:val="20"/>
                <w:szCs w:val="20"/>
                <w:color w:val="auto"/>
              </w:rPr>
            </w:pPr>
            <w:r>
              <w:rPr>
                <w:rFonts w:ascii="Arial" w:cs="Arial" w:eastAsia="Arial" w:hAnsi="Arial"/>
                <w:sz w:val="14"/>
                <w:szCs w:val="14"/>
                <w:color w:val="auto"/>
              </w:rPr>
              <w:t>2,533</w:t>
            </w:r>
          </w:p>
        </w:tc>
        <w:tc>
          <w:tcPr>
            <w:tcW w:w="280" w:type="dxa"/>
            <w:vAlign w:val="bottom"/>
          </w:tcPr>
          <w:p>
            <w:pPr>
              <w:spacing w:after="0"/>
              <w:rPr>
                <w:sz w:val="12"/>
                <w:szCs w:val="12"/>
                <w:color w:val="auto"/>
              </w:rPr>
            </w:pPr>
          </w:p>
        </w:tc>
        <w:tc>
          <w:tcPr>
            <w:tcW w:w="96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700" w:type="dxa"/>
            <w:vAlign w:val="bottom"/>
          </w:tcPr>
          <w:p>
            <w:pPr>
              <w:jc w:val="right"/>
              <w:ind w:right="12"/>
              <w:spacing w:after="0" w:line="142" w:lineRule="exact"/>
              <w:rPr>
                <w:sz w:val="20"/>
                <w:szCs w:val="20"/>
                <w:color w:val="auto"/>
              </w:rPr>
            </w:pPr>
            <w:r>
              <w:rPr>
                <w:rFonts w:ascii="Arial" w:cs="Arial" w:eastAsia="Arial" w:hAnsi="Arial"/>
                <w:sz w:val="14"/>
                <w:szCs w:val="14"/>
                <w:color w:val="auto"/>
              </w:rPr>
              <w:t>2,641</w:t>
            </w:r>
          </w:p>
        </w:tc>
      </w:tr>
      <w:tr>
        <w:trPr>
          <w:trHeight w:val="149"/>
        </w:trPr>
        <w:tc>
          <w:tcPr>
            <w:tcW w:w="20" w:type="dxa"/>
            <w:vAlign w:val="bottom"/>
          </w:tcPr>
          <w:p>
            <w:pPr>
              <w:spacing w:after="0"/>
              <w:rPr>
                <w:sz w:val="12"/>
                <w:szCs w:val="12"/>
                <w:color w:val="auto"/>
              </w:rPr>
            </w:pPr>
          </w:p>
        </w:tc>
        <w:tc>
          <w:tcPr>
            <w:tcW w:w="378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Other Income (Expense):</w:t>
            </w:r>
          </w:p>
        </w:tc>
        <w:tc>
          <w:tcPr>
            <w:tcW w:w="78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56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74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64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960" w:type="dxa"/>
            <w:vAlign w:val="bottom"/>
            <w:shd w:val="clear" w:color="auto" w:fill="E5E5E5"/>
          </w:tcPr>
          <w:p>
            <w:pPr>
              <w:spacing w:after="0"/>
              <w:rPr>
                <w:sz w:val="12"/>
                <w:szCs w:val="12"/>
                <w:color w:val="auto"/>
              </w:rPr>
            </w:pPr>
          </w:p>
        </w:tc>
        <w:tc>
          <w:tcPr>
            <w:tcW w:w="32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780" w:type="dxa"/>
            <w:vAlign w:val="bottom"/>
          </w:tcPr>
          <w:p>
            <w:pPr>
              <w:ind w:left="200"/>
              <w:spacing w:after="0" w:line="149" w:lineRule="exact"/>
              <w:rPr>
                <w:sz w:val="20"/>
                <w:szCs w:val="20"/>
                <w:color w:val="auto"/>
              </w:rPr>
            </w:pPr>
            <w:r>
              <w:rPr>
                <w:rFonts w:ascii="Arial" w:cs="Arial" w:eastAsia="Arial" w:hAnsi="Arial"/>
                <w:sz w:val="14"/>
                <w:szCs w:val="14"/>
                <w:color w:val="auto"/>
              </w:rPr>
              <w:t>Interest expense</w:t>
            </w:r>
          </w:p>
        </w:tc>
        <w:tc>
          <w:tcPr>
            <w:tcW w:w="780" w:type="dxa"/>
            <w:vAlign w:val="bottom"/>
          </w:tcPr>
          <w:p>
            <w:pPr>
              <w:spacing w:after="0"/>
              <w:rPr>
                <w:sz w:val="12"/>
                <w:szCs w:val="12"/>
                <w:color w:val="auto"/>
              </w:rPr>
            </w:pPr>
          </w:p>
        </w:tc>
        <w:tc>
          <w:tcPr>
            <w:tcW w:w="6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(358)</w:t>
            </w:r>
          </w:p>
        </w:tc>
        <w:tc>
          <w:tcPr>
            <w:tcW w:w="280" w:type="dxa"/>
            <w:vAlign w:val="bottom"/>
          </w:tcPr>
          <w:p>
            <w:pPr>
              <w:spacing w:after="0"/>
              <w:rPr>
                <w:sz w:val="12"/>
                <w:szCs w:val="12"/>
                <w:color w:val="auto"/>
              </w:rPr>
            </w:pP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(82)</w:t>
            </w:r>
          </w:p>
        </w:tc>
        <w:tc>
          <w:tcPr>
            <w:tcW w:w="300" w:type="dxa"/>
            <w:vAlign w:val="bottom"/>
          </w:tcPr>
          <w:p>
            <w:pPr>
              <w:spacing w:after="0"/>
              <w:rPr>
                <w:sz w:val="12"/>
                <w:szCs w:val="12"/>
                <w:color w:val="auto"/>
              </w:rPr>
            </w:pPr>
          </w:p>
        </w:tc>
        <w:tc>
          <w:tcPr>
            <w:tcW w:w="7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(43)</w:t>
            </w:r>
          </w:p>
        </w:tc>
        <w:tc>
          <w:tcPr>
            <w:tcW w:w="340" w:type="dxa"/>
            <w:vAlign w:val="bottom"/>
          </w:tcPr>
          <w:p>
            <w:pPr>
              <w:spacing w:after="0"/>
              <w:rPr>
                <w:sz w:val="12"/>
                <w:szCs w:val="12"/>
                <w:color w:val="auto"/>
              </w:rPr>
            </w:pPr>
          </w:p>
        </w:tc>
        <w:tc>
          <w:tcPr>
            <w:tcW w:w="6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(8)</w:t>
            </w:r>
          </w:p>
        </w:tc>
        <w:tc>
          <w:tcPr>
            <w:tcW w:w="340" w:type="dxa"/>
            <w:vAlign w:val="bottom"/>
          </w:tcPr>
          <w:p>
            <w:pPr>
              <w:spacing w:after="0"/>
              <w:rPr>
                <w:sz w:val="12"/>
                <w:szCs w:val="12"/>
                <w:color w:val="auto"/>
              </w:rPr>
            </w:pPr>
          </w:p>
        </w:tc>
        <w:tc>
          <w:tcPr>
            <w:tcW w:w="7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(146)</w:t>
            </w:r>
          </w:p>
        </w:tc>
        <w:tc>
          <w:tcPr>
            <w:tcW w:w="280" w:type="dxa"/>
            <w:vAlign w:val="bottom"/>
          </w:tcPr>
          <w:p>
            <w:pPr>
              <w:spacing w:after="0"/>
              <w:rPr>
                <w:sz w:val="12"/>
                <w:szCs w:val="12"/>
                <w:color w:val="auto"/>
              </w:rPr>
            </w:pPr>
          </w:p>
        </w:tc>
        <w:tc>
          <w:tcPr>
            <w:tcW w:w="9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(637)</w:t>
            </w:r>
          </w:p>
        </w:tc>
      </w:tr>
      <w:tr>
        <w:trPr>
          <w:trHeight w:val="149"/>
        </w:trPr>
        <w:tc>
          <w:tcPr>
            <w:tcW w:w="20" w:type="dxa"/>
            <w:vAlign w:val="bottom"/>
          </w:tcPr>
          <w:p>
            <w:pPr>
              <w:spacing w:after="0"/>
              <w:rPr>
                <w:sz w:val="12"/>
                <w:szCs w:val="12"/>
                <w:color w:val="auto"/>
              </w:rPr>
            </w:pPr>
          </w:p>
        </w:tc>
        <w:tc>
          <w:tcPr>
            <w:tcW w:w="378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Investment income (loss), net</w:t>
            </w:r>
          </w:p>
        </w:tc>
        <w:tc>
          <w:tcPr>
            <w:tcW w:w="78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1</w:t>
            </w:r>
          </w:p>
        </w:tc>
        <w:tc>
          <w:tcPr>
            <w:tcW w:w="28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(5)</w:t>
            </w:r>
          </w:p>
        </w:tc>
        <w:tc>
          <w:tcPr>
            <w:tcW w:w="34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(143)</w:t>
            </w:r>
          </w:p>
        </w:tc>
        <w:tc>
          <w:tcPr>
            <w:tcW w:w="28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(147)</w:t>
            </w:r>
          </w:p>
        </w:tc>
      </w:tr>
      <w:tr>
        <w:trPr>
          <w:trHeight w:val="149"/>
        </w:trPr>
        <w:tc>
          <w:tcPr>
            <w:tcW w:w="20" w:type="dxa"/>
            <w:vAlign w:val="bottom"/>
          </w:tcPr>
          <w:p>
            <w:pPr>
              <w:spacing w:after="0"/>
              <w:rPr>
                <w:sz w:val="12"/>
                <w:szCs w:val="12"/>
                <w:color w:val="auto"/>
              </w:rPr>
            </w:pPr>
          </w:p>
        </w:tc>
        <w:tc>
          <w:tcPr>
            <w:tcW w:w="3780" w:type="dxa"/>
            <w:vAlign w:val="bottom"/>
          </w:tcPr>
          <w:p>
            <w:pPr>
              <w:ind w:left="200"/>
              <w:spacing w:after="0" w:line="149" w:lineRule="exact"/>
              <w:rPr>
                <w:sz w:val="20"/>
                <w:szCs w:val="20"/>
                <w:color w:val="auto"/>
              </w:rPr>
            </w:pPr>
            <w:r>
              <w:rPr>
                <w:rFonts w:ascii="Arial" w:cs="Arial" w:eastAsia="Arial" w:hAnsi="Arial"/>
                <w:sz w:val="14"/>
                <w:szCs w:val="14"/>
                <w:color w:val="auto"/>
              </w:rPr>
              <w:t>Equity in net income (losses) of investees, net</w:t>
            </w:r>
          </w:p>
        </w:tc>
        <w:tc>
          <w:tcPr>
            <w:tcW w:w="780" w:type="dxa"/>
            <w:vAlign w:val="bottom"/>
          </w:tcPr>
          <w:p>
            <w:pPr>
              <w:spacing w:after="0"/>
              <w:rPr>
                <w:sz w:val="12"/>
                <w:szCs w:val="12"/>
                <w:color w:val="auto"/>
              </w:rPr>
            </w:pPr>
          </w:p>
        </w:tc>
        <w:tc>
          <w:tcPr>
            <w:tcW w:w="600" w:type="dxa"/>
            <w:vAlign w:val="bottom"/>
          </w:tcPr>
          <w:p>
            <w:pPr>
              <w:jc w:val="right"/>
              <w:ind w:right="172"/>
              <w:spacing w:after="0" w:line="149" w:lineRule="exact"/>
              <w:rPr>
                <w:sz w:val="20"/>
                <w:szCs w:val="20"/>
                <w:color w:val="auto"/>
              </w:rPr>
            </w:pPr>
            <w:r>
              <w:rPr>
                <w:rFonts w:ascii="Arial" w:cs="Arial" w:eastAsia="Arial" w:hAnsi="Arial"/>
                <w:sz w:val="14"/>
                <w:szCs w:val="14"/>
                <w:color w:val="auto"/>
                <w:w w:val="96"/>
              </w:rPr>
              <w:t>1,072</w:t>
            </w:r>
          </w:p>
        </w:tc>
        <w:tc>
          <w:tcPr>
            <w:tcW w:w="280" w:type="dxa"/>
            <w:vAlign w:val="bottom"/>
          </w:tcPr>
          <w:p>
            <w:pPr>
              <w:spacing w:after="0"/>
              <w:rPr>
                <w:sz w:val="12"/>
                <w:szCs w:val="12"/>
                <w:color w:val="auto"/>
              </w:rPr>
            </w:pPr>
          </w:p>
        </w:tc>
        <w:tc>
          <w:tcPr>
            <w:tcW w:w="560" w:type="dxa"/>
            <w:vAlign w:val="bottom"/>
          </w:tcPr>
          <w:p>
            <w:pPr>
              <w:jc w:val="right"/>
              <w:ind w:right="172"/>
              <w:spacing w:after="0" w:line="149" w:lineRule="exact"/>
              <w:rPr>
                <w:sz w:val="20"/>
                <w:szCs w:val="20"/>
                <w:color w:val="auto"/>
              </w:rPr>
            </w:pPr>
            <w:r>
              <w:rPr>
                <w:rFonts w:ascii="Arial" w:cs="Arial" w:eastAsia="Arial" w:hAnsi="Arial"/>
                <w:sz w:val="14"/>
                <w:szCs w:val="14"/>
                <w:color w:val="auto"/>
                <w:w w:val="85"/>
              </w:rPr>
              <w:t>1,369</w:t>
            </w:r>
          </w:p>
        </w:tc>
        <w:tc>
          <w:tcPr>
            <w:tcW w:w="300" w:type="dxa"/>
            <w:vAlign w:val="bottom"/>
          </w:tcPr>
          <w:p>
            <w:pPr>
              <w:spacing w:after="0"/>
              <w:rPr>
                <w:sz w:val="12"/>
                <w:szCs w:val="12"/>
                <w:color w:val="auto"/>
              </w:rPr>
            </w:pPr>
          </w:p>
        </w:tc>
        <w:tc>
          <w:tcPr>
            <w:tcW w:w="7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787</w:t>
            </w:r>
          </w:p>
        </w:tc>
        <w:tc>
          <w:tcPr>
            <w:tcW w:w="340" w:type="dxa"/>
            <w:vAlign w:val="bottom"/>
          </w:tcPr>
          <w:p>
            <w:pPr>
              <w:spacing w:after="0"/>
              <w:rPr>
                <w:sz w:val="12"/>
                <w:szCs w:val="12"/>
                <w:color w:val="auto"/>
              </w:rPr>
            </w:pPr>
          </w:p>
        </w:tc>
        <w:tc>
          <w:tcPr>
            <w:tcW w:w="6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1,338</w:t>
            </w:r>
          </w:p>
        </w:tc>
        <w:tc>
          <w:tcPr>
            <w:tcW w:w="340" w:type="dxa"/>
            <w:vAlign w:val="bottom"/>
          </w:tcPr>
          <w:p>
            <w:pPr>
              <w:spacing w:after="0"/>
              <w:rPr>
                <w:sz w:val="12"/>
                <w:szCs w:val="12"/>
                <w:color w:val="auto"/>
              </w:rPr>
            </w:pPr>
          </w:p>
        </w:tc>
        <w:tc>
          <w:tcPr>
            <w:tcW w:w="7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(40)</w:t>
            </w:r>
          </w:p>
        </w:tc>
        <w:tc>
          <w:tcPr>
            <w:tcW w:w="280" w:type="dxa"/>
            <w:vAlign w:val="bottom"/>
          </w:tcPr>
          <w:p>
            <w:pPr>
              <w:spacing w:after="0"/>
              <w:rPr>
                <w:sz w:val="12"/>
                <w:szCs w:val="12"/>
                <w:color w:val="auto"/>
              </w:rPr>
            </w:pPr>
          </w:p>
        </w:tc>
        <w:tc>
          <w:tcPr>
            <w:tcW w:w="9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(4,566)</w:t>
            </w:r>
          </w:p>
        </w:tc>
        <w:tc>
          <w:tcPr>
            <w:tcW w:w="3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r>
      <w:tr>
        <w:trPr>
          <w:trHeight w:val="149"/>
        </w:trPr>
        <w:tc>
          <w:tcPr>
            <w:tcW w:w="20" w:type="dxa"/>
            <w:vAlign w:val="bottom"/>
          </w:tcPr>
          <w:p>
            <w:pPr>
              <w:spacing w:after="0"/>
              <w:rPr>
                <w:sz w:val="12"/>
                <w:szCs w:val="12"/>
                <w:color w:val="auto"/>
              </w:rPr>
            </w:pPr>
          </w:p>
        </w:tc>
        <w:tc>
          <w:tcPr>
            <w:tcW w:w="378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Other income (expense), net</w:t>
            </w:r>
          </w:p>
        </w:tc>
        <w:tc>
          <w:tcPr>
            <w:tcW w:w="78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(3)</w:t>
            </w:r>
          </w:p>
        </w:tc>
        <w:tc>
          <w:tcPr>
            <w:tcW w:w="28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E5E5E5"/>
          </w:tcPr>
          <w:p>
            <w:pPr>
              <w:spacing w:after="0"/>
              <w:rPr>
                <w:sz w:val="12"/>
                <w:szCs w:val="12"/>
                <w:color w:val="auto"/>
              </w:rPr>
            </w:pPr>
          </w:p>
        </w:tc>
        <w:tc>
          <w:tcPr>
            <w:tcW w:w="640" w:type="dxa"/>
            <w:vAlign w:val="bottom"/>
            <w:tcBorders>
              <w:bottom w:val="single" w:sz="8" w:color="auto"/>
            </w:tcBorders>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E5E5E5"/>
          </w:tcPr>
          <w:p>
            <w:pPr>
              <w:spacing w:after="0"/>
              <w:rPr>
                <w:sz w:val="12"/>
                <w:szCs w:val="12"/>
                <w:color w:val="auto"/>
              </w:rPr>
            </w:pPr>
          </w:p>
        </w:tc>
        <w:tc>
          <w:tcPr>
            <w:tcW w:w="780" w:type="dxa"/>
            <w:vAlign w:val="bottom"/>
            <w:tcBorders>
              <w:bottom w:val="single" w:sz="8" w:color="auto"/>
            </w:tcBorders>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(9)</w:t>
            </w:r>
          </w:p>
        </w:tc>
        <w:tc>
          <w:tcPr>
            <w:tcW w:w="280" w:type="dxa"/>
            <w:vAlign w:val="bottom"/>
            <w:tcBorders>
              <w:bottom w:val="single" w:sz="8" w:color="auto"/>
            </w:tcBorders>
            <w:shd w:val="clear" w:color="auto" w:fill="E5E5E5"/>
          </w:tcPr>
          <w:p>
            <w:pPr>
              <w:spacing w:after="0"/>
              <w:rPr>
                <w:sz w:val="12"/>
                <w:szCs w:val="12"/>
                <w:color w:val="auto"/>
              </w:rPr>
            </w:pPr>
          </w:p>
        </w:tc>
        <w:tc>
          <w:tcPr>
            <w:tcW w:w="96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(12)</w:t>
            </w:r>
          </w:p>
        </w:tc>
      </w:tr>
      <w:tr>
        <w:trPr>
          <w:trHeight w:val="142"/>
        </w:trPr>
        <w:tc>
          <w:tcPr>
            <w:tcW w:w="20" w:type="dxa"/>
            <w:vAlign w:val="bottom"/>
          </w:tcPr>
          <w:p>
            <w:pPr>
              <w:spacing w:after="0"/>
              <w:rPr>
                <w:sz w:val="12"/>
                <w:szCs w:val="12"/>
                <w:color w:val="auto"/>
              </w:rPr>
            </w:pPr>
          </w:p>
        </w:tc>
        <w:tc>
          <w:tcPr>
            <w:tcW w:w="37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712</w:t>
            </w: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w w:val="85"/>
              </w:rPr>
              <w:t>1,287</w:t>
            </w: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744</w:t>
            </w: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1,325</w:t>
            </w: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(338)</w:t>
            </w: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(4,566)</w:t>
            </w: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(836)</w:t>
            </w:r>
          </w:p>
        </w:tc>
      </w:tr>
      <w:tr>
        <w:trPr>
          <w:trHeight w:val="142"/>
        </w:trPr>
        <w:tc>
          <w:tcPr>
            <w:tcW w:w="20" w:type="dxa"/>
            <w:vAlign w:val="bottom"/>
          </w:tcPr>
          <w:p>
            <w:pPr>
              <w:spacing w:after="0"/>
              <w:rPr>
                <w:sz w:val="12"/>
                <w:szCs w:val="12"/>
                <w:color w:val="auto"/>
              </w:rPr>
            </w:pPr>
          </w:p>
        </w:tc>
        <w:tc>
          <w:tcPr>
            <w:tcW w:w="378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Income (loss) before income taxes</w:t>
            </w:r>
          </w:p>
        </w:tc>
        <w:tc>
          <w:tcPr>
            <w:tcW w:w="78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820</w:t>
            </w:r>
          </w:p>
        </w:tc>
        <w:tc>
          <w:tcPr>
            <w:tcW w:w="28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w w:val="85"/>
              </w:rPr>
              <w:t>1,287</w:t>
            </w:r>
          </w:p>
        </w:tc>
        <w:tc>
          <w:tcPr>
            <w:tcW w:w="30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744</w:t>
            </w:r>
          </w:p>
        </w:tc>
        <w:tc>
          <w:tcPr>
            <w:tcW w:w="34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1,325</w:t>
            </w:r>
          </w:p>
        </w:tc>
        <w:tc>
          <w:tcPr>
            <w:tcW w:w="34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2,195</w:t>
            </w:r>
          </w:p>
        </w:tc>
        <w:tc>
          <w:tcPr>
            <w:tcW w:w="28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32"/>
              <w:spacing w:after="0" w:line="142" w:lineRule="exact"/>
              <w:rPr>
                <w:sz w:val="20"/>
                <w:szCs w:val="20"/>
                <w:color w:val="auto"/>
              </w:rPr>
            </w:pPr>
            <w:r>
              <w:rPr>
                <w:rFonts w:ascii="Arial" w:cs="Arial" w:eastAsia="Arial" w:hAnsi="Arial"/>
                <w:sz w:val="14"/>
                <w:szCs w:val="14"/>
                <w:color w:val="auto"/>
              </w:rPr>
              <w:t>(4,566)</w:t>
            </w:r>
          </w:p>
        </w:tc>
        <w:tc>
          <w:tcPr>
            <w:tcW w:w="32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1,805</w:t>
            </w:r>
          </w:p>
        </w:tc>
      </w:tr>
      <w:tr>
        <w:trPr>
          <w:trHeight w:val="149"/>
        </w:trPr>
        <w:tc>
          <w:tcPr>
            <w:tcW w:w="20" w:type="dxa"/>
            <w:vAlign w:val="bottom"/>
          </w:tcPr>
          <w:p>
            <w:pPr>
              <w:spacing w:after="0"/>
              <w:rPr>
                <w:sz w:val="12"/>
                <w:szCs w:val="12"/>
                <w:color w:val="auto"/>
              </w:rPr>
            </w:pPr>
          </w:p>
        </w:tc>
        <w:tc>
          <w:tcPr>
            <w:tcW w:w="37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Income tax (expense) benefit</w:t>
            </w:r>
          </w:p>
        </w:tc>
        <w:tc>
          <w:tcPr>
            <w:tcW w:w="7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88</w:t>
            </w: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29</w:t>
            </w: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15</w:t>
            </w: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5</w:t>
            </w: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(776)</w:t>
            </w: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(639)</w:t>
            </w:r>
          </w:p>
        </w:tc>
      </w:tr>
      <w:tr>
        <w:trPr>
          <w:trHeight w:val="142"/>
        </w:trPr>
        <w:tc>
          <w:tcPr>
            <w:tcW w:w="20" w:type="dxa"/>
            <w:vAlign w:val="bottom"/>
          </w:tcPr>
          <w:p>
            <w:pPr>
              <w:spacing w:after="0"/>
              <w:rPr>
                <w:sz w:val="12"/>
                <w:szCs w:val="12"/>
                <w:color w:val="auto"/>
              </w:rPr>
            </w:pPr>
          </w:p>
        </w:tc>
        <w:tc>
          <w:tcPr>
            <w:tcW w:w="378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Net income (loss) from consolidated operations</w:t>
            </w:r>
          </w:p>
        </w:tc>
        <w:tc>
          <w:tcPr>
            <w:tcW w:w="78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908</w:t>
            </w:r>
          </w:p>
        </w:tc>
        <w:tc>
          <w:tcPr>
            <w:tcW w:w="28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w w:val="85"/>
              </w:rPr>
              <w:t>1,316</w:t>
            </w:r>
          </w:p>
        </w:tc>
        <w:tc>
          <w:tcPr>
            <w:tcW w:w="30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759</w:t>
            </w:r>
          </w:p>
        </w:tc>
        <w:tc>
          <w:tcPr>
            <w:tcW w:w="34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1,330</w:t>
            </w:r>
          </w:p>
        </w:tc>
        <w:tc>
          <w:tcPr>
            <w:tcW w:w="34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1,419</w:t>
            </w:r>
          </w:p>
        </w:tc>
        <w:tc>
          <w:tcPr>
            <w:tcW w:w="28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32"/>
              <w:spacing w:after="0" w:line="142" w:lineRule="exact"/>
              <w:rPr>
                <w:sz w:val="20"/>
                <w:szCs w:val="20"/>
                <w:color w:val="auto"/>
              </w:rPr>
            </w:pPr>
            <w:r>
              <w:rPr>
                <w:rFonts w:ascii="Arial" w:cs="Arial" w:eastAsia="Arial" w:hAnsi="Arial"/>
                <w:sz w:val="14"/>
                <w:szCs w:val="14"/>
                <w:color w:val="auto"/>
              </w:rPr>
              <w:t>(4,566)</w:t>
            </w:r>
          </w:p>
        </w:tc>
        <w:tc>
          <w:tcPr>
            <w:tcW w:w="32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1,166</w:t>
            </w:r>
          </w:p>
        </w:tc>
      </w:tr>
      <w:tr>
        <w:trPr>
          <w:trHeight w:val="149"/>
        </w:trPr>
        <w:tc>
          <w:tcPr>
            <w:tcW w:w="20" w:type="dxa"/>
            <w:vAlign w:val="bottom"/>
          </w:tcPr>
          <w:p>
            <w:pPr>
              <w:spacing w:after="0"/>
              <w:rPr>
                <w:sz w:val="12"/>
                <w:szCs w:val="12"/>
                <w:color w:val="auto"/>
              </w:rPr>
            </w:pPr>
          </w:p>
        </w:tc>
        <w:tc>
          <w:tcPr>
            <w:tcW w:w="37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Net (income) loss attributable to noncontrolling interests</w:t>
            </w:r>
          </w:p>
        </w:tc>
        <w:tc>
          <w:tcPr>
            <w:tcW w:w="7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(258)</w:t>
            </w: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(258)</w:t>
            </w:r>
          </w:p>
        </w:tc>
      </w:tr>
      <w:tr>
        <w:trPr>
          <w:trHeight w:val="149"/>
        </w:trPr>
        <w:tc>
          <w:tcPr>
            <w:tcW w:w="20" w:type="dxa"/>
            <w:vAlign w:val="bottom"/>
          </w:tcPr>
          <w:p>
            <w:pPr>
              <w:spacing w:after="0"/>
              <w:rPr>
                <w:sz w:val="12"/>
                <w:szCs w:val="12"/>
                <w:color w:val="auto"/>
              </w:rPr>
            </w:pPr>
          </w:p>
        </w:tc>
        <w:tc>
          <w:tcPr>
            <w:tcW w:w="3780" w:type="dxa"/>
            <w:vAlign w:val="bottom"/>
            <w:tcBorders>
              <w:bottom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Net income (loss) attributable to Comcast Corporation</w:t>
            </w:r>
          </w:p>
        </w:tc>
        <w:tc>
          <w:tcPr>
            <w:tcW w:w="780" w:type="dxa"/>
            <w:vAlign w:val="bottom"/>
            <w:tcBorders>
              <w:bottom w:val="single" w:sz="8" w:color="auto"/>
            </w:tcBorders>
            <w:shd w:val="clear" w:color="auto" w:fill="E5E5E5"/>
          </w:tcPr>
          <w:p>
            <w:pPr>
              <w:ind w:left="660"/>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b w:val="1"/>
                <w:bCs w:val="1"/>
                <w:color w:val="auto"/>
              </w:rPr>
              <w:t>908</w:t>
            </w:r>
          </w:p>
        </w:tc>
        <w:tc>
          <w:tcPr>
            <w:tcW w:w="28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b w:val="1"/>
                <w:bCs w:val="1"/>
                <w:color w:val="auto"/>
                <w:w w:val="85"/>
              </w:rPr>
              <w:t>1,316</w:t>
            </w:r>
          </w:p>
        </w:tc>
        <w:tc>
          <w:tcPr>
            <w:tcW w:w="300" w:type="dxa"/>
            <w:vAlign w:val="bottom"/>
            <w:tcBorders>
              <w:bottom w:val="single" w:sz="8" w:color="auto"/>
            </w:tcBorders>
            <w:shd w:val="clear" w:color="auto" w:fill="E5E5E5"/>
          </w:tcPr>
          <w:p>
            <w:pPr>
              <w:ind w:left="220"/>
              <w:spacing w:after="0" w:line="142"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auto"/>
            </w:tcBorders>
            <w:shd w:val="clear" w:color="auto" w:fill="E5E5E5"/>
          </w:tcPr>
          <w:p>
            <w:pPr>
              <w:jc w:val="right"/>
              <w:ind w:right="192"/>
              <w:spacing w:after="0" w:line="142" w:lineRule="exact"/>
              <w:rPr>
                <w:sz w:val="20"/>
                <w:szCs w:val="20"/>
                <w:color w:val="auto"/>
              </w:rPr>
            </w:pPr>
            <w:r>
              <w:rPr>
                <w:rFonts w:ascii="Arial" w:cs="Arial" w:eastAsia="Arial" w:hAnsi="Arial"/>
                <w:sz w:val="14"/>
                <w:szCs w:val="14"/>
                <w:b w:val="1"/>
                <w:bCs w:val="1"/>
                <w:color w:val="auto"/>
              </w:rPr>
              <w:t>759</w:t>
            </w:r>
          </w:p>
        </w:tc>
        <w:tc>
          <w:tcPr>
            <w:tcW w:w="340" w:type="dxa"/>
            <w:vAlign w:val="bottom"/>
            <w:tcBorders>
              <w:bottom w:val="single" w:sz="8" w:color="auto"/>
            </w:tcBorders>
            <w:shd w:val="clear" w:color="auto" w:fill="E5E5E5"/>
          </w:tcPr>
          <w:p>
            <w:pPr>
              <w:ind w:left="220"/>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E5E5E5"/>
          </w:tcPr>
          <w:p>
            <w:pPr>
              <w:jc w:val="right"/>
              <w:ind w:right="192"/>
              <w:spacing w:after="0" w:line="142" w:lineRule="exact"/>
              <w:rPr>
                <w:sz w:val="20"/>
                <w:szCs w:val="20"/>
                <w:color w:val="auto"/>
              </w:rPr>
            </w:pPr>
            <w:r>
              <w:rPr>
                <w:rFonts w:ascii="Arial" w:cs="Arial" w:eastAsia="Arial" w:hAnsi="Arial"/>
                <w:sz w:val="14"/>
                <w:szCs w:val="14"/>
                <w:b w:val="1"/>
                <w:bCs w:val="1"/>
                <w:color w:val="auto"/>
              </w:rPr>
              <w:t>1,330</w:t>
            </w:r>
          </w:p>
        </w:tc>
        <w:tc>
          <w:tcPr>
            <w:tcW w:w="340" w:type="dxa"/>
            <w:vAlign w:val="bottom"/>
            <w:tcBorders>
              <w:bottom w:val="single" w:sz="8" w:color="auto"/>
            </w:tcBorders>
            <w:shd w:val="clear" w:color="auto" w:fill="E5E5E5"/>
          </w:tcPr>
          <w:p>
            <w:pPr>
              <w:ind w:left="200"/>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E5E5E5"/>
          </w:tcPr>
          <w:p>
            <w:pPr>
              <w:jc w:val="right"/>
              <w:ind w:right="192"/>
              <w:spacing w:after="0" w:line="142" w:lineRule="exact"/>
              <w:rPr>
                <w:sz w:val="20"/>
                <w:szCs w:val="20"/>
                <w:color w:val="auto"/>
              </w:rPr>
            </w:pPr>
            <w:r>
              <w:rPr>
                <w:rFonts w:ascii="Arial" w:cs="Arial" w:eastAsia="Arial" w:hAnsi="Arial"/>
                <w:sz w:val="14"/>
                <w:szCs w:val="14"/>
                <w:b w:val="1"/>
                <w:bCs w:val="1"/>
                <w:color w:val="auto"/>
              </w:rPr>
              <w:t>1,161</w:t>
            </w:r>
          </w:p>
        </w:tc>
        <w:tc>
          <w:tcPr>
            <w:tcW w:w="28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E5E5E5"/>
          </w:tcPr>
          <w:p>
            <w:pPr>
              <w:jc w:val="right"/>
              <w:ind w:right="132"/>
              <w:spacing w:after="0" w:line="142" w:lineRule="exact"/>
              <w:rPr>
                <w:sz w:val="20"/>
                <w:szCs w:val="20"/>
                <w:color w:val="auto"/>
              </w:rPr>
            </w:pPr>
            <w:r>
              <w:rPr>
                <w:rFonts w:ascii="Arial" w:cs="Arial" w:eastAsia="Arial" w:hAnsi="Arial"/>
                <w:sz w:val="14"/>
                <w:szCs w:val="14"/>
                <w:b w:val="1"/>
                <w:bCs w:val="1"/>
                <w:color w:val="auto"/>
              </w:rPr>
              <w:t>(4,566)</w:t>
            </w:r>
          </w:p>
        </w:tc>
        <w:tc>
          <w:tcPr>
            <w:tcW w:w="320" w:type="dxa"/>
            <w:vAlign w:val="bottom"/>
            <w:tcBorders>
              <w:bottom w:val="single" w:sz="8" w:color="auto"/>
            </w:tcBorders>
            <w:shd w:val="clear" w:color="auto" w:fill="E5E5E5"/>
          </w:tcPr>
          <w:p>
            <w:pPr>
              <w:ind w:left="220"/>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b w:val="1"/>
                <w:bCs w:val="1"/>
                <w:color w:val="auto"/>
              </w:rPr>
              <w:t>908</w:t>
            </w: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For the Three Months Ended September 30, 2010</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center"/>
              <w:ind w:right="252"/>
              <w:spacing w:after="0"/>
              <w:rPr>
                <w:sz w:val="20"/>
                <w:szCs w:val="20"/>
                <w:color w:val="auto"/>
              </w:rPr>
            </w:pPr>
            <w:r>
              <w:rPr>
                <w:rFonts w:ascii="Arial" w:cs="Arial" w:eastAsia="Arial" w:hAnsi="Arial"/>
                <w:sz w:val="14"/>
                <w:szCs w:val="14"/>
                <w:color w:val="auto"/>
                <w:w w:val="93"/>
              </w:rPr>
              <w:t>Elimination</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Combined</w:t>
            </w: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Non-</w:t>
            </w:r>
          </w:p>
        </w:tc>
        <w:tc>
          <w:tcPr>
            <w:tcW w:w="280" w:type="dxa"/>
            <w:vAlign w:val="bottom"/>
          </w:tcPr>
          <w:p>
            <w:pPr>
              <w:spacing w:after="0"/>
              <w:rPr>
                <w:sz w:val="12"/>
                <w:szCs w:val="12"/>
                <w:color w:val="auto"/>
              </w:rPr>
            </w:pPr>
          </w:p>
        </w:tc>
        <w:tc>
          <w:tcPr>
            <w:tcW w:w="960" w:type="dxa"/>
            <w:vAlign w:val="bottom"/>
          </w:tcPr>
          <w:p>
            <w:pPr>
              <w:jc w:val="center"/>
              <w:ind w:right="252"/>
              <w:spacing w:after="0" w:line="149" w:lineRule="exact"/>
              <w:rPr>
                <w:sz w:val="20"/>
                <w:szCs w:val="20"/>
                <w:color w:val="auto"/>
              </w:rPr>
            </w:pPr>
            <w:r>
              <w:rPr>
                <w:rFonts w:ascii="Arial" w:cs="Arial" w:eastAsia="Arial" w:hAnsi="Arial"/>
                <w:sz w:val="14"/>
                <w:szCs w:val="14"/>
                <w:color w:val="auto"/>
                <w:w w:val="85"/>
              </w:rPr>
              <w:t>and</w:t>
            </w:r>
          </w:p>
        </w:tc>
        <w:tc>
          <w:tcPr>
            <w:tcW w:w="102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95"/>
              </w:rPr>
              <w:t>Consolidated</w:t>
            </w: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38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Comcast</w:t>
            </w:r>
          </w:p>
        </w:tc>
        <w:tc>
          <w:tcPr>
            <w:tcW w:w="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CCCL</w:t>
            </w:r>
          </w:p>
        </w:tc>
        <w:tc>
          <w:tcPr>
            <w:tcW w:w="104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CCHMO</w:t>
            </w:r>
          </w:p>
        </w:tc>
        <w:tc>
          <w:tcPr>
            <w:tcW w:w="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Comcast</w:t>
            </w:r>
          </w:p>
        </w:tc>
        <w:tc>
          <w:tcPr>
            <w:tcW w:w="112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Guarantor</w:t>
            </w: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Consolidation</w:t>
            </w:r>
          </w:p>
        </w:tc>
        <w:tc>
          <w:tcPr>
            <w:tcW w:w="320" w:type="dxa"/>
            <w:vAlign w:val="bottom"/>
          </w:tcPr>
          <w:p>
            <w:pPr>
              <w:spacing w:after="0"/>
              <w:rPr>
                <w:sz w:val="12"/>
                <w:szCs w:val="12"/>
                <w:color w:val="auto"/>
              </w:rPr>
            </w:pPr>
          </w:p>
        </w:tc>
        <w:tc>
          <w:tcPr>
            <w:tcW w:w="70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38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380" w:type="dxa"/>
            <w:vAlign w:val="bottom"/>
            <w:gridSpan w:val="2"/>
          </w:tcPr>
          <w:p>
            <w:pPr>
              <w:jc w:val="right"/>
              <w:ind w:right="232"/>
              <w:spacing w:after="0"/>
              <w:rPr>
                <w:sz w:val="20"/>
                <w:szCs w:val="20"/>
                <w:color w:val="auto"/>
              </w:rPr>
            </w:pPr>
            <w:r>
              <w:rPr>
                <w:rFonts w:ascii="Arial" w:cs="Arial" w:eastAsia="Arial" w:hAnsi="Arial"/>
                <w:sz w:val="14"/>
                <w:szCs w:val="14"/>
                <w:color w:val="auto"/>
              </w:rPr>
              <w:t>Parent</w:t>
            </w:r>
          </w:p>
        </w:tc>
        <w:tc>
          <w:tcPr>
            <w:tcW w:w="840" w:type="dxa"/>
            <w:vAlign w:val="bottom"/>
            <w:gridSpan w:val="2"/>
          </w:tcPr>
          <w:p>
            <w:pPr>
              <w:ind w:left="240"/>
              <w:spacing w:after="0"/>
              <w:rPr>
                <w:sz w:val="20"/>
                <w:szCs w:val="20"/>
                <w:color w:val="auto"/>
              </w:rPr>
            </w:pPr>
            <w:r>
              <w:rPr>
                <w:rFonts w:ascii="Arial" w:cs="Arial" w:eastAsia="Arial" w:hAnsi="Arial"/>
                <w:sz w:val="14"/>
                <w:szCs w:val="14"/>
                <w:color w:val="auto"/>
              </w:rPr>
              <w:t>Parent</w:t>
            </w:r>
          </w:p>
        </w:tc>
        <w:tc>
          <w:tcPr>
            <w:tcW w:w="300" w:type="dxa"/>
            <w:vAlign w:val="bottom"/>
          </w:tcPr>
          <w:p>
            <w:pPr>
              <w:spacing w:after="0"/>
              <w:rPr>
                <w:sz w:val="15"/>
                <w:szCs w:val="15"/>
                <w:color w:val="auto"/>
              </w:rPr>
            </w:pPr>
          </w:p>
        </w:tc>
        <w:tc>
          <w:tcPr>
            <w:tcW w:w="740" w:type="dxa"/>
            <w:vAlign w:val="bottom"/>
          </w:tcPr>
          <w:p>
            <w:pPr>
              <w:jc w:val="right"/>
              <w:ind w:right="272"/>
              <w:spacing w:after="0"/>
              <w:rPr>
                <w:sz w:val="20"/>
                <w:szCs w:val="20"/>
                <w:color w:val="auto"/>
              </w:rPr>
            </w:pPr>
            <w:r>
              <w:rPr>
                <w:rFonts w:ascii="Arial" w:cs="Arial" w:eastAsia="Arial" w:hAnsi="Arial"/>
                <w:sz w:val="14"/>
                <w:szCs w:val="14"/>
                <w:color w:val="auto"/>
                <w:w w:val="78"/>
              </w:rPr>
              <w:t>Parents</w:t>
            </w:r>
          </w:p>
        </w:tc>
        <w:tc>
          <w:tcPr>
            <w:tcW w:w="980" w:type="dxa"/>
            <w:vAlign w:val="bottom"/>
            <w:gridSpan w:val="2"/>
          </w:tcPr>
          <w:p>
            <w:pPr>
              <w:ind w:left="220"/>
              <w:spacing w:after="0"/>
              <w:rPr>
                <w:sz w:val="20"/>
                <w:szCs w:val="20"/>
                <w:color w:val="auto"/>
              </w:rPr>
            </w:pPr>
            <w:r>
              <w:rPr>
                <w:rFonts w:ascii="Arial" w:cs="Arial" w:eastAsia="Arial" w:hAnsi="Arial"/>
                <w:sz w:val="14"/>
                <w:szCs w:val="14"/>
                <w:color w:val="auto"/>
              </w:rPr>
              <w:t>Holdings</w:t>
            </w:r>
          </w:p>
        </w:tc>
        <w:tc>
          <w:tcPr>
            <w:tcW w:w="1120" w:type="dxa"/>
            <w:vAlign w:val="bottom"/>
            <w:gridSpan w:val="2"/>
          </w:tcPr>
          <w:p>
            <w:pPr>
              <w:ind w:left="200"/>
              <w:spacing w:after="0"/>
              <w:rPr>
                <w:sz w:val="20"/>
                <w:szCs w:val="20"/>
                <w:color w:val="auto"/>
              </w:rPr>
            </w:pPr>
            <w:r>
              <w:rPr>
                <w:rFonts w:ascii="Arial" w:cs="Arial" w:eastAsia="Arial" w:hAnsi="Arial"/>
                <w:sz w:val="14"/>
                <w:szCs w:val="14"/>
                <w:color w:val="auto"/>
              </w:rPr>
              <w:t>Subsidiaries</w:t>
            </w: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1020" w:type="dxa"/>
            <w:vAlign w:val="bottom"/>
            <w:gridSpan w:val="2"/>
          </w:tcPr>
          <w:p>
            <w:pPr>
              <w:jc w:val="right"/>
              <w:ind w:right="52"/>
              <w:spacing w:after="0"/>
              <w:rPr>
                <w:sz w:val="20"/>
                <w:szCs w:val="20"/>
                <w:color w:val="auto"/>
              </w:rPr>
            </w:pPr>
            <w:r>
              <w:rPr>
                <w:rFonts w:ascii="Arial" w:cs="Arial" w:eastAsia="Arial" w:hAnsi="Arial"/>
                <w:sz w:val="14"/>
                <w:szCs w:val="14"/>
                <w:color w:val="auto"/>
              </w:rPr>
              <w:t>Corporation</w:t>
            </w:r>
          </w:p>
        </w:tc>
      </w:tr>
      <w:tr>
        <w:trPr>
          <w:trHeight w:val="142"/>
        </w:trPr>
        <w:tc>
          <w:tcPr>
            <w:tcW w:w="20" w:type="dxa"/>
            <w:vAlign w:val="bottom"/>
          </w:tcPr>
          <w:p>
            <w:pPr>
              <w:spacing w:after="0"/>
              <w:rPr>
                <w:sz w:val="12"/>
                <w:szCs w:val="12"/>
                <w:color w:val="auto"/>
              </w:rPr>
            </w:pPr>
          </w:p>
        </w:tc>
        <w:tc>
          <w:tcPr>
            <w:tcW w:w="3780" w:type="dxa"/>
            <w:vAlign w:val="bottom"/>
            <w:tcBorders>
              <w:top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Revenue:</w:t>
            </w:r>
          </w:p>
        </w:tc>
        <w:tc>
          <w:tcPr>
            <w:tcW w:w="780" w:type="dxa"/>
            <w:vAlign w:val="bottom"/>
            <w:tcBorders>
              <w:top w:val="single" w:sz="8" w:color="auto"/>
            </w:tcBorders>
            <w:shd w:val="clear" w:color="auto" w:fill="E5E5E5"/>
          </w:tcPr>
          <w:p>
            <w:pPr>
              <w:spacing w:after="0"/>
              <w:rPr>
                <w:sz w:val="12"/>
                <w:szCs w:val="12"/>
                <w:color w:val="auto"/>
              </w:rPr>
            </w:pPr>
          </w:p>
        </w:tc>
        <w:tc>
          <w:tcPr>
            <w:tcW w:w="600" w:type="dxa"/>
            <w:vAlign w:val="bottom"/>
            <w:tcBorders>
              <w:top w:val="single" w:sz="8" w:color="auto"/>
            </w:tcBorders>
            <w:shd w:val="clear" w:color="auto" w:fill="E5E5E5"/>
          </w:tcPr>
          <w:p>
            <w:pPr>
              <w:spacing w:after="0"/>
              <w:rPr>
                <w:sz w:val="12"/>
                <w:szCs w:val="12"/>
                <w:color w:val="auto"/>
              </w:rPr>
            </w:pPr>
          </w:p>
        </w:tc>
        <w:tc>
          <w:tcPr>
            <w:tcW w:w="280" w:type="dxa"/>
            <w:vAlign w:val="bottom"/>
            <w:tcBorders>
              <w:top w:val="single" w:sz="8" w:color="auto"/>
            </w:tcBorders>
            <w:shd w:val="clear" w:color="auto" w:fill="E5E5E5"/>
          </w:tcPr>
          <w:p>
            <w:pPr>
              <w:spacing w:after="0"/>
              <w:rPr>
                <w:sz w:val="12"/>
                <w:szCs w:val="12"/>
                <w:color w:val="auto"/>
              </w:rPr>
            </w:pPr>
          </w:p>
        </w:tc>
        <w:tc>
          <w:tcPr>
            <w:tcW w:w="560" w:type="dxa"/>
            <w:vAlign w:val="bottom"/>
            <w:tcBorders>
              <w:top w:val="single" w:sz="8" w:color="auto"/>
            </w:tcBorders>
            <w:shd w:val="clear" w:color="auto" w:fill="E5E5E5"/>
          </w:tcPr>
          <w:p>
            <w:pPr>
              <w:spacing w:after="0"/>
              <w:rPr>
                <w:sz w:val="12"/>
                <w:szCs w:val="12"/>
                <w:color w:val="auto"/>
              </w:rPr>
            </w:pPr>
          </w:p>
        </w:tc>
        <w:tc>
          <w:tcPr>
            <w:tcW w:w="300" w:type="dxa"/>
            <w:vAlign w:val="bottom"/>
            <w:tcBorders>
              <w:top w:val="single" w:sz="8" w:color="auto"/>
            </w:tcBorders>
            <w:shd w:val="clear" w:color="auto" w:fill="E5E5E5"/>
          </w:tcPr>
          <w:p>
            <w:pPr>
              <w:spacing w:after="0"/>
              <w:rPr>
                <w:sz w:val="12"/>
                <w:szCs w:val="12"/>
                <w:color w:val="auto"/>
              </w:rPr>
            </w:pPr>
          </w:p>
        </w:tc>
        <w:tc>
          <w:tcPr>
            <w:tcW w:w="740" w:type="dxa"/>
            <w:vAlign w:val="bottom"/>
            <w:tcBorders>
              <w:top w:val="single" w:sz="8" w:color="auto"/>
            </w:tcBorders>
            <w:shd w:val="clear" w:color="auto" w:fill="E5E5E5"/>
          </w:tcPr>
          <w:p>
            <w:pPr>
              <w:spacing w:after="0"/>
              <w:rPr>
                <w:sz w:val="12"/>
                <w:szCs w:val="12"/>
                <w:color w:val="auto"/>
              </w:rPr>
            </w:pPr>
          </w:p>
        </w:tc>
        <w:tc>
          <w:tcPr>
            <w:tcW w:w="340" w:type="dxa"/>
            <w:vAlign w:val="bottom"/>
            <w:tcBorders>
              <w:top w:val="single" w:sz="8" w:color="auto"/>
            </w:tcBorders>
            <w:shd w:val="clear" w:color="auto" w:fill="E5E5E5"/>
          </w:tcPr>
          <w:p>
            <w:pPr>
              <w:spacing w:after="0"/>
              <w:rPr>
                <w:sz w:val="12"/>
                <w:szCs w:val="12"/>
                <w:color w:val="auto"/>
              </w:rPr>
            </w:pPr>
          </w:p>
        </w:tc>
        <w:tc>
          <w:tcPr>
            <w:tcW w:w="640" w:type="dxa"/>
            <w:vAlign w:val="bottom"/>
            <w:tcBorders>
              <w:top w:val="single" w:sz="8" w:color="auto"/>
            </w:tcBorders>
            <w:shd w:val="clear" w:color="auto" w:fill="E5E5E5"/>
          </w:tcPr>
          <w:p>
            <w:pPr>
              <w:spacing w:after="0"/>
              <w:rPr>
                <w:sz w:val="12"/>
                <w:szCs w:val="12"/>
                <w:color w:val="auto"/>
              </w:rPr>
            </w:pPr>
          </w:p>
        </w:tc>
        <w:tc>
          <w:tcPr>
            <w:tcW w:w="340" w:type="dxa"/>
            <w:vAlign w:val="bottom"/>
            <w:tcBorders>
              <w:top w:val="single" w:sz="8" w:color="auto"/>
            </w:tcBorders>
            <w:shd w:val="clear" w:color="auto" w:fill="E5E5E5"/>
          </w:tcPr>
          <w:p>
            <w:pPr>
              <w:spacing w:after="0"/>
              <w:rPr>
                <w:sz w:val="12"/>
                <w:szCs w:val="12"/>
                <w:color w:val="auto"/>
              </w:rPr>
            </w:pPr>
          </w:p>
        </w:tc>
        <w:tc>
          <w:tcPr>
            <w:tcW w:w="780" w:type="dxa"/>
            <w:vAlign w:val="bottom"/>
            <w:tcBorders>
              <w:top w:val="single" w:sz="8" w:color="auto"/>
            </w:tcBorders>
            <w:shd w:val="clear" w:color="auto" w:fill="E5E5E5"/>
          </w:tcPr>
          <w:p>
            <w:pPr>
              <w:spacing w:after="0"/>
              <w:rPr>
                <w:sz w:val="12"/>
                <w:szCs w:val="12"/>
                <w:color w:val="auto"/>
              </w:rPr>
            </w:pPr>
          </w:p>
        </w:tc>
        <w:tc>
          <w:tcPr>
            <w:tcW w:w="280" w:type="dxa"/>
            <w:vAlign w:val="bottom"/>
            <w:tcBorders>
              <w:top w:val="single" w:sz="8" w:color="auto"/>
            </w:tcBorders>
            <w:shd w:val="clear" w:color="auto" w:fill="E5E5E5"/>
          </w:tcPr>
          <w:p>
            <w:pPr>
              <w:spacing w:after="0"/>
              <w:rPr>
                <w:sz w:val="12"/>
                <w:szCs w:val="12"/>
                <w:color w:val="auto"/>
              </w:rPr>
            </w:pPr>
          </w:p>
        </w:tc>
        <w:tc>
          <w:tcPr>
            <w:tcW w:w="960" w:type="dxa"/>
            <w:vAlign w:val="bottom"/>
            <w:tcBorders>
              <w:top w:val="single" w:sz="8" w:color="auto"/>
            </w:tcBorders>
            <w:shd w:val="clear" w:color="auto" w:fill="E5E5E5"/>
          </w:tcPr>
          <w:p>
            <w:pPr>
              <w:spacing w:after="0"/>
              <w:rPr>
                <w:sz w:val="12"/>
                <w:szCs w:val="12"/>
                <w:color w:val="auto"/>
              </w:rPr>
            </w:pPr>
          </w:p>
        </w:tc>
        <w:tc>
          <w:tcPr>
            <w:tcW w:w="320" w:type="dxa"/>
            <w:vAlign w:val="bottom"/>
            <w:tcBorders>
              <w:top w:val="single" w:sz="8" w:color="auto"/>
            </w:tcBorders>
            <w:shd w:val="clear" w:color="auto" w:fill="E5E5E5"/>
          </w:tcPr>
          <w:p>
            <w:pPr>
              <w:spacing w:after="0"/>
              <w:rPr>
                <w:sz w:val="12"/>
                <w:szCs w:val="12"/>
                <w:color w:val="auto"/>
              </w:rPr>
            </w:pPr>
          </w:p>
        </w:tc>
        <w:tc>
          <w:tcPr>
            <w:tcW w:w="700" w:type="dxa"/>
            <w:vAlign w:val="bottom"/>
            <w:tcBorders>
              <w:top w:val="single" w:sz="8" w:color="auto"/>
            </w:tcBorders>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780" w:type="dxa"/>
            <w:vAlign w:val="bottom"/>
          </w:tcPr>
          <w:p>
            <w:pPr>
              <w:ind w:left="200"/>
              <w:spacing w:after="0" w:line="149" w:lineRule="exact"/>
              <w:rPr>
                <w:sz w:val="20"/>
                <w:szCs w:val="20"/>
                <w:color w:val="auto"/>
              </w:rPr>
            </w:pPr>
            <w:r>
              <w:rPr>
                <w:rFonts w:ascii="Arial" w:cs="Arial" w:eastAsia="Arial" w:hAnsi="Arial"/>
                <w:sz w:val="14"/>
                <w:szCs w:val="14"/>
                <w:color w:val="auto"/>
              </w:rPr>
              <w:t>Service revenue</w:t>
            </w:r>
          </w:p>
        </w:tc>
        <w:tc>
          <w:tcPr>
            <w:tcW w:w="780" w:type="dxa"/>
            <w:vAlign w:val="bottom"/>
          </w:tcPr>
          <w:p>
            <w:pPr>
              <w:ind w:left="66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ind w:left="22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ind w:left="22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9,489</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9,489</w:t>
            </w:r>
          </w:p>
        </w:tc>
      </w:tr>
      <w:tr>
        <w:trPr>
          <w:trHeight w:val="149"/>
        </w:trPr>
        <w:tc>
          <w:tcPr>
            <w:tcW w:w="20" w:type="dxa"/>
            <w:vAlign w:val="bottom"/>
          </w:tcPr>
          <w:p>
            <w:pPr>
              <w:spacing w:after="0"/>
              <w:rPr>
                <w:sz w:val="12"/>
                <w:szCs w:val="12"/>
                <w:color w:val="auto"/>
              </w:rPr>
            </w:pPr>
          </w:p>
        </w:tc>
        <w:tc>
          <w:tcPr>
            <w:tcW w:w="378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Management fee revenue</w:t>
            </w:r>
          </w:p>
        </w:tc>
        <w:tc>
          <w:tcPr>
            <w:tcW w:w="78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202</w:t>
            </w:r>
          </w:p>
        </w:tc>
        <w:tc>
          <w:tcPr>
            <w:tcW w:w="28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182</w:t>
            </w:r>
          </w:p>
        </w:tc>
        <w:tc>
          <w:tcPr>
            <w:tcW w:w="30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113</w:t>
            </w:r>
          </w:p>
        </w:tc>
        <w:tc>
          <w:tcPr>
            <w:tcW w:w="340" w:type="dxa"/>
            <w:vAlign w:val="bottom"/>
            <w:tcBorders>
              <w:bottom w:val="single" w:sz="8" w:color="auto"/>
            </w:tcBorders>
            <w:shd w:val="clear" w:color="auto" w:fill="E5E5E5"/>
          </w:tcPr>
          <w:p>
            <w:pPr>
              <w:spacing w:after="0"/>
              <w:rPr>
                <w:sz w:val="12"/>
                <w:szCs w:val="12"/>
                <w:color w:val="auto"/>
              </w:rPr>
            </w:pPr>
          </w:p>
        </w:tc>
        <w:tc>
          <w:tcPr>
            <w:tcW w:w="640" w:type="dxa"/>
            <w:vAlign w:val="bottom"/>
            <w:tcBorders>
              <w:bottom w:val="single" w:sz="8" w:color="auto"/>
            </w:tcBorders>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E5E5E5"/>
          </w:tcPr>
          <w:p>
            <w:pPr>
              <w:spacing w:after="0"/>
              <w:rPr>
                <w:sz w:val="12"/>
                <w:szCs w:val="12"/>
                <w:color w:val="auto"/>
              </w:rPr>
            </w:pPr>
          </w:p>
        </w:tc>
        <w:tc>
          <w:tcPr>
            <w:tcW w:w="780" w:type="dxa"/>
            <w:vAlign w:val="bottom"/>
            <w:tcBorders>
              <w:bottom w:val="single" w:sz="8" w:color="auto"/>
            </w:tcBorders>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E5E5E5"/>
          </w:tcPr>
          <w:p>
            <w:pPr>
              <w:spacing w:after="0"/>
              <w:rPr>
                <w:sz w:val="12"/>
                <w:szCs w:val="12"/>
                <w:color w:val="auto"/>
              </w:rPr>
            </w:pPr>
          </w:p>
        </w:tc>
        <w:tc>
          <w:tcPr>
            <w:tcW w:w="960" w:type="dxa"/>
            <w:vAlign w:val="bottom"/>
            <w:tcBorders>
              <w:bottom w:val="single" w:sz="8" w:color="auto"/>
            </w:tcBorders>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(497)</w:t>
            </w:r>
          </w:p>
        </w:tc>
        <w:tc>
          <w:tcPr>
            <w:tcW w:w="32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w:t>
            </w:r>
          </w:p>
        </w:tc>
      </w:tr>
      <w:tr>
        <w:trPr>
          <w:trHeight w:val="142"/>
        </w:trPr>
        <w:tc>
          <w:tcPr>
            <w:tcW w:w="20" w:type="dxa"/>
            <w:vAlign w:val="bottom"/>
          </w:tcPr>
          <w:p>
            <w:pPr>
              <w:spacing w:after="0"/>
              <w:rPr>
                <w:sz w:val="12"/>
                <w:szCs w:val="12"/>
                <w:color w:val="auto"/>
              </w:rPr>
            </w:pPr>
          </w:p>
        </w:tc>
        <w:tc>
          <w:tcPr>
            <w:tcW w:w="37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202</w:t>
            </w: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182</w:t>
            </w: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113</w:t>
            </w: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9,489</w:t>
            </w: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(497)</w:t>
            </w: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9,489</w:t>
            </w:r>
          </w:p>
        </w:tc>
      </w:tr>
      <w:tr>
        <w:trPr>
          <w:trHeight w:val="142"/>
        </w:trPr>
        <w:tc>
          <w:tcPr>
            <w:tcW w:w="20" w:type="dxa"/>
            <w:vAlign w:val="bottom"/>
          </w:tcPr>
          <w:p>
            <w:pPr>
              <w:spacing w:after="0"/>
              <w:rPr>
                <w:sz w:val="12"/>
                <w:szCs w:val="12"/>
                <w:color w:val="auto"/>
              </w:rPr>
            </w:pPr>
          </w:p>
        </w:tc>
        <w:tc>
          <w:tcPr>
            <w:tcW w:w="3780" w:type="dxa"/>
            <w:vAlign w:val="bottom"/>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Costs and Expenses:</w:t>
            </w:r>
          </w:p>
        </w:tc>
        <w:tc>
          <w:tcPr>
            <w:tcW w:w="78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56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74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64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960" w:type="dxa"/>
            <w:vAlign w:val="bottom"/>
            <w:shd w:val="clear" w:color="auto" w:fill="E5E5E5"/>
          </w:tcPr>
          <w:p>
            <w:pPr>
              <w:spacing w:after="0"/>
              <w:rPr>
                <w:sz w:val="12"/>
                <w:szCs w:val="12"/>
                <w:color w:val="auto"/>
              </w:rPr>
            </w:pPr>
          </w:p>
        </w:tc>
        <w:tc>
          <w:tcPr>
            <w:tcW w:w="32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780" w:type="dxa"/>
            <w:vAlign w:val="bottom"/>
          </w:tcPr>
          <w:p>
            <w:pPr>
              <w:ind w:left="200"/>
              <w:spacing w:after="0" w:line="149" w:lineRule="exact"/>
              <w:rPr>
                <w:sz w:val="20"/>
                <w:szCs w:val="20"/>
                <w:color w:val="auto"/>
              </w:rPr>
            </w:pPr>
            <w:r>
              <w:rPr>
                <w:rFonts w:ascii="Arial" w:cs="Arial" w:eastAsia="Arial" w:hAnsi="Arial"/>
                <w:sz w:val="14"/>
                <w:szCs w:val="14"/>
                <w:color w:val="auto"/>
              </w:rPr>
              <w:t>Operating costs and expenses</w:t>
            </w:r>
          </w:p>
        </w:tc>
        <w:tc>
          <w:tcPr>
            <w:tcW w:w="780" w:type="dxa"/>
            <w:vAlign w:val="bottom"/>
          </w:tcPr>
          <w:p>
            <w:pPr>
              <w:spacing w:after="0"/>
              <w:rPr>
                <w:sz w:val="12"/>
                <w:szCs w:val="12"/>
                <w:color w:val="auto"/>
              </w:rPr>
            </w:pPr>
          </w:p>
        </w:tc>
        <w:tc>
          <w:tcPr>
            <w:tcW w:w="6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106</w:t>
            </w:r>
          </w:p>
        </w:tc>
        <w:tc>
          <w:tcPr>
            <w:tcW w:w="280" w:type="dxa"/>
            <w:vAlign w:val="bottom"/>
          </w:tcPr>
          <w:p>
            <w:pPr>
              <w:spacing w:after="0"/>
              <w:rPr>
                <w:sz w:val="12"/>
                <w:szCs w:val="12"/>
                <w:color w:val="auto"/>
              </w:rPr>
            </w:pPr>
          </w:p>
        </w:tc>
        <w:tc>
          <w:tcPr>
            <w:tcW w:w="5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182</w:t>
            </w:r>
          </w:p>
        </w:tc>
        <w:tc>
          <w:tcPr>
            <w:tcW w:w="300" w:type="dxa"/>
            <w:vAlign w:val="bottom"/>
          </w:tcPr>
          <w:p>
            <w:pPr>
              <w:spacing w:after="0"/>
              <w:rPr>
                <w:sz w:val="12"/>
                <w:szCs w:val="12"/>
                <w:color w:val="auto"/>
              </w:rPr>
            </w:pPr>
          </w:p>
        </w:tc>
        <w:tc>
          <w:tcPr>
            <w:tcW w:w="7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113</w:t>
            </w:r>
          </w:p>
        </w:tc>
        <w:tc>
          <w:tcPr>
            <w:tcW w:w="340" w:type="dxa"/>
            <w:vAlign w:val="bottom"/>
          </w:tcPr>
          <w:p>
            <w:pPr>
              <w:spacing w:after="0"/>
              <w:rPr>
                <w:sz w:val="12"/>
                <w:szCs w:val="12"/>
                <w:color w:val="auto"/>
              </w:rPr>
            </w:pPr>
          </w:p>
        </w:tc>
        <w:tc>
          <w:tcPr>
            <w:tcW w:w="6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15</w:t>
            </w:r>
          </w:p>
        </w:tc>
        <w:tc>
          <w:tcPr>
            <w:tcW w:w="340" w:type="dxa"/>
            <w:vAlign w:val="bottom"/>
          </w:tcPr>
          <w:p>
            <w:pPr>
              <w:spacing w:after="0"/>
              <w:rPr>
                <w:sz w:val="12"/>
                <w:szCs w:val="12"/>
                <w:color w:val="auto"/>
              </w:rPr>
            </w:pPr>
          </w:p>
        </w:tc>
        <w:tc>
          <w:tcPr>
            <w:tcW w:w="7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5,992</w:t>
            </w:r>
          </w:p>
        </w:tc>
        <w:tc>
          <w:tcPr>
            <w:tcW w:w="280" w:type="dxa"/>
            <w:vAlign w:val="bottom"/>
          </w:tcPr>
          <w:p>
            <w:pPr>
              <w:spacing w:after="0"/>
              <w:rPr>
                <w:sz w:val="12"/>
                <w:szCs w:val="12"/>
                <w:color w:val="auto"/>
              </w:rPr>
            </w:pPr>
          </w:p>
        </w:tc>
        <w:tc>
          <w:tcPr>
            <w:tcW w:w="9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(497)</w:t>
            </w:r>
          </w:p>
        </w:tc>
        <w:tc>
          <w:tcPr>
            <w:tcW w:w="32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5,911</w:t>
            </w:r>
          </w:p>
        </w:tc>
      </w:tr>
      <w:tr>
        <w:trPr>
          <w:trHeight w:val="149"/>
        </w:trPr>
        <w:tc>
          <w:tcPr>
            <w:tcW w:w="20" w:type="dxa"/>
            <w:vAlign w:val="bottom"/>
          </w:tcPr>
          <w:p>
            <w:pPr>
              <w:spacing w:after="0"/>
              <w:rPr>
                <w:sz w:val="12"/>
                <w:szCs w:val="12"/>
                <w:color w:val="auto"/>
              </w:rPr>
            </w:pPr>
          </w:p>
        </w:tc>
        <w:tc>
          <w:tcPr>
            <w:tcW w:w="378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Depreciation</w:t>
            </w:r>
          </w:p>
        </w:tc>
        <w:tc>
          <w:tcPr>
            <w:tcW w:w="78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8</w:t>
            </w:r>
          </w:p>
        </w:tc>
        <w:tc>
          <w:tcPr>
            <w:tcW w:w="28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1,369</w:t>
            </w:r>
          </w:p>
        </w:tc>
        <w:tc>
          <w:tcPr>
            <w:tcW w:w="28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1,377</w:t>
            </w:r>
          </w:p>
        </w:tc>
      </w:tr>
      <w:tr>
        <w:trPr>
          <w:trHeight w:val="149"/>
        </w:trPr>
        <w:tc>
          <w:tcPr>
            <w:tcW w:w="20" w:type="dxa"/>
            <w:vAlign w:val="bottom"/>
          </w:tcPr>
          <w:p>
            <w:pPr>
              <w:spacing w:after="0"/>
              <w:rPr>
                <w:sz w:val="12"/>
                <w:szCs w:val="12"/>
                <w:color w:val="auto"/>
              </w:rPr>
            </w:pPr>
          </w:p>
        </w:tc>
        <w:tc>
          <w:tcPr>
            <w:tcW w:w="378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Amortization</w:t>
            </w:r>
          </w:p>
        </w:tc>
        <w:tc>
          <w:tcPr>
            <w:tcW w:w="7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2</w:t>
            </w: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245</w:t>
            </w: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247</w:t>
            </w:r>
          </w:p>
        </w:tc>
      </w:tr>
      <w:tr>
        <w:trPr>
          <w:trHeight w:val="142"/>
        </w:trPr>
        <w:tc>
          <w:tcPr>
            <w:tcW w:w="20" w:type="dxa"/>
            <w:vAlign w:val="bottom"/>
          </w:tcPr>
          <w:p>
            <w:pPr>
              <w:spacing w:after="0"/>
              <w:rPr>
                <w:sz w:val="12"/>
                <w:szCs w:val="12"/>
                <w:color w:val="auto"/>
              </w:rPr>
            </w:pPr>
          </w:p>
        </w:tc>
        <w:tc>
          <w:tcPr>
            <w:tcW w:w="3780" w:type="dxa"/>
            <w:vAlign w:val="bottom"/>
            <w:tcBorders>
              <w:bottom w:val="single" w:sz="8" w:color="auto"/>
            </w:tcBorders>
            <w:shd w:val="clear" w:color="auto" w:fill="E5E5E5"/>
          </w:tcPr>
          <w:p>
            <w:pPr>
              <w:spacing w:after="0"/>
              <w:rPr>
                <w:sz w:val="12"/>
                <w:szCs w:val="12"/>
                <w:color w:val="auto"/>
              </w:rPr>
            </w:pPr>
          </w:p>
        </w:tc>
        <w:tc>
          <w:tcPr>
            <w:tcW w:w="78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116</w:t>
            </w:r>
          </w:p>
        </w:tc>
        <w:tc>
          <w:tcPr>
            <w:tcW w:w="28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182</w:t>
            </w:r>
          </w:p>
        </w:tc>
        <w:tc>
          <w:tcPr>
            <w:tcW w:w="30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113</w:t>
            </w:r>
          </w:p>
        </w:tc>
        <w:tc>
          <w:tcPr>
            <w:tcW w:w="340" w:type="dxa"/>
            <w:vAlign w:val="bottom"/>
            <w:tcBorders>
              <w:bottom w:val="single" w:sz="8" w:color="auto"/>
            </w:tcBorders>
            <w:shd w:val="clear" w:color="auto" w:fill="E5E5E5"/>
          </w:tcPr>
          <w:p>
            <w:pPr>
              <w:spacing w:after="0"/>
              <w:rPr>
                <w:sz w:val="12"/>
                <w:szCs w:val="12"/>
                <w:color w:val="auto"/>
              </w:rPr>
            </w:pPr>
          </w:p>
        </w:tc>
        <w:tc>
          <w:tcPr>
            <w:tcW w:w="640" w:type="dxa"/>
            <w:vAlign w:val="bottom"/>
            <w:tcBorders>
              <w:bottom w:val="single" w:sz="8" w:color="auto"/>
            </w:tcBorders>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15</w:t>
            </w:r>
          </w:p>
        </w:tc>
        <w:tc>
          <w:tcPr>
            <w:tcW w:w="340" w:type="dxa"/>
            <w:vAlign w:val="bottom"/>
            <w:tcBorders>
              <w:bottom w:val="single" w:sz="8" w:color="auto"/>
            </w:tcBorders>
            <w:shd w:val="clear" w:color="auto" w:fill="E5E5E5"/>
          </w:tcPr>
          <w:p>
            <w:pPr>
              <w:spacing w:after="0"/>
              <w:rPr>
                <w:sz w:val="12"/>
                <w:szCs w:val="12"/>
                <w:color w:val="auto"/>
              </w:rPr>
            </w:pPr>
          </w:p>
        </w:tc>
        <w:tc>
          <w:tcPr>
            <w:tcW w:w="780" w:type="dxa"/>
            <w:vAlign w:val="bottom"/>
            <w:tcBorders>
              <w:bottom w:val="single" w:sz="8" w:color="auto"/>
            </w:tcBorders>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7,606</w:t>
            </w:r>
          </w:p>
        </w:tc>
        <w:tc>
          <w:tcPr>
            <w:tcW w:w="280" w:type="dxa"/>
            <w:vAlign w:val="bottom"/>
            <w:tcBorders>
              <w:bottom w:val="single" w:sz="8" w:color="auto"/>
            </w:tcBorders>
            <w:shd w:val="clear" w:color="auto" w:fill="E5E5E5"/>
          </w:tcPr>
          <w:p>
            <w:pPr>
              <w:spacing w:after="0"/>
              <w:rPr>
                <w:sz w:val="12"/>
                <w:szCs w:val="12"/>
                <w:color w:val="auto"/>
              </w:rPr>
            </w:pPr>
          </w:p>
        </w:tc>
        <w:tc>
          <w:tcPr>
            <w:tcW w:w="960" w:type="dxa"/>
            <w:vAlign w:val="bottom"/>
            <w:tcBorders>
              <w:bottom w:val="single" w:sz="8" w:color="auto"/>
            </w:tcBorders>
            <w:shd w:val="clear" w:color="auto" w:fill="E5E5E5"/>
          </w:tcPr>
          <w:p>
            <w:pPr>
              <w:jc w:val="right"/>
              <w:ind w:right="132"/>
              <w:spacing w:after="0" w:line="142" w:lineRule="exact"/>
              <w:rPr>
                <w:sz w:val="20"/>
                <w:szCs w:val="20"/>
                <w:color w:val="auto"/>
              </w:rPr>
            </w:pPr>
            <w:r>
              <w:rPr>
                <w:rFonts w:ascii="Arial" w:cs="Arial" w:eastAsia="Arial" w:hAnsi="Arial"/>
                <w:sz w:val="14"/>
                <w:szCs w:val="14"/>
                <w:color w:val="auto"/>
              </w:rPr>
              <w:t>(497)</w:t>
            </w:r>
          </w:p>
        </w:tc>
        <w:tc>
          <w:tcPr>
            <w:tcW w:w="32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7,535</w:t>
            </w:r>
          </w:p>
        </w:tc>
      </w:tr>
      <w:tr>
        <w:trPr>
          <w:trHeight w:val="142"/>
        </w:trPr>
        <w:tc>
          <w:tcPr>
            <w:tcW w:w="20" w:type="dxa"/>
            <w:vAlign w:val="bottom"/>
          </w:tcPr>
          <w:p>
            <w:pPr>
              <w:spacing w:after="0"/>
              <w:rPr>
                <w:sz w:val="12"/>
                <w:szCs w:val="12"/>
                <w:color w:val="auto"/>
              </w:rPr>
            </w:pPr>
          </w:p>
        </w:tc>
        <w:tc>
          <w:tcPr>
            <w:tcW w:w="3780" w:type="dxa"/>
            <w:vAlign w:val="bottom"/>
          </w:tcPr>
          <w:p>
            <w:pPr>
              <w:spacing w:after="0" w:line="142" w:lineRule="exact"/>
              <w:rPr>
                <w:sz w:val="20"/>
                <w:szCs w:val="20"/>
                <w:color w:val="auto"/>
              </w:rPr>
            </w:pPr>
            <w:r>
              <w:rPr>
                <w:rFonts w:ascii="Arial" w:cs="Arial" w:eastAsia="Arial" w:hAnsi="Arial"/>
                <w:sz w:val="14"/>
                <w:szCs w:val="14"/>
                <w:b w:val="1"/>
                <w:bCs w:val="1"/>
                <w:color w:val="auto"/>
              </w:rPr>
              <w:t>Operating income (loss)</w:t>
            </w:r>
          </w:p>
        </w:tc>
        <w:tc>
          <w:tcPr>
            <w:tcW w:w="780" w:type="dxa"/>
            <w:vAlign w:val="bottom"/>
          </w:tcPr>
          <w:p>
            <w:pPr>
              <w:spacing w:after="0"/>
              <w:rPr>
                <w:sz w:val="12"/>
                <w:szCs w:val="12"/>
                <w:color w:val="auto"/>
              </w:rPr>
            </w:pPr>
          </w:p>
        </w:tc>
        <w:tc>
          <w:tcPr>
            <w:tcW w:w="600" w:type="dxa"/>
            <w:vAlign w:val="bottom"/>
          </w:tcPr>
          <w:p>
            <w:pPr>
              <w:jc w:val="right"/>
              <w:ind w:right="172"/>
              <w:spacing w:after="0" w:line="142" w:lineRule="exact"/>
              <w:rPr>
                <w:sz w:val="20"/>
                <w:szCs w:val="20"/>
                <w:color w:val="auto"/>
              </w:rPr>
            </w:pPr>
            <w:r>
              <w:rPr>
                <w:rFonts w:ascii="Arial" w:cs="Arial" w:eastAsia="Arial" w:hAnsi="Arial"/>
                <w:sz w:val="14"/>
                <w:szCs w:val="14"/>
                <w:color w:val="auto"/>
              </w:rPr>
              <w:t>86</w:t>
            </w:r>
          </w:p>
        </w:tc>
        <w:tc>
          <w:tcPr>
            <w:tcW w:w="280" w:type="dxa"/>
            <w:vAlign w:val="bottom"/>
          </w:tcPr>
          <w:p>
            <w:pPr>
              <w:spacing w:after="0"/>
              <w:rPr>
                <w:sz w:val="12"/>
                <w:szCs w:val="12"/>
                <w:color w:val="auto"/>
              </w:rPr>
            </w:pPr>
          </w:p>
        </w:tc>
        <w:tc>
          <w:tcPr>
            <w:tcW w:w="56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74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64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(15)</w:t>
            </w:r>
          </w:p>
        </w:tc>
        <w:tc>
          <w:tcPr>
            <w:tcW w:w="340" w:type="dxa"/>
            <w:vAlign w:val="bottom"/>
          </w:tcPr>
          <w:p>
            <w:pPr>
              <w:spacing w:after="0"/>
              <w:rPr>
                <w:sz w:val="12"/>
                <w:szCs w:val="12"/>
                <w:color w:val="auto"/>
              </w:rPr>
            </w:pPr>
          </w:p>
        </w:tc>
        <w:tc>
          <w:tcPr>
            <w:tcW w:w="780" w:type="dxa"/>
            <w:vAlign w:val="bottom"/>
          </w:tcPr>
          <w:p>
            <w:pPr>
              <w:jc w:val="right"/>
              <w:ind w:right="192"/>
              <w:spacing w:after="0" w:line="142" w:lineRule="exact"/>
              <w:rPr>
                <w:sz w:val="20"/>
                <w:szCs w:val="20"/>
                <w:color w:val="auto"/>
              </w:rPr>
            </w:pPr>
            <w:r>
              <w:rPr>
                <w:rFonts w:ascii="Arial" w:cs="Arial" w:eastAsia="Arial" w:hAnsi="Arial"/>
                <w:sz w:val="14"/>
                <w:szCs w:val="14"/>
                <w:color w:val="auto"/>
              </w:rPr>
              <w:t>1,883</w:t>
            </w:r>
          </w:p>
        </w:tc>
        <w:tc>
          <w:tcPr>
            <w:tcW w:w="280" w:type="dxa"/>
            <w:vAlign w:val="bottom"/>
          </w:tcPr>
          <w:p>
            <w:pPr>
              <w:spacing w:after="0"/>
              <w:rPr>
                <w:sz w:val="12"/>
                <w:szCs w:val="12"/>
                <w:color w:val="auto"/>
              </w:rPr>
            </w:pPr>
          </w:p>
        </w:tc>
        <w:tc>
          <w:tcPr>
            <w:tcW w:w="96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700" w:type="dxa"/>
            <w:vAlign w:val="bottom"/>
          </w:tcPr>
          <w:p>
            <w:pPr>
              <w:jc w:val="right"/>
              <w:ind w:right="12"/>
              <w:spacing w:after="0" w:line="142" w:lineRule="exact"/>
              <w:rPr>
                <w:sz w:val="20"/>
                <w:szCs w:val="20"/>
                <w:color w:val="auto"/>
              </w:rPr>
            </w:pPr>
            <w:r>
              <w:rPr>
                <w:rFonts w:ascii="Arial" w:cs="Arial" w:eastAsia="Arial" w:hAnsi="Arial"/>
                <w:sz w:val="14"/>
                <w:szCs w:val="14"/>
                <w:color w:val="auto"/>
              </w:rPr>
              <w:t>1,954</w:t>
            </w:r>
          </w:p>
        </w:tc>
      </w:tr>
      <w:tr>
        <w:trPr>
          <w:trHeight w:val="149"/>
        </w:trPr>
        <w:tc>
          <w:tcPr>
            <w:tcW w:w="20" w:type="dxa"/>
            <w:vAlign w:val="bottom"/>
          </w:tcPr>
          <w:p>
            <w:pPr>
              <w:spacing w:after="0"/>
              <w:rPr>
                <w:sz w:val="12"/>
                <w:szCs w:val="12"/>
                <w:color w:val="auto"/>
              </w:rPr>
            </w:pPr>
          </w:p>
        </w:tc>
        <w:tc>
          <w:tcPr>
            <w:tcW w:w="378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Other Income (Expense):</w:t>
            </w:r>
          </w:p>
        </w:tc>
        <w:tc>
          <w:tcPr>
            <w:tcW w:w="78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56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74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64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960" w:type="dxa"/>
            <w:vAlign w:val="bottom"/>
            <w:shd w:val="clear" w:color="auto" w:fill="E5E5E5"/>
          </w:tcPr>
          <w:p>
            <w:pPr>
              <w:spacing w:after="0"/>
              <w:rPr>
                <w:sz w:val="12"/>
                <w:szCs w:val="12"/>
                <w:color w:val="auto"/>
              </w:rPr>
            </w:pPr>
          </w:p>
        </w:tc>
        <w:tc>
          <w:tcPr>
            <w:tcW w:w="32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780" w:type="dxa"/>
            <w:vAlign w:val="bottom"/>
          </w:tcPr>
          <w:p>
            <w:pPr>
              <w:ind w:left="200"/>
              <w:spacing w:after="0" w:line="149" w:lineRule="exact"/>
              <w:rPr>
                <w:sz w:val="20"/>
                <w:szCs w:val="20"/>
                <w:color w:val="auto"/>
              </w:rPr>
            </w:pPr>
            <w:r>
              <w:rPr>
                <w:rFonts w:ascii="Arial" w:cs="Arial" w:eastAsia="Arial" w:hAnsi="Arial"/>
                <w:sz w:val="14"/>
                <w:szCs w:val="14"/>
                <w:color w:val="auto"/>
              </w:rPr>
              <w:t>Interest expense</w:t>
            </w:r>
          </w:p>
        </w:tc>
        <w:tc>
          <w:tcPr>
            <w:tcW w:w="780" w:type="dxa"/>
            <w:vAlign w:val="bottom"/>
          </w:tcPr>
          <w:p>
            <w:pPr>
              <w:spacing w:after="0"/>
              <w:rPr>
                <w:sz w:val="12"/>
                <w:szCs w:val="12"/>
                <w:color w:val="auto"/>
              </w:rPr>
            </w:pPr>
          </w:p>
        </w:tc>
        <w:tc>
          <w:tcPr>
            <w:tcW w:w="6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(357)</w:t>
            </w:r>
          </w:p>
        </w:tc>
        <w:tc>
          <w:tcPr>
            <w:tcW w:w="280" w:type="dxa"/>
            <w:vAlign w:val="bottom"/>
          </w:tcPr>
          <w:p>
            <w:pPr>
              <w:spacing w:after="0"/>
              <w:rPr>
                <w:sz w:val="12"/>
                <w:szCs w:val="12"/>
                <w:color w:val="auto"/>
              </w:rPr>
            </w:pP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(101)</w:t>
            </w:r>
          </w:p>
        </w:tc>
        <w:tc>
          <w:tcPr>
            <w:tcW w:w="300" w:type="dxa"/>
            <w:vAlign w:val="bottom"/>
          </w:tcPr>
          <w:p>
            <w:pPr>
              <w:spacing w:after="0"/>
              <w:rPr>
                <w:sz w:val="12"/>
                <w:szCs w:val="12"/>
                <w:color w:val="auto"/>
              </w:rPr>
            </w:pPr>
          </w:p>
        </w:tc>
        <w:tc>
          <w:tcPr>
            <w:tcW w:w="7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(44)</w:t>
            </w:r>
          </w:p>
        </w:tc>
        <w:tc>
          <w:tcPr>
            <w:tcW w:w="340" w:type="dxa"/>
            <w:vAlign w:val="bottom"/>
          </w:tcPr>
          <w:p>
            <w:pPr>
              <w:spacing w:after="0"/>
              <w:rPr>
                <w:sz w:val="12"/>
                <w:szCs w:val="12"/>
                <w:color w:val="auto"/>
              </w:rPr>
            </w:pPr>
          </w:p>
        </w:tc>
        <w:tc>
          <w:tcPr>
            <w:tcW w:w="6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(8)</w:t>
            </w:r>
          </w:p>
        </w:tc>
        <w:tc>
          <w:tcPr>
            <w:tcW w:w="340" w:type="dxa"/>
            <w:vAlign w:val="bottom"/>
          </w:tcPr>
          <w:p>
            <w:pPr>
              <w:spacing w:after="0"/>
              <w:rPr>
                <w:sz w:val="12"/>
                <w:szCs w:val="12"/>
                <w:color w:val="auto"/>
              </w:rPr>
            </w:pPr>
          </w:p>
        </w:tc>
        <w:tc>
          <w:tcPr>
            <w:tcW w:w="7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(35)</w:t>
            </w:r>
          </w:p>
        </w:tc>
        <w:tc>
          <w:tcPr>
            <w:tcW w:w="280" w:type="dxa"/>
            <w:vAlign w:val="bottom"/>
          </w:tcPr>
          <w:p>
            <w:pPr>
              <w:spacing w:after="0"/>
              <w:rPr>
                <w:sz w:val="12"/>
                <w:szCs w:val="12"/>
                <w:color w:val="auto"/>
              </w:rPr>
            </w:pPr>
          </w:p>
        </w:tc>
        <w:tc>
          <w:tcPr>
            <w:tcW w:w="9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(545)</w:t>
            </w:r>
          </w:p>
        </w:tc>
      </w:tr>
      <w:tr>
        <w:trPr>
          <w:trHeight w:val="149"/>
        </w:trPr>
        <w:tc>
          <w:tcPr>
            <w:tcW w:w="20" w:type="dxa"/>
            <w:vAlign w:val="bottom"/>
          </w:tcPr>
          <w:p>
            <w:pPr>
              <w:spacing w:after="0"/>
              <w:rPr>
                <w:sz w:val="12"/>
                <w:szCs w:val="12"/>
                <w:color w:val="auto"/>
              </w:rPr>
            </w:pPr>
          </w:p>
        </w:tc>
        <w:tc>
          <w:tcPr>
            <w:tcW w:w="378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Investment income (loss), net</w:t>
            </w:r>
          </w:p>
        </w:tc>
        <w:tc>
          <w:tcPr>
            <w:tcW w:w="78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2</w:t>
            </w:r>
          </w:p>
        </w:tc>
        <w:tc>
          <w:tcPr>
            <w:tcW w:w="28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(1)</w:t>
            </w:r>
          </w:p>
        </w:tc>
        <w:tc>
          <w:tcPr>
            <w:tcW w:w="34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108</w:t>
            </w:r>
          </w:p>
        </w:tc>
        <w:tc>
          <w:tcPr>
            <w:tcW w:w="28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109</w:t>
            </w:r>
          </w:p>
        </w:tc>
      </w:tr>
      <w:tr>
        <w:trPr>
          <w:trHeight w:val="149"/>
        </w:trPr>
        <w:tc>
          <w:tcPr>
            <w:tcW w:w="20" w:type="dxa"/>
            <w:vAlign w:val="bottom"/>
          </w:tcPr>
          <w:p>
            <w:pPr>
              <w:spacing w:after="0"/>
              <w:rPr>
                <w:sz w:val="12"/>
                <w:szCs w:val="12"/>
                <w:color w:val="auto"/>
              </w:rPr>
            </w:pPr>
          </w:p>
        </w:tc>
        <w:tc>
          <w:tcPr>
            <w:tcW w:w="3780" w:type="dxa"/>
            <w:vAlign w:val="bottom"/>
          </w:tcPr>
          <w:p>
            <w:pPr>
              <w:ind w:left="200"/>
              <w:spacing w:after="0" w:line="149" w:lineRule="exact"/>
              <w:rPr>
                <w:sz w:val="20"/>
                <w:szCs w:val="20"/>
                <w:color w:val="auto"/>
              </w:rPr>
            </w:pPr>
            <w:r>
              <w:rPr>
                <w:rFonts w:ascii="Arial" w:cs="Arial" w:eastAsia="Arial" w:hAnsi="Arial"/>
                <w:sz w:val="14"/>
                <w:szCs w:val="14"/>
                <w:color w:val="auto"/>
              </w:rPr>
              <w:t>Equity in net income (losses) of investees, net</w:t>
            </w:r>
          </w:p>
        </w:tc>
        <w:tc>
          <w:tcPr>
            <w:tcW w:w="780" w:type="dxa"/>
            <w:vAlign w:val="bottom"/>
          </w:tcPr>
          <w:p>
            <w:pPr>
              <w:spacing w:after="0"/>
              <w:rPr>
                <w:sz w:val="12"/>
                <w:szCs w:val="12"/>
                <w:color w:val="auto"/>
              </w:rPr>
            </w:pPr>
          </w:p>
        </w:tc>
        <w:tc>
          <w:tcPr>
            <w:tcW w:w="600" w:type="dxa"/>
            <w:vAlign w:val="bottom"/>
          </w:tcPr>
          <w:p>
            <w:pPr>
              <w:jc w:val="right"/>
              <w:ind w:right="172"/>
              <w:spacing w:after="0" w:line="149" w:lineRule="exact"/>
              <w:rPr>
                <w:sz w:val="20"/>
                <w:szCs w:val="20"/>
                <w:color w:val="auto"/>
              </w:rPr>
            </w:pPr>
            <w:r>
              <w:rPr>
                <w:rFonts w:ascii="Arial" w:cs="Arial" w:eastAsia="Arial" w:hAnsi="Arial"/>
                <w:sz w:val="14"/>
                <w:szCs w:val="14"/>
                <w:color w:val="auto"/>
                <w:w w:val="96"/>
              </w:rPr>
              <w:t>1,057</w:t>
            </w:r>
          </w:p>
        </w:tc>
        <w:tc>
          <w:tcPr>
            <w:tcW w:w="280" w:type="dxa"/>
            <w:vAlign w:val="bottom"/>
          </w:tcPr>
          <w:p>
            <w:pPr>
              <w:spacing w:after="0"/>
              <w:rPr>
                <w:sz w:val="12"/>
                <w:szCs w:val="12"/>
                <w:color w:val="auto"/>
              </w:rPr>
            </w:pPr>
          </w:p>
        </w:tc>
        <w:tc>
          <w:tcPr>
            <w:tcW w:w="560" w:type="dxa"/>
            <w:vAlign w:val="bottom"/>
          </w:tcPr>
          <w:p>
            <w:pPr>
              <w:jc w:val="right"/>
              <w:ind w:right="172"/>
              <w:spacing w:after="0" w:line="149" w:lineRule="exact"/>
              <w:rPr>
                <w:sz w:val="20"/>
                <w:szCs w:val="20"/>
                <w:color w:val="auto"/>
              </w:rPr>
            </w:pPr>
            <w:r>
              <w:rPr>
                <w:rFonts w:ascii="Arial" w:cs="Arial" w:eastAsia="Arial" w:hAnsi="Arial"/>
                <w:sz w:val="14"/>
                <w:szCs w:val="14"/>
                <w:color w:val="auto"/>
                <w:w w:val="85"/>
              </w:rPr>
              <w:t>1,119</w:t>
            </w:r>
          </w:p>
        </w:tc>
        <w:tc>
          <w:tcPr>
            <w:tcW w:w="300" w:type="dxa"/>
            <w:vAlign w:val="bottom"/>
          </w:tcPr>
          <w:p>
            <w:pPr>
              <w:spacing w:after="0"/>
              <w:rPr>
                <w:sz w:val="12"/>
                <w:szCs w:val="12"/>
                <w:color w:val="auto"/>
              </w:rPr>
            </w:pPr>
          </w:p>
        </w:tc>
        <w:tc>
          <w:tcPr>
            <w:tcW w:w="7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701</w:t>
            </w:r>
          </w:p>
        </w:tc>
        <w:tc>
          <w:tcPr>
            <w:tcW w:w="340" w:type="dxa"/>
            <w:vAlign w:val="bottom"/>
          </w:tcPr>
          <w:p>
            <w:pPr>
              <w:spacing w:after="0"/>
              <w:rPr>
                <w:sz w:val="12"/>
                <w:szCs w:val="12"/>
                <w:color w:val="auto"/>
              </w:rPr>
            </w:pPr>
          </w:p>
        </w:tc>
        <w:tc>
          <w:tcPr>
            <w:tcW w:w="6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1,137</w:t>
            </w:r>
          </w:p>
        </w:tc>
        <w:tc>
          <w:tcPr>
            <w:tcW w:w="340" w:type="dxa"/>
            <w:vAlign w:val="bottom"/>
          </w:tcPr>
          <w:p>
            <w:pPr>
              <w:spacing w:after="0"/>
              <w:rPr>
                <w:sz w:val="12"/>
                <w:szCs w:val="12"/>
                <w:color w:val="auto"/>
              </w:rPr>
            </w:pPr>
          </w:p>
        </w:tc>
        <w:tc>
          <w:tcPr>
            <w:tcW w:w="7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(40)</w:t>
            </w:r>
          </w:p>
        </w:tc>
        <w:tc>
          <w:tcPr>
            <w:tcW w:w="280" w:type="dxa"/>
            <w:vAlign w:val="bottom"/>
          </w:tcPr>
          <w:p>
            <w:pPr>
              <w:spacing w:after="0"/>
              <w:rPr>
                <w:sz w:val="12"/>
                <w:szCs w:val="12"/>
                <w:color w:val="auto"/>
              </w:rPr>
            </w:pPr>
          </w:p>
        </w:tc>
        <w:tc>
          <w:tcPr>
            <w:tcW w:w="9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(4,014)</w:t>
            </w:r>
          </w:p>
        </w:tc>
        <w:tc>
          <w:tcPr>
            <w:tcW w:w="3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r>
      <w:tr>
        <w:trPr>
          <w:trHeight w:val="149"/>
        </w:trPr>
        <w:tc>
          <w:tcPr>
            <w:tcW w:w="20" w:type="dxa"/>
            <w:vAlign w:val="bottom"/>
          </w:tcPr>
          <w:p>
            <w:pPr>
              <w:spacing w:after="0"/>
              <w:rPr>
                <w:sz w:val="12"/>
                <w:szCs w:val="12"/>
                <w:color w:val="auto"/>
              </w:rPr>
            </w:pPr>
          </w:p>
        </w:tc>
        <w:tc>
          <w:tcPr>
            <w:tcW w:w="378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Other income (expense), net</w:t>
            </w:r>
          </w:p>
        </w:tc>
        <w:tc>
          <w:tcPr>
            <w:tcW w:w="78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(24)</w:t>
            </w:r>
          </w:p>
        </w:tc>
        <w:tc>
          <w:tcPr>
            <w:tcW w:w="28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E5E5E5"/>
          </w:tcPr>
          <w:p>
            <w:pPr>
              <w:spacing w:after="0"/>
              <w:rPr>
                <w:sz w:val="12"/>
                <w:szCs w:val="12"/>
                <w:color w:val="auto"/>
              </w:rPr>
            </w:pPr>
          </w:p>
        </w:tc>
        <w:tc>
          <w:tcPr>
            <w:tcW w:w="640" w:type="dxa"/>
            <w:vAlign w:val="bottom"/>
            <w:tcBorders>
              <w:bottom w:val="single" w:sz="8" w:color="auto"/>
            </w:tcBorders>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E5E5E5"/>
          </w:tcPr>
          <w:p>
            <w:pPr>
              <w:spacing w:after="0"/>
              <w:rPr>
                <w:sz w:val="12"/>
                <w:szCs w:val="12"/>
                <w:color w:val="auto"/>
              </w:rPr>
            </w:pPr>
          </w:p>
        </w:tc>
        <w:tc>
          <w:tcPr>
            <w:tcW w:w="780" w:type="dxa"/>
            <w:vAlign w:val="bottom"/>
            <w:tcBorders>
              <w:bottom w:val="single" w:sz="8" w:color="auto"/>
            </w:tcBorders>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E5E5E5"/>
          </w:tcPr>
          <w:p>
            <w:pPr>
              <w:spacing w:after="0"/>
              <w:rPr>
                <w:sz w:val="12"/>
                <w:szCs w:val="12"/>
                <w:color w:val="auto"/>
              </w:rPr>
            </w:pPr>
          </w:p>
        </w:tc>
        <w:tc>
          <w:tcPr>
            <w:tcW w:w="96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(24)</w:t>
            </w:r>
          </w:p>
        </w:tc>
      </w:tr>
      <w:tr>
        <w:trPr>
          <w:trHeight w:val="142"/>
        </w:trPr>
        <w:tc>
          <w:tcPr>
            <w:tcW w:w="20" w:type="dxa"/>
            <w:vAlign w:val="bottom"/>
          </w:tcPr>
          <w:p>
            <w:pPr>
              <w:spacing w:after="0"/>
              <w:rPr>
                <w:sz w:val="12"/>
                <w:szCs w:val="12"/>
                <w:color w:val="auto"/>
              </w:rPr>
            </w:pPr>
          </w:p>
        </w:tc>
        <w:tc>
          <w:tcPr>
            <w:tcW w:w="37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678</w:t>
            </w: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w w:val="85"/>
              </w:rPr>
              <w:t>1,018</w:t>
            </w: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657</w:t>
            </w: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1,128</w:t>
            </w: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33</w:t>
            </w: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(4,014)</w:t>
            </w: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(500)</w:t>
            </w:r>
          </w:p>
        </w:tc>
      </w:tr>
      <w:tr>
        <w:trPr>
          <w:trHeight w:val="142"/>
        </w:trPr>
        <w:tc>
          <w:tcPr>
            <w:tcW w:w="20" w:type="dxa"/>
            <w:vAlign w:val="bottom"/>
          </w:tcPr>
          <w:p>
            <w:pPr>
              <w:spacing w:after="0"/>
              <w:rPr>
                <w:sz w:val="12"/>
                <w:szCs w:val="12"/>
                <w:color w:val="auto"/>
              </w:rPr>
            </w:pPr>
          </w:p>
        </w:tc>
        <w:tc>
          <w:tcPr>
            <w:tcW w:w="378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Income (loss) before income taxes</w:t>
            </w:r>
          </w:p>
        </w:tc>
        <w:tc>
          <w:tcPr>
            <w:tcW w:w="78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764</w:t>
            </w:r>
          </w:p>
        </w:tc>
        <w:tc>
          <w:tcPr>
            <w:tcW w:w="28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w w:val="85"/>
              </w:rPr>
              <w:t>1,018</w:t>
            </w:r>
          </w:p>
        </w:tc>
        <w:tc>
          <w:tcPr>
            <w:tcW w:w="30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657</w:t>
            </w:r>
          </w:p>
        </w:tc>
        <w:tc>
          <w:tcPr>
            <w:tcW w:w="34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1,113</w:t>
            </w:r>
          </w:p>
        </w:tc>
        <w:tc>
          <w:tcPr>
            <w:tcW w:w="34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1,916</w:t>
            </w:r>
          </w:p>
        </w:tc>
        <w:tc>
          <w:tcPr>
            <w:tcW w:w="28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32"/>
              <w:spacing w:after="0" w:line="142" w:lineRule="exact"/>
              <w:rPr>
                <w:sz w:val="20"/>
                <w:szCs w:val="20"/>
                <w:color w:val="auto"/>
              </w:rPr>
            </w:pPr>
            <w:r>
              <w:rPr>
                <w:rFonts w:ascii="Arial" w:cs="Arial" w:eastAsia="Arial" w:hAnsi="Arial"/>
                <w:sz w:val="14"/>
                <w:szCs w:val="14"/>
                <w:color w:val="auto"/>
              </w:rPr>
              <w:t>(4,014)</w:t>
            </w:r>
          </w:p>
        </w:tc>
        <w:tc>
          <w:tcPr>
            <w:tcW w:w="32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1,454</w:t>
            </w:r>
          </w:p>
        </w:tc>
      </w:tr>
      <w:tr>
        <w:trPr>
          <w:trHeight w:val="149"/>
        </w:trPr>
        <w:tc>
          <w:tcPr>
            <w:tcW w:w="20" w:type="dxa"/>
            <w:vAlign w:val="bottom"/>
          </w:tcPr>
          <w:p>
            <w:pPr>
              <w:spacing w:after="0"/>
              <w:rPr>
                <w:sz w:val="12"/>
                <w:szCs w:val="12"/>
                <w:color w:val="auto"/>
              </w:rPr>
            </w:pPr>
          </w:p>
        </w:tc>
        <w:tc>
          <w:tcPr>
            <w:tcW w:w="37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Income tax (expense) benefit</w:t>
            </w:r>
          </w:p>
        </w:tc>
        <w:tc>
          <w:tcPr>
            <w:tcW w:w="7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103</w:t>
            </w: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36</w:t>
            </w: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16</w:t>
            </w: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9</w:t>
            </w: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(748)</w:t>
            </w: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(584)</w:t>
            </w:r>
          </w:p>
        </w:tc>
      </w:tr>
      <w:tr>
        <w:trPr>
          <w:trHeight w:val="142"/>
        </w:trPr>
        <w:tc>
          <w:tcPr>
            <w:tcW w:w="20" w:type="dxa"/>
            <w:vAlign w:val="bottom"/>
          </w:tcPr>
          <w:p>
            <w:pPr>
              <w:spacing w:after="0"/>
              <w:rPr>
                <w:sz w:val="12"/>
                <w:szCs w:val="12"/>
                <w:color w:val="auto"/>
              </w:rPr>
            </w:pPr>
          </w:p>
        </w:tc>
        <w:tc>
          <w:tcPr>
            <w:tcW w:w="378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Net income (loss) from consolidated operations</w:t>
            </w:r>
          </w:p>
        </w:tc>
        <w:tc>
          <w:tcPr>
            <w:tcW w:w="78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867</w:t>
            </w:r>
          </w:p>
        </w:tc>
        <w:tc>
          <w:tcPr>
            <w:tcW w:w="28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w w:val="85"/>
              </w:rPr>
              <w:t>1,054</w:t>
            </w:r>
          </w:p>
        </w:tc>
        <w:tc>
          <w:tcPr>
            <w:tcW w:w="30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673</w:t>
            </w:r>
          </w:p>
        </w:tc>
        <w:tc>
          <w:tcPr>
            <w:tcW w:w="34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1,122</w:t>
            </w:r>
          </w:p>
        </w:tc>
        <w:tc>
          <w:tcPr>
            <w:tcW w:w="34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1,168</w:t>
            </w:r>
          </w:p>
        </w:tc>
        <w:tc>
          <w:tcPr>
            <w:tcW w:w="28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32"/>
              <w:spacing w:after="0" w:line="142" w:lineRule="exact"/>
              <w:rPr>
                <w:sz w:val="20"/>
                <w:szCs w:val="20"/>
                <w:color w:val="auto"/>
              </w:rPr>
            </w:pPr>
            <w:r>
              <w:rPr>
                <w:rFonts w:ascii="Arial" w:cs="Arial" w:eastAsia="Arial" w:hAnsi="Arial"/>
                <w:sz w:val="14"/>
                <w:szCs w:val="14"/>
                <w:color w:val="auto"/>
              </w:rPr>
              <w:t>(4,014)</w:t>
            </w:r>
          </w:p>
        </w:tc>
        <w:tc>
          <w:tcPr>
            <w:tcW w:w="32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870</w:t>
            </w:r>
          </w:p>
        </w:tc>
      </w:tr>
      <w:tr>
        <w:trPr>
          <w:trHeight w:val="149"/>
        </w:trPr>
        <w:tc>
          <w:tcPr>
            <w:tcW w:w="20" w:type="dxa"/>
            <w:vAlign w:val="bottom"/>
          </w:tcPr>
          <w:p>
            <w:pPr>
              <w:spacing w:after="0"/>
              <w:rPr>
                <w:sz w:val="12"/>
                <w:szCs w:val="12"/>
                <w:color w:val="auto"/>
              </w:rPr>
            </w:pPr>
          </w:p>
        </w:tc>
        <w:tc>
          <w:tcPr>
            <w:tcW w:w="37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Net (income) loss attributable to noncontrolling interests</w:t>
            </w:r>
          </w:p>
        </w:tc>
        <w:tc>
          <w:tcPr>
            <w:tcW w:w="7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(3)</w:t>
            </w: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w:t>
            </w:r>
          </w:p>
        </w:tc>
      </w:tr>
      <w:tr>
        <w:trPr>
          <w:trHeight w:val="149"/>
        </w:trPr>
        <w:tc>
          <w:tcPr>
            <w:tcW w:w="20" w:type="dxa"/>
            <w:vAlign w:val="bottom"/>
          </w:tcPr>
          <w:p>
            <w:pPr>
              <w:spacing w:after="0"/>
              <w:rPr>
                <w:sz w:val="12"/>
                <w:szCs w:val="12"/>
                <w:color w:val="auto"/>
              </w:rPr>
            </w:pPr>
          </w:p>
        </w:tc>
        <w:tc>
          <w:tcPr>
            <w:tcW w:w="3780" w:type="dxa"/>
            <w:vAlign w:val="bottom"/>
            <w:tcBorders>
              <w:bottom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Net income (loss) attributable to Comcast Corporation</w:t>
            </w:r>
          </w:p>
        </w:tc>
        <w:tc>
          <w:tcPr>
            <w:tcW w:w="780" w:type="dxa"/>
            <w:vAlign w:val="bottom"/>
            <w:tcBorders>
              <w:bottom w:val="single" w:sz="8" w:color="auto"/>
            </w:tcBorders>
            <w:shd w:val="clear" w:color="auto" w:fill="E5E5E5"/>
          </w:tcPr>
          <w:p>
            <w:pPr>
              <w:ind w:left="660"/>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b w:val="1"/>
                <w:bCs w:val="1"/>
                <w:color w:val="auto"/>
              </w:rPr>
              <w:t>867</w:t>
            </w:r>
          </w:p>
        </w:tc>
        <w:tc>
          <w:tcPr>
            <w:tcW w:w="28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b w:val="1"/>
                <w:bCs w:val="1"/>
                <w:color w:val="auto"/>
                <w:w w:val="85"/>
              </w:rPr>
              <w:t>1,054</w:t>
            </w:r>
          </w:p>
        </w:tc>
        <w:tc>
          <w:tcPr>
            <w:tcW w:w="300" w:type="dxa"/>
            <w:vAlign w:val="bottom"/>
            <w:tcBorders>
              <w:bottom w:val="single" w:sz="8" w:color="auto"/>
            </w:tcBorders>
            <w:shd w:val="clear" w:color="auto" w:fill="E5E5E5"/>
          </w:tcPr>
          <w:p>
            <w:pPr>
              <w:ind w:left="220"/>
              <w:spacing w:after="0" w:line="142"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auto"/>
            </w:tcBorders>
            <w:shd w:val="clear" w:color="auto" w:fill="E5E5E5"/>
          </w:tcPr>
          <w:p>
            <w:pPr>
              <w:jc w:val="right"/>
              <w:ind w:right="192"/>
              <w:spacing w:after="0" w:line="142" w:lineRule="exact"/>
              <w:rPr>
                <w:sz w:val="20"/>
                <w:szCs w:val="20"/>
                <w:color w:val="auto"/>
              </w:rPr>
            </w:pPr>
            <w:r>
              <w:rPr>
                <w:rFonts w:ascii="Arial" w:cs="Arial" w:eastAsia="Arial" w:hAnsi="Arial"/>
                <w:sz w:val="14"/>
                <w:szCs w:val="14"/>
                <w:b w:val="1"/>
                <w:bCs w:val="1"/>
                <w:color w:val="auto"/>
              </w:rPr>
              <w:t>673</w:t>
            </w:r>
          </w:p>
        </w:tc>
        <w:tc>
          <w:tcPr>
            <w:tcW w:w="340" w:type="dxa"/>
            <w:vAlign w:val="bottom"/>
            <w:tcBorders>
              <w:bottom w:val="single" w:sz="8" w:color="auto"/>
            </w:tcBorders>
            <w:shd w:val="clear" w:color="auto" w:fill="E5E5E5"/>
          </w:tcPr>
          <w:p>
            <w:pPr>
              <w:ind w:left="220"/>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E5E5E5"/>
          </w:tcPr>
          <w:p>
            <w:pPr>
              <w:jc w:val="right"/>
              <w:ind w:right="192"/>
              <w:spacing w:after="0" w:line="142" w:lineRule="exact"/>
              <w:rPr>
                <w:sz w:val="20"/>
                <w:szCs w:val="20"/>
                <w:color w:val="auto"/>
              </w:rPr>
            </w:pPr>
            <w:r>
              <w:rPr>
                <w:rFonts w:ascii="Arial" w:cs="Arial" w:eastAsia="Arial" w:hAnsi="Arial"/>
                <w:sz w:val="14"/>
                <w:szCs w:val="14"/>
                <w:b w:val="1"/>
                <w:bCs w:val="1"/>
                <w:color w:val="auto"/>
              </w:rPr>
              <w:t>1,122</w:t>
            </w:r>
          </w:p>
        </w:tc>
        <w:tc>
          <w:tcPr>
            <w:tcW w:w="340" w:type="dxa"/>
            <w:vAlign w:val="bottom"/>
            <w:tcBorders>
              <w:bottom w:val="single" w:sz="8" w:color="auto"/>
            </w:tcBorders>
            <w:shd w:val="clear" w:color="auto" w:fill="E5E5E5"/>
          </w:tcPr>
          <w:p>
            <w:pPr>
              <w:ind w:left="200"/>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E5E5E5"/>
          </w:tcPr>
          <w:p>
            <w:pPr>
              <w:jc w:val="right"/>
              <w:ind w:right="192"/>
              <w:spacing w:after="0" w:line="142" w:lineRule="exact"/>
              <w:rPr>
                <w:sz w:val="20"/>
                <w:szCs w:val="20"/>
                <w:color w:val="auto"/>
              </w:rPr>
            </w:pPr>
            <w:r>
              <w:rPr>
                <w:rFonts w:ascii="Arial" w:cs="Arial" w:eastAsia="Arial" w:hAnsi="Arial"/>
                <w:sz w:val="14"/>
                <w:szCs w:val="14"/>
                <w:b w:val="1"/>
                <w:bCs w:val="1"/>
                <w:color w:val="auto"/>
              </w:rPr>
              <w:t>1,165</w:t>
            </w:r>
          </w:p>
        </w:tc>
        <w:tc>
          <w:tcPr>
            <w:tcW w:w="28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E5E5E5"/>
          </w:tcPr>
          <w:p>
            <w:pPr>
              <w:jc w:val="right"/>
              <w:ind w:right="132"/>
              <w:spacing w:after="0" w:line="142" w:lineRule="exact"/>
              <w:rPr>
                <w:sz w:val="20"/>
                <w:szCs w:val="20"/>
                <w:color w:val="auto"/>
              </w:rPr>
            </w:pPr>
            <w:r>
              <w:rPr>
                <w:rFonts w:ascii="Arial" w:cs="Arial" w:eastAsia="Arial" w:hAnsi="Arial"/>
                <w:sz w:val="14"/>
                <w:szCs w:val="14"/>
                <w:b w:val="1"/>
                <w:bCs w:val="1"/>
                <w:color w:val="auto"/>
              </w:rPr>
              <w:t>(4,014)</w:t>
            </w:r>
          </w:p>
        </w:tc>
        <w:tc>
          <w:tcPr>
            <w:tcW w:w="320" w:type="dxa"/>
            <w:vAlign w:val="bottom"/>
            <w:tcBorders>
              <w:bottom w:val="single" w:sz="8" w:color="auto"/>
            </w:tcBorders>
            <w:shd w:val="clear" w:color="auto" w:fill="E5E5E5"/>
          </w:tcPr>
          <w:p>
            <w:pPr>
              <w:ind w:left="220"/>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b w:val="1"/>
                <w:bCs w:val="1"/>
                <w:color w:val="auto"/>
              </w:rPr>
              <w:t>867</w:t>
            </w: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For the Nine Months Ended September 30, 2011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center"/>
              <w:ind w:right="212"/>
              <w:spacing w:after="0"/>
              <w:rPr>
                <w:sz w:val="20"/>
                <w:szCs w:val="20"/>
                <w:color w:val="auto"/>
              </w:rPr>
            </w:pPr>
            <w:r>
              <w:rPr>
                <w:rFonts w:ascii="Arial" w:cs="Arial" w:eastAsia="Arial" w:hAnsi="Arial"/>
                <w:sz w:val="14"/>
                <w:szCs w:val="14"/>
                <w:color w:val="auto"/>
                <w:w w:val="93"/>
              </w:rPr>
              <w:t>Elimination</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Combined</w:t>
            </w: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Non-</w:t>
            </w:r>
          </w:p>
        </w:tc>
        <w:tc>
          <w:tcPr>
            <w:tcW w:w="260" w:type="dxa"/>
            <w:vAlign w:val="bottom"/>
          </w:tcPr>
          <w:p>
            <w:pPr>
              <w:spacing w:after="0"/>
              <w:rPr>
                <w:sz w:val="12"/>
                <w:szCs w:val="12"/>
                <w:color w:val="auto"/>
              </w:rPr>
            </w:pPr>
          </w:p>
        </w:tc>
        <w:tc>
          <w:tcPr>
            <w:tcW w:w="920" w:type="dxa"/>
            <w:vAlign w:val="bottom"/>
          </w:tcPr>
          <w:p>
            <w:pPr>
              <w:jc w:val="center"/>
              <w:ind w:right="212"/>
              <w:spacing w:after="0" w:line="149" w:lineRule="exact"/>
              <w:rPr>
                <w:sz w:val="20"/>
                <w:szCs w:val="20"/>
                <w:color w:val="auto"/>
              </w:rPr>
            </w:pPr>
            <w:r>
              <w:rPr>
                <w:rFonts w:ascii="Arial" w:cs="Arial" w:eastAsia="Arial" w:hAnsi="Arial"/>
                <w:sz w:val="14"/>
                <w:szCs w:val="14"/>
                <w:color w:val="auto"/>
                <w:w w:val="85"/>
              </w:rPr>
              <w:t>and</w:t>
            </w:r>
          </w:p>
        </w:tc>
        <w:tc>
          <w:tcPr>
            <w:tcW w:w="98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95"/>
              </w:rPr>
              <w:t>Consolidated</w:t>
            </w: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540" w:type="dxa"/>
            <w:vAlign w:val="bottom"/>
            <w:gridSpan w:val="2"/>
          </w:tcPr>
          <w:p>
            <w:pPr>
              <w:ind w:left="860"/>
              <w:spacing w:after="0" w:line="149" w:lineRule="exact"/>
              <w:rPr>
                <w:sz w:val="20"/>
                <w:szCs w:val="20"/>
                <w:color w:val="auto"/>
              </w:rPr>
            </w:pPr>
            <w:r>
              <w:rPr>
                <w:rFonts w:ascii="Arial" w:cs="Arial" w:eastAsia="Arial" w:hAnsi="Arial"/>
                <w:sz w:val="14"/>
                <w:szCs w:val="14"/>
                <w:color w:val="auto"/>
              </w:rPr>
              <w:t>Comcast</w:t>
            </w:r>
          </w:p>
        </w:tc>
        <w:tc>
          <w:tcPr>
            <w:tcW w:w="7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CCCL</w:t>
            </w:r>
          </w:p>
        </w:tc>
        <w:tc>
          <w:tcPr>
            <w:tcW w:w="96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CCHMO</w:t>
            </w:r>
          </w:p>
        </w:tc>
        <w:tc>
          <w:tcPr>
            <w:tcW w:w="9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Comcast</w:t>
            </w:r>
          </w:p>
        </w:tc>
        <w:tc>
          <w:tcPr>
            <w:tcW w:w="106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Guarantor</w:t>
            </w: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Consolidation</w:t>
            </w:r>
          </w:p>
        </w:tc>
        <w:tc>
          <w:tcPr>
            <w:tcW w:w="280" w:type="dxa"/>
            <w:vAlign w:val="bottom"/>
          </w:tcPr>
          <w:p>
            <w:pPr>
              <w:spacing w:after="0"/>
              <w:rPr>
                <w:sz w:val="12"/>
                <w:szCs w:val="12"/>
                <w:color w:val="auto"/>
              </w:rPr>
            </w:pPr>
          </w:p>
        </w:tc>
        <w:tc>
          <w:tcPr>
            <w:tcW w:w="70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40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540" w:type="dxa"/>
            <w:vAlign w:val="bottom"/>
            <w:gridSpan w:val="2"/>
          </w:tcPr>
          <w:p>
            <w:pPr>
              <w:jc w:val="right"/>
              <w:ind w:right="212"/>
              <w:spacing w:after="0"/>
              <w:rPr>
                <w:sz w:val="20"/>
                <w:szCs w:val="20"/>
                <w:color w:val="auto"/>
              </w:rPr>
            </w:pPr>
            <w:r>
              <w:rPr>
                <w:rFonts w:ascii="Arial" w:cs="Arial" w:eastAsia="Arial" w:hAnsi="Arial"/>
                <w:sz w:val="14"/>
                <w:szCs w:val="14"/>
                <w:color w:val="auto"/>
              </w:rPr>
              <w:t>Parent</w:t>
            </w:r>
          </w:p>
        </w:tc>
        <w:tc>
          <w:tcPr>
            <w:tcW w:w="780" w:type="dxa"/>
            <w:vAlign w:val="bottom"/>
            <w:gridSpan w:val="2"/>
          </w:tcPr>
          <w:p>
            <w:pPr>
              <w:ind w:left="200"/>
              <w:spacing w:after="0"/>
              <w:rPr>
                <w:sz w:val="20"/>
                <w:szCs w:val="20"/>
                <w:color w:val="auto"/>
              </w:rPr>
            </w:pPr>
            <w:r>
              <w:rPr>
                <w:rFonts w:ascii="Arial" w:cs="Arial" w:eastAsia="Arial" w:hAnsi="Arial"/>
                <w:sz w:val="14"/>
                <w:szCs w:val="14"/>
                <w:color w:val="auto"/>
              </w:rPr>
              <w:t>Parent</w:t>
            </w:r>
          </w:p>
        </w:tc>
        <w:tc>
          <w:tcPr>
            <w:tcW w:w="240" w:type="dxa"/>
            <w:vAlign w:val="bottom"/>
          </w:tcPr>
          <w:p>
            <w:pPr>
              <w:spacing w:after="0"/>
              <w:rPr>
                <w:sz w:val="15"/>
                <w:szCs w:val="15"/>
                <w:color w:val="auto"/>
              </w:rPr>
            </w:pPr>
          </w:p>
        </w:tc>
        <w:tc>
          <w:tcPr>
            <w:tcW w:w="720" w:type="dxa"/>
            <w:vAlign w:val="bottom"/>
          </w:tcPr>
          <w:p>
            <w:pPr>
              <w:jc w:val="right"/>
              <w:ind w:right="252"/>
              <w:spacing w:after="0"/>
              <w:rPr>
                <w:sz w:val="20"/>
                <w:szCs w:val="20"/>
                <w:color w:val="auto"/>
              </w:rPr>
            </w:pPr>
            <w:r>
              <w:rPr>
                <w:rFonts w:ascii="Arial" w:cs="Arial" w:eastAsia="Arial" w:hAnsi="Arial"/>
                <w:sz w:val="14"/>
                <w:szCs w:val="14"/>
                <w:color w:val="auto"/>
                <w:w w:val="78"/>
              </w:rPr>
              <w:t>Parents</w:t>
            </w:r>
          </w:p>
        </w:tc>
        <w:tc>
          <w:tcPr>
            <w:tcW w:w="900" w:type="dxa"/>
            <w:vAlign w:val="bottom"/>
            <w:gridSpan w:val="2"/>
          </w:tcPr>
          <w:p>
            <w:pPr>
              <w:ind w:left="180"/>
              <w:spacing w:after="0"/>
              <w:rPr>
                <w:sz w:val="20"/>
                <w:szCs w:val="20"/>
                <w:color w:val="auto"/>
              </w:rPr>
            </w:pPr>
            <w:r>
              <w:rPr>
                <w:rFonts w:ascii="Arial" w:cs="Arial" w:eastAsia="Arial" w:hAnsi="Arial"/>
                <w:sz w:val="14"/>
                <w:szCs w:val="14"/>
                <w:color w:val="auto"/>
              </w:rPr>
              <w:t>Holdings</w:t>
            </w:r>
          </w:p>
        </w:tc>
        <w:tc>
          <w:tcPr>
            <w:tcW w:w="1060" w:type="dxa"/>
            <w:vAlign w:val="bottom"/>
            <w:gridSpan w:val="2"/>
          </w:tcPr>
          <w:p>
            <w:pPr>
              <w:ind w:left="180"/>
              <w:spacing w:after="0"/>
              <w:rPr>
                <w:sz w:val="20"/>
                <w:szCs w:val="20"/>
                <w:color w:val="auto"/>
              </w:rPr>
            </w:pPr>
            <w:r>
              <w:rPr>
                <w:rFonts w:ascii="Arial" w:cs="Arial" w:eastAsia="Arial" w:hAnsi="Arial"/>
                <w:sz w:val="14"/>
                <w:szCs w:val="14"/>
                <w:color w:val="auto"/>
              </w:rPr>
              <w:t>Subsidiaries</w:t>
            </w:r>
          </w:p>
        </w:tc>
        <w:tc>
          <w:tcPr>
            <w:tcW w:w="118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80" w:type="dxa"/>
            <w:vAlign w:val="bottom"/>
            <w:gridSpan w:val="2"/>
          </w:tcPr>
          <w:p>
            <w:pPr>
              <w:jc w:val="right"/>
              <w:ind w:right="52"/>
              <w:spacing w:after="0"/>
              <w:rPr>
                <w:sz w:val="20"/>
                <w:szCs w:val="20"/>
                <w:color w:val="auto"/>
              </w:rPr>
            </w:pPr>
            <w:r>
              <w:rPr>
                <w:rFonts w:ascii="Arial" w:cs="Arial" w:eastAsia="Arial" w:hAnsi="Arial"/>
                <w:sz w:val="14"/>
                <w:szCs w:val="14"/>
                <w:color w:val="auto"/>
              </w:rPr>
              <w:t>Corporation</w:t>
            </w:r>
          </w:p>
        </w:tc>
      </w:tr>
      <w:tr>
        <w:trPr>
          <w:trHeight w:val="142"/>
        </w:trPr>
        <w:tc>
          <w:tcPr>
            <w:tcW w:w="20" w:type="dxa"/>
            <w:vAlign w:val="bottom"/>
          </w:tcPr>
          <w:p>
            <w:pPr>
              <w:spacing w:after="0"/>
              <w:rPr>
                <w:sz w:val="12"/>
                <w:szCs w:val="12"/>
                <w:color w:val="auto"/>
              </w:rPr>
            </w:pPr>
          </w:p>
        </w:tc>
        <w:tc>
          <w:tcPr>
            <w:tcW w:w="4000" w:type="dxa"/>
            <w:vAlign w:val="bottom"/>
            <w:tcBorders>
              <w:top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Revenue:</w:t>
            </w:r>
          </w:p>
        </w:tc>
        <w:tc>
          <w:tcPr>
            <w:tcW w:w="940" w:type="dxa"/>
            <w:vAlign w:val="bottom"/>
            <w:tcBorders>
              <w:top w:val="single" w:sz="8" w:color="auto"/>
            </w:tcBorders>
            <w:shd w:val="clear" w:color="auto" w:fill="E5E5E5"/>
          </w:tcPr>
          <w:p>
            <w:pPr>
              <w:spacing w:after="0"/>
              <w:rPr>
                <w:sz w:val="12"/>
                <w:szCs w:val="12"/>
                <w:color w:val="auto"/>
              </w:rPr>
            </w:pPr>
          </w:p>
        </w:tc>
        <w:tc>
          <w:tcPr>
            <w:tcW w:w="600" w:type="dxa"/>
            <w:vAlign w:val="bottom"/>
            <w:tcBorders>
              <w:top w:val="single" w:sz="8" w:color="auto"/>
            </w:tcBorders>
            <w:shd w:val="clear" w:color="auto" w:fill="E5E5E5"/>
          </w:tcPr>
          <w:p>
            <w:pPr>
              <w:spacing w:after="0"/>
              <w:rPr>
                <w:sz w:val="12"/>
                <w:szCs w:val="12"/>
                <w:color w:val="auto"/>
              </w:rPr>
            </w:pPr>
          </w:p>
        </w:tc>
        <w:tc>
          <w:tcPr>
            <w:tcW w:w="240" w:type="dxa"/>
            <w:vAlign w:val="bottom"/>
            <w:tcBorders>
              <w:top w:val="single" w:sz="8" w:color="auto"/>
            </w:tcBorders>
            <w:shd w:val="clear" w:color="auto" w:fill="E5E5E5"/>
          </w:tcPr>
          <w:p>
            <w:pPr>
              <w:spacing w:after="0"/>
              <w:rPr>
                <w:sz w:val="12"/>
                <w:szCs w:val="12"/>
                <w:color w:val="auto"/>
              </w:rPr>
            </w:pPr>
          </w:p>
        </w:tc>
        <w:tc>
          <w:tcPr>
            <w:tcW w:w="540" w:type="dxa"/>
            <w:vAlign w:val="bottom"/>
            <w:tcBorders>
              <w:top w:val="single" w:sz="8" w:color="auto"/>
            </w:tcBorders>
            <w:shd w:val="clear" w:color="auto" w:fill="E5E5E5"/>
          </w:tcPr>
          <w:p>
            <w:pPr>
              <w:spacing w:after="0"/>
              <w:rPr>
                <w:sz w:val="12"/>
                <w:szCs w:val="12"/>
                <w:color w:val="auto"/>
              </w:rPr>
            </w:pPr>
          </w:p>
        </w:tc>
        <w:tc>
          <w:tcPr>
            <w:tcW w:w="240" w:type="dxa"/>
            <w:vAlign w:val="bottom"/>
            <w:tcBorders>
              <w:top w:val="single" w:sz="8" w:color="auto"/>
            </w:tcBorders>
            <w:shd w:val="clear" w:color="auto" w:fill="E5E5E5"/>
          </w:tcPr>
          <w:p>
            <w:pPr>
              <w:spacing w:after="0"/>
              <w:rPr>
                <w:sz w:val="12"/>
                <w:szCs w:val="12"/>
                <w:color w:val="auto"/>
              </w:rPr>
            </w:pPr>
          </w:p>
        </w:tc>
        <w:tc>
          <w:tcPr>
            <w:tcW w:w="720" w:type="dxa"/>
            <w:vAlign w:val="bottom"/>
            <w:tcBorders>
              <w:top w:val="single" w:sz="8" w:color="auto"/>
            </w:tcBorders>
            <w:shd w:val="clear" w:color="auto" w:fill="E5E5E5"/>
          </w:tcPr>
          <w:p>
            <w:pPr>
              <w:spacing w:after="0"/>
              <w:rPr>
                <w:sz w:val="12"/>
                <w:szCs w:val="12"/>
                <w:color w:val="auto"/>
              </w:rPr>
            </w:pPr>
          </w:p>
        </w:tc>
        <w:tc>
          <w:tcPr>
            <w:tcW w:w="300" w:type="dxa"/>
            <w:vAlign w:val="bottom"/>
            <w:tcBorders>
              <w:top w:val="single" w:sz="8" w:color="auto"/>
            </w:tcBorders>
            <w:shd w:val="clear" w:color="auto" w:fill="E5E5E5"/>
          </w:tcPr>
          <w:p>
            <w:pPr>
              <w:spacing w:after="0"/>
              <w:rPr>
                <w:sz w:val="12"/>
                <w:szCs w:val="12"/>
                <w:color w:val="auto"/>
              </w:rPr>
            </w:pPr>
          </w:p>
        </w:tc>
        <w:tc>
          <w:tcPr>
            <w:tcW w:w="600" w:type="dxa"/>
            <w:vAlign w:val="bottom"/>
            <w:tcBorders>
              <w:top w:val="single" w:sz="8" w:color="auto"/>
            </w:tcBorders>
            <w:shd w:val="clear" w:color="auto" w:fill="E5E5E5"/>
          </w:tcPr>
          <w:p>
            <w:pPr>
              <w:spacing w:after="0"/>
              <w:rPr>
                <w:sz w:val="12"/>
                <w:szCs w:val="12"/>
                <w:color w:val="auto"/>
              </w:rPr>
            </w:pPr>
          </w:p>
        </w:tc>
        <w:tc>
          <w:tcPr>
            <w:tcW w:w="320" w:type="dxa"/>
            <w:vAlign w:val="bottom"/>
            <w:tcBorders>
              <w:top w:val="single" w:sz="8" w:color="auto"/>
            </w:tcBorders>
            <w:shd w:val="clear" w:color="auto" w:fill="E5E5E5"/>
          </w:tcPr>
          <w:p>
            <w:pPr>
              <w:spacing w:after="0"/>
              <w:rPr>
                <w:sz w:val="12"/>
                <w:szCs w:val="12"/>
                <w:color w:val="auto"/>
              </w:rPr>
            </w:pPr>
          </w:p>
        </w:tc>
        <w:tc>
          <w:tcPr>
            <w:tcW w:w="740" w:type="dxa"/>
            <w:vAlign w:val="bottom"/>
            <w:tcBorders>
              <w:top w:val="single" w:sz="8" w:color="auto"/>
            </w:tcBorders>
            <w:shd w:val="clear" w:color="auto" w:fill="E5E5E5"/>
          </w:tcPr>
          <w:p>
            <w:pPr>
              <w:spacing w:after="0"/>
              <w:rPr>
                <w:sz w:val="12"/>
                <w:szCs w:val="12"/>
                <w:color w:val="auto"/>
              </w:rPr>
            </w:pPr>
          </w:p>
        </w:tc>
        <w:tc>
          <w:tcPr>
            <w:tcW w:w="260" w:type="dxa"/>
            <w:vAlign w:val="bottom"/>
            <w:tcBorders>
              <w:top w:val="single" w:sz="8" w:color="auto"/>
            </w:tcBorders>
            <w:shd w:val="clear" w:color="auto" w:fill="E5E5E5"/>
          </w:tcPr>
          <w:p>
            <w:pPr>
              <w:spacing w:after="0"/>
              <w:rPr>
                <w:sz w:val="12"/>
                <w:szCs w:val="12"/>
                <w:color w:val="auto"/>
              </w:rPr>
            </w:pPr>
          </w:p>
        </w:tc>
        <w:tc>
          <w:tcPr>
            <w:tcW w:w="920" w:type="dxa"/>
            <w:vAlign w:val="bottom"/>
            <w:tcBorders>
              <w:top w:val="single" w:sz="8" w:color="auto"/>
            </w:tcBorders>
            <w:shd w:val="clear" w:color="auto" w:fill="E5E5E5"/>
          </w:tcPr>
          <w:p>
            <w:pPr>
              <w:spacing w:after="0"/>
              <w:rPr>
                <w:sz w:val="12"/>
                <w:szCs w:val="12"/>
                <w:color w:val="auto"/>
              </w:rPr>
            </w:pPr>
          </w:p>
        </w:tc>
        <w:tc>
          <w:tcPr>
            <w:tcW w:w="280" w:type="dxa"/>
            <w:vAlign w:val="bottom"/>
            <w:tcBorders>
              <w:top w:val="single" w:sz="8" w:color="auto"/>
            </w:tcBorders>
            <w:shd w:val="clear" w:color="auto" w:fill="E5E5E5"/>
          </w:tcPr>
          <w:p>
            <w:pPr>
              <w:spacing w:after="0"/>
              <w:rPr>
                <w:sz w:val="12"/>
                <w:szCs w:val="12"/>
                <w:color w:val="auto"/>
              </w:rPr>
            </w:pPr>
          </w:p>
        </w:tc>
        <w:tc>
          <w:tcPr>
            <w:tcW w:w="700" w:type="dxa"/>
            <w:vAlign w:val="bottom"/>
            <w:tcBorders>
              <w:top w:val="single" w:sz="8" w:color="auto"/>
            </w:tcBorders>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00" w:type="dxa"/>
            <w:vAlign w:val="bottom"/>
          </w:tcPr>
          <w:p>
            <w:pPr>
              <w:ind w:left="200"/>
              <w:spacing w:after="0" w:line="149" w:lineRule="exact"/>
              <w:rPr>
                <w:sz w:val="20"/>
                <w:szCs w:val="20"/>
                <w:color w:val="auto"/>
              </w:rPr>
            </w:pPr>
            <w:r>
              <w:rPr>
                <w:rFonts w:ascii="Arial" w:cs="Arial" w:eastAsia="Arial" w:hAnsi="Arial"/>
                <w:sz w:val="14"/>
                <w:szCs w:val="14"/>
                <w:color w:val="auto"/>
              </w:rPr>
              <w:t>Service revenue</w:t>
            </w:r>
          </w:p>
        </w:tc>
        <w:tc>
          <w:tcPr>
            <w:tcW w:w="940" w:type="dxa"/>
            <w:vAlign w:val="bottom"/>
          </w:tcPr>
          <w:p>
            <w:pPr>
              <w:ind w:left="86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ind w:left="18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ind w:left="16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40,800</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40,800</w:t>
            </w:r>
          </w:p>
        </w:tc>
      </w:tr>
      <w:tr>
        <w:trPr>
          <w:trHeight w:val="149"/>
        </w:trPr>
        <w:tc>
          <w:tcPr>
            <w:tcW w:w="20" w:type="dxa"/>
            <w:vAlign w:val="bottom"/>
          </w:tcPr>
          <w:p>
            <w:pPr>
              <w:spacing w:after="0"/>
              <w:rPr>
                <w:sz w:val="12"/>
                <w:szCs w:val="12"/>
                <w:color w:val="auto"/>
              </w:rPr>
            </w:pPr>
          </w:p>
        </w:tc>
        <w:tc>
          <w:tcPr>
            <w:tcW w:w="400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Management fee revenue</w:t>
            </w:r>
          </w:p>
        </w:tc>
        <w:tc>
          <w:tcPr>
            <w:tcW w:w="94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598</w:t>
            </w:r>
          </w:p>
        </w:tc>
        <w:tc>
          <w:tcPr>
            <w:tcW w:w="240" w:type="dxa"/>
            <w:vAlign w:val="bottom"/>
            <w:tcBorders>
              <w:bottom w:val="single" w:sz="8" w:color="auto"/>
            </w:tcBorders>
            <w:shd w:val="clear" w:color="auto" w:fill="E5E5E5"/>
          </w:tcPr>
          <w:p>
            <w:pPr>
              <w:spacing w:after="0"/>
              <w:rPr>
                <w:sz w:val="12"/>
                <w:szCs w:val="12"/>
                <w:color w:val="auto"/>
              </w:rPr>
            </w:pPr>
          </w:p>
        </w:tc>
        <w:tc>
          <w:tcPr>
            <w:tcW w:w="54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574</w:t>
            </w:r>
          </w:p>
        </w:tc>
        <w:tc>
          <w:tcPr>
            <w:tcW w:w="240" w:type="dxa"/>
            <w:vAlign w:val="bottom"/>
            <w:tcBorders>
              <w:bottom w:val="single" w:sz="8" w:color="auto"/>
            </w:tcBorders>
            <w:shd w:val="clear" w:color="auto" w:fill="E5E5E5"/>
          </w:tcPr>
          <w:p>
            <w:pPr>
              <w:spacing w:after="0"/>
              <w:rPr>
                <w:sz w:val="12"/>
                <w:szCs w:val="12"/>
                <w:color w:val="auto"/>
              </w:rPr>
            </w:pPr>
          </w:p>
        </w:tc>
        <w:tc>
          <w:tcPr>
            <w:tcW w:w="72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353</w:t>
            </w:r>
          </w:p>
        </w:tc>
        <w:tc>
          <w:tcPr>
            <w:tcW w:w="30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E5E5E5"/>
          </w:tcPr>
          <w:p>
            <w:pPr>
              <w:spacing w:after="0"/>
              <w:rPr>
                <w:sz w:val="12"/>
                <w:szCs w:val="12"/>
                <w:color w:val="auto"/>
              </w:rPr>
            </w:pPr>
          </w:p>
        </w:tc>
        <w:tc>
          <w:tcPr>
            <w:tcW w:w="920" w:type="dxa"/>
            <w:vAlign w:val="bottom"/>
            <w:tcBorders>
              <w:bottom w:val="single" w:sz="8" w:color="auto"/>
            </w:tcBorders>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(1,525)</w:t>
            </w:r>
          </w:p>
        </w:tc>
        <w:tc>
          <w:tcPr>
            <w:tcW w:w="28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w:t>
            </w:r>
          </w:p>
        </w:tc>
      </w:tr>
      <w:tr>
        <w:trPr>
          <w:trHeight w:val="142"/>
        </w:trPr>
        <w:tc>
          <w:tcPr>
            <w:tcW w:w="20" w:type="dxa"/>
            <w:vAlign w:val="bottom"/>
          </w:tcPr>
          <w:p>
            <w:pPr>
              <w:spacing w:after="0"/>
              <w:rPr>
                <w:sz w:val="12"/>
                <w:szCs w:val="12"/>
                <w:color w:val="auto"/>
              </w:rPr>
            </w:pPr>
          </w:p>
        </w:tc>
        <w:tc>
          <w:tcPr>
            <w:tcW w:w="40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598</w:t>
            </w: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574</w:t>
            </w: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353</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40,800</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(1,525)</w:t>
            </w: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40,800</w:t>
            </w:r>
          </w:p>
        </w:tc>
      </w:tr>
      <w:tr>
        <w:trPr>
          <w:trHeight w:val="142"/>
        </w:trPr>
        <w:tc>
          <w:tcPr>
            <w:tcW w:w="20" w:type="dxa"/>
            <w:vAlign w:val="bottom"/>
          </w:tcPr>
          <w:p>
            <w:pPr>
              <w:spacing w:after="0"/>
              <w:rPr>
                <w:sz w:val="12"/>
                <w:szCs w:val="12"/>
                <w:color w:val="auto"/>
              </w:rPr>
            </w:pPr>
          </w:p>
        </w:tc>
        <w:tc>
          <w:tcPr>
            <w:tcW w:w="4000" w:type="dxa"/>
            <w:vAlign w:val="bottom"/>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Costs and Expenses:</w:t>
            </w:r>
          </w:p>
        </w:tc>
        <w:tc>
          <w:tcPr>
            <w:tcW w:w="94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72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320" w:type="dxa"/>
            <w:vAlign w:val="bottom"/>
            <w:shd w:val="clear" w:color="auto" w:fill="E5E5E5"/>
          </w:tcPr>
          <w:p>
            <w:pPr>
              <w:spacing w:after="0"/>
              <w:rPr>
                <w:sz w:val="12"/>
                <w:szCs w:val="12"/>
                <w:color w:val="auto"/>
              </w:rPr>
            </w:pPr>
          </w:p>
        </w:tc>
        <w:tc>
          <w:tcPr>
            <w:tcW w:w="74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00" w:type="dxa"/>
            <w:vAlign w:val="bottom"/>
          </w:tcPr>
          <w:p>
            <w:pPr>
              <w:ind w:left="200"/>
              <w:spacing w:after="0" w:line="149" w:lineRule="exact"/>
              <w:rPr>
                <w:sz w:val="20"/>
                <w:szCs w:val="20"/>
                <w:color w:val="auto"/>
              </w:rPr>
            </w:pPr>
            <w:r>
              <w:rPr>
                <w:rFonts w:ascii="Arial" w:cs="Arial" w:eastAsia="Arial" w:hAnsi="Arial"/>
                <w:sz w:val="14"/>
                <w:szCs w:val="14"/>
                <w:color w:val="auto"/>
              </w:rPr>
              <w:t>Operating costs and expenses</w:t>
            </w:r>
          </w:p>
        </w:tc>
        <w:tc>
          <w:tcPr>
            <w:tcW w:w="940" w:type="dxa"/>
            <w:vAlign w:val="bottom"/>
          </w:tcPr>
          <w:p>
            <w:pPr>
              <w:spacing w:after="0"/>
              <w:rPr>
                <w:sz w:val="12"/>
                <w:szCs w:val="12"/>
                <w:color w:val="auto"/>
              </w:rPr>
            </w:pP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321</w:t>
            </w:r>
          </w:p>
        </w:tc>
        <w:tc>
          <w:tcPr>
            <w:tcW w:w="240" w:type="dxa"/>
            <w:vAlign w:val="bottom"/>
          </w:tcPr>
          <w:p>
            <w:pPr>
              <w:spacing w:after="0"/>
              <w:rPr>
                <w:sz w:val="12"/>
                <w:szCs w:val="12"/>
                <w:color w:val="auto"/>
              </w:rPr>
            </w:pPr>
          </w:p>
        </w:tc>
        <w:tc>
          <w:tcPr>
            <w:tcW w:w="5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574</w:t>
            </w:r>
          </w:p>
        </w:tc>
        <w:tc>
          <w:tcPr>
            <w:tcW w:w="240" w:type="dxa"/>
            <w:vAlign w:val="bottom"/>
          </w:tcPr>
          <w:p>
            <w:pPr>
              <w:spacing w:after="0"/>
              <w:rPr>
                <w:sz w:val="12"/>
                <w:szCs w:val="12"/>
                <w:color w:val="auto"/>
              </w:rPr>
            </w:pPr>
          </w:p>
        </w:tc>
        <w:tc>
          <w:tcPr>
            <w:tcW w:w="7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353</w:t>
            </w:r>
          </w:p>
        </w:tc>
        <w:tc>
          <w:tcPr>
            <w:tcW w:w="300" w:type="dxa"/>
            <w:vAlign w:val="bottom"/>
          </w:tcPr>
          <w:p>
            <w:pPr>
              <w:spacing w:after="0"/>
              <w:rPr>
                <w:sz w:val="12"/>
                <w:szCs w:val="12"/>
                <w:color w:val="auto"/>
              </w:rPr>
            </w:pP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w:t>
            </w:r>
          </w:p>
        </w:tc>
        <w:tc>
          <w:tcPr>
            <w:tcW w:w="320" w:type="dxa"/>
            <w:vAlign w:val="bottom"/>
          </w:tcPr>
          <w:p>
            <w:pPr>
              <w:spacing w:after="0"/>
              <w:rPr>
                <w:sz w:val="12"/>
                <w:szCs w:val="12"/>
                <w:color w:val="auto"/>
              </w:rPr>
            </w:pPr>
          </w:p>
        </w:tc>
        <w:tc>
          <w:tcPr>
            <w:tcW w:w="7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27,631</w:t>
            </w:r>
          </w:p>
        </w:tc>
        <w:tc>
          <w:tcPr>
            <w:tcW w:w="26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(1,525)</w:t>
            </w:r>
          </w:p>
        </w:tc>
        <w:tc>
          <w:tcPr>
            <w:tcW w:w="28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27,359</w:t>
            </w:r>
          </w:p>
        </w:tc>
      </w:tr>
      <w:tr>
        <w:trPr>
          <w:trHeight w:val="149"/>
        </w:trPr>
        <w:tc>
          <w:tcPr>
            <w:tcW w:w="20" w:type="dxa"/>
            <w:vAlign w:val="bottom"/>
          </w:tcPr>
          <w:p>
            <w:pPr>
              <w:spacing w:after="0"/>
              <w:rPr>
                <w:sz w:val="12"/>
                <w:szCs w:val="12"/>
                <w:color w:val="auto"/>
              </w:rPr>
            </w:pPr>
          </w:p>
        </w:tc>
        <w:tc>
          <w:tcPr>
            <w:tcW w:w="400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Depreciation</w:t>
            </w:r>
          </w:p>
        </w:tc>
        <w:tc>
          <w:tcPr>
            <w:tcW w:w="94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22</w:t>
            </w:r>
          </w:p>
        </w:tc>
        <w:tc>
          <w:tcPr>
            <w:tcW w:w="24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4,482</w:t>
            </w:r>
          </w:p>
        </w:tc>
        <w:tc>
          <w:tcPr>
            <w:tcW w:w="26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4,504</w:t>
            </w:r>
          </w:p>
        </w:tc>
      </w:tr>
      <w:tr>
        <w:trPr>
          <w:trHeight w:val="149"/>
        </w:trPr>
        <w:tc>
          <w:tcPr>
            <w:tcW w:w="20" w:type="dxa"/>
            <w:vAlign w:val="bottom"/>
          </w:tcPr>
          <w:p>
            <w:pPr>
              <w:spacing w:after="0"/>
              <w:rPr>
                <w:sz w:val="12"/>
                <w:szCs w:val="12"/>
                <w:color w:val="auto"/>
              </w:rPr>
            </w:pPr>
          </w:p>
        </w:tc>
        <w:tc>
          <w:tcPr>
            <w:tcW w:w="400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Amortization</w:t>
            </w:r>
          </w:p>
        </w:tc>
        <w:tc>
          <w:tcPr>
            <w:tcW w:w="9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2</w:t>
            </w: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1,132</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1,134</w:t>
            </w:r>
          </w:p>
        </w:tc>
      </w:tr>
      <w:tr>
        <w:trPr>
          <w:trHeight w:val="142"/>
        </w:trPr>
        <w:tc>
          <w:tcPr>
            <w:tcW w:w="20" w:type="dxa"/>
            <w:vAlign w:val="bottom"/>
          </w:tcPr>
          <w:p>
            <w:pPr>
              <w:spacing w:after="0"/>
              <w:rPr>
                <w:sz w:val="12"/>
                <w:szCs w:val="12"/>
                <w:color w:val="auto"/>
              </w:rPr>
            </w:pPr>
          </w:p>
        </w:tc>
        <w:tc>
          <w:tcPr>
            <w:tcW w:w="4000" w:type="dxa"/>
            <w:vAlign w:val="bottom"/>
            <w:tcBorders>
              <w:bottom w:val="single" w:sz="8" w:color="auto"/>
            </w:tcBorders>
            <w:shd w:val="clear" w:color="auto" w:fill="E5E5E5"/>
          </w:tcPr>
          <w:p>
            <w:pPr>
              <w:spacing w:after="0"/>
              <w:rPr>
                <w:sz w:val="12"/>
                <w:szCs w:val="12"/>
                <w:color w:val="auto"/>
              </w:rPr>
            </w:pPr>
          </w:p>
        </w:tc>
        <w:tc>
          <w:tcPr>
            <w:tcW w:w="94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345</w:t>
            </w:r>
          </w:p>
        </w:tc>
        <w:tc>
          <w:tcPr>
            <w:tcW w:w="240" w:type="dxa"/>
            <w:vAlign w:val="bottom"/>
            <w:tcBorders>
              <w:bottom w:val="single" w:sz="8" w:color="auto"/>
            </w:tcBorders>
            <w:shd w:val="clear" w:color="auto" w:fill="E5E5E5"/>
          </w:tcPr>
          <w:p>
            <w:pPr>
              <w:spacing w:after="0"/>
              <w:rPr>
                <w:sz w:val="12"/>
                <w:szCs w:val="12"/>
                <w:color w:val="auto"/>
              </w:rPr>
            </w:pPr>
          </w:p>
        </w:tc>
        <w:tc>
          <w:tcPr>
            <w:tcW w:w="54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574</w:t>
            </w:r>
          </w:p>
        </w:tc>
        <w:tc>
          <w:tcPr>
            <w:tcW w:w="240" w:type="dxa"/>
            <w:vAlign w:val="bottom"/>
            <w:tcBorders>
              <w:bottom w:val="single" w:sz="8" w:color="auto"/>
            </w:tcBorders>
            <w:shd w:val="clear" w:color="auto" w:fill="E5E5E5"/>
          </w:tcPr>
          <w:p>
            <w:pPr>
              <w:spacing w:after="0"/>
              <w:rPr>
                <w:sz w:val="12"/>
                <w:szCs w:val="12"/>
                <w:color w:val="auto"/>
              </w:rPr>
            </w:pPr>
          </w:p>
        </w:tc>
        <w:tc>
          <w:tcPr>
            <w:tcW w:w="72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353</w:t>
            </w:r>
          </w:p>
        </w:tc>
        <w:tc>
          <w:tcPr>
            <w:tcW w:w="30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5</w:t>
            </w:r>
          </w:p>
        </w:tc>
        <w:tc>
          <w:tcPr>
            <w:tcW w:w="32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33,245</w:t>
            </w:r>
          </w:p>
        </w:tc>
        <w:tc>
          <w:tcPr>
            <w:tcW w:w="260" w:type="dxa"/>
            <w:vAlign w:val="bottom"/>
            <w:tcBorders>
              <w:bottom w:val="single" w:sz="8" w:color="auto"/>
            </w:tcBorders>
            <w:shd w:val="clear" w:color="auto" w:fill="E5E5E5"/>
          </w:tcPr>
          <w:p>
            <w:pPr>
              <w:spacing w:after="0"/>
              <w:rPr>
                <w:sz w:val="12"/>
                <w:szCs w:val="12"/>
                <w:color w:val="auto"/>
              </w:rPr>
            </w:pPr>
          </w:p>
        </w:tc>
        <w:tc>
          <w:tcPr>
            <w:tcW w:w="920" w:type="dxa"/>
            <w:vAlign w:val="bottom"/>
            <w:tcBorders>
              <w:bottom w:val="single" w:sz="8" w:color="auto"/>
            </w:tcBorders>
            <w:shd w:val="clear" w:color="auto" w:fill="E5E5E5"/>
          </w:tcPr>
          <w:p>
            <w:pPr>
              <w:jc w:val="right"/>
              <w:ind w:right="112"/>
              <w:spacing w:after="0" w:line="142" w:lineRule="exact"/>
              <w:rPr>
                <w:sz w:val="20"/>
                <w:szCs w:val="20"/>
                <w:color w:val="auto"/>
              </w:rPr>
            </w:pPr>
            <w:r>
              <w:rPr>
                <w:rFonts w:ascii="Arial" w:cs="Arial" w:eastAsia="Arial" w:hAnsi="Arial"/>
                <w:sz w:val="14"/>
                <w:szCs w:val="14"/>
                <w:color w:val="auto"/>
              </w:rPr>
              <w:t>(1,525)</w:t>
            </w:r>
          </w:p>
        </w:tc>
        <w:tc>
          <w:tcPr>
            <w:tcW w:w="28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32,997</w:t>
            </w:r>
          </w:p>
        </w:tc>
      </w:tr>
      <w:tr>
        <w:trPr>
          <w:trHeight w:val="142"/>
        </w:trPr>
        <w:tc>
          <w:tcPr>
            <w:tcW w:w="20" w:type="dxa"/>
            <w:vAlign w:val="bottom"/>
          </w:tcPr>
          <w:p>
            <w:pPr>
              <w:spacing w:after="0"/>
              <w:rPr>
                <w:sz w:val="12"/>
                <w:szCs w:val="12"/>
                <w:color w:val="auto"/>
              </w:rPr>
            </w:pPr>
          </w:p>
        </w:tc>
        <w:tc>
          <w:tcPr>
            <w:tcW w:w="4000" w:type="dxa"/>
            <w:vAlign w:val="bottom"/>
          </w:tcPr>
          <w:p>
            <w:pPr>
              <w:spacing w:after="0" w:line="142" w:lineRule="exact"/>
              <w:rPr>
                <w:sz w:val="20"/>
                <w:szCs w:val="20"/>
                <w:color w:val="auto"/>
              </w:rPr>
            </w:pPr>
            <w:r>
              <w:rPr>
                <w:rFonts w:ascii="Arial" w:cs="Arial" w:eastAsia="Arial" w:hAnsi="Arial"/>
                <w:sz w:val="14"/>
                <w:szCs w:val="14"/>
                <w:b w:val="1"/>
                <w:bCs w:val="1"/>
                <w:color w:val="auto"/>
              </w:rPr>
              <w:t>Operating income (loss)</w:t>
            </w:r>
          </w:p>
        </w:tc>
        <w:tc>
          <w:tcPr>
            <w:tcW w:w="940" w:type="dxa"/>
            <w:vAlign w:val="bottom"/>
          </w:tcPr>
          <w:p>
            <w:pPr>
              <w:spacing w:after="0"/>
              <w:rPr>
                <w:sz w:val="12"/>
                <w:szCs w:val="12"/>
                <w:color w:val="auto"/>
              </w:rPr>
            </w:pPr>
          </w:p>
        </w:tc>
        <w:tc>
          <w:tcPr>
            <w:tcW w:w="60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253</w:t>
            </w:r>
          </w:p>
        </w:tc>
        <w:tc>
          <w:tcPr>
            <w:tcW w:w="240" w:type="dxa"/>
            <w:vAlign w:val="bottom"/>
          </w:tcPr>
          <w:p>
            <w:pPr>
              <w:spacing w:after="0"/>
              <w:rPr>
                <w:sz w:val="12"/>
                <w:szCs w:val="12"/>
                <w:color w:val="auto"/>
              </w:rPr>
            </w:pPr>
          </w:p>
        </w:tc>
        <w:tc>
          <w:tcPr>
            <w:tcW w:w="54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72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600" w:type="dxa"/>
            <w:vAlign w:val="bottom"/>
          </w:tcPr>
          <w:p>
            <w:pPr>
              <w:jc w:val="right"/>
              <w:ind w:right="112"/>
              <w:spacing w:after="0" w:line="142" w:lineRule="exact"/>
              <w:rPr>
                <w:sz w:val="20"/>
                <w:szCs w:val="20"/>
                <w:color w:val="auto"/>
              </w:rPr>
            </w:pPr>
            <w:r>
              <w:rPr>
                <w:rFonts w:ascii="Arial" w:cs="Arial" w:eastAsia="Arial" w:hAnsi="Arial"/>
                <w:sz w:val="14"/>
                <w:szCs w:val="14"/>
                <w:color w:val="auto"/>
              </w:rPr>
              <w:t>(5)</w:t>
            </w:r>
          </w:p>
        </w:tc>
        <w:tc>
          <w:tcPr>
            <w:tcW w:w="320" w:type="dxa"/>
            <w:vAlign w:val="bottom"/>
          </w:tcPr>
          <w:p>
            <w:pPr>
              <w:spacing w:after="0"/>
              <w:rPr>
                <w:sz w:val="12"/>
                <w:szCs w:val="12"/>
                <w:color w:val="auto"/>
              </w:rPr>
            </w:pPr>
          </w:p>
        </w:tc>
        <w:tc>
          <w:tcPr>
            <w:tcW w:w="74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7,555</w:t>
            </w:r>
          </w:p>
        </w:tc>
        <w:tc>
          <w:tcPr>
            <w:tcW w:w="260" w:type="dxa"/>
            <w:vAlign w:val="bottom"/>
          </w:tcPr>
          <w:p>
            <w:pPr>
              <w:spacing w:after="0"/>
              <w:rPr>
                <w:sz w:val="12"/>
                <w:szCs w:val="12"/>
                <w:color w:val="auto"/>
              </w:rPr>
            </w:pPr>
          </w:p>
        </w:tc>
        <w:tc>
          <w:tcPr>
            <w:tcW w:w="92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700" w:type="dxa"/>
            <w:vAlign w:val="bottom"/>
          </w:tcPr>
          <w:p>
            <w:pPr>
              <w:jc w:val="right"/>
              <w:ind w:right="12"/>
              <w:spacing w:after="0" w:line="142" w:lineRule="exact"/>
              <w:rPr>
                <w:sz w:val="20"/>
                <w:szCs w:val="20"/>
                <w:color w:val="auto"/>
              </w:rPr>
            </w:pPr>
            <w:r>
              <w:rPr>
                <w:rFonts w:ascii="Arial" w:cs="Arial" w:eastAsia="Arial" w:hAnsi="Arial"/>
                <w:sz w:val="14"/>
                <w:szCs w:val="14"/>
                <w:color w:val="auto"/>
              </w:rPr>
              <w:t>7,803</w:t>
            </w:r>
          </w:p>
        </w:tc>
      </w:tr>
      <w:tr>
        <w:trPr>
          <w:trHeight w:val="149"/>
        </w:trPr>
        <w:tc>
          <w:tcPr>
            <w:tcW w:w="20" w:type="dxa"/>
            <w:vAlign w:val="bottom"/>
          </w:tcPr>
          <w:p>
            <w:pPr>
              <w:spacing w:after="0"/>
              <w:rPr>
                <w:sz w:val="12"/>
                <w:szCs w:val="12"/>
                <w:color w:val="auto"/>
              </w:rPr>
            </w:pPr>
          </w:p>
        </w:tc>
        <w:tc>
          <w:tcPr>
            <w:tcW w:w="400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Other Income (Expense):</w:t>
            </w:r>
          </w:p>
        </w:tc>
        <w:tc>
          <w:tcPr>
            <w:tcW w:w="94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72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320" w:type="dxa"/>
            <w:vAlign w:val="bottom"/>
            <w:shd w:val="clear" w:color="auto" w:fill="E5E5E5"/>
          </w:tcPr>
          <w:p>
            <w:pPr>
              <w:spacing w:after="0"/>
              <w:rPr>
                <w:sz w:val="12"/>
                <w:szCs w:val="12"/>
                <w:color w:val="auto"/>
              </w:rPr>
            </w:pPr>
          </w:p>
        </w:tc>
        <w:tc>
          <w:tcPr>
            <w:tcW w:w="74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00" w:type="dxa"/>
            <w:vAlign w:val="bottom"/>
          </w:tcPr>
          <w:p>
            <w:pPr>
              <w:ind w:left="200"/>
              <w:spacing w:after="0" w:line="149" w:lineRule="exact"/>
              <w:rPr>
                <w:sz w:val="20"/>
                <w:szCs w:val="20"/>
                <w:color w:val="auto"/>
              </w:rPr>
            </w:pPr>
            <w:r>
              <w:rPr>
                <w:rFonts w:ascii="Arial" w:cs="Arial" w:eastAsia="Arial" w:hAnsi="Arial"/>
                <w:sz w:val="14"/>
                <w:szCs w:val="14"/>
                <w:color w:val="auto"/>
              </w:rPr>
              <w:t>Interest expense</w:t>
            </w:r>
          </w:p>
        </w:tc>
        <w:tc>
          <w:tcPr>
            <w:tcW w:w="94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90"/>
              </w:rPr>
              <w:t>(1,077)</w:t>
            </w:r>
          </w:p>
        </w:tc>
        <w:tc>
          <w:tcPr>
            <w:tcW w:w="240" w:type="dxa"/>
            <w:vAlign w:val="bottom"/>
          </w:tcPr>
          <w:p>
            <w:pPr>
              <w:spacing w:after="0"/>
              <w:rPr>
                <w:sz w:val="12"/>
                <w:szCs w:val="12"/>
                <w:color w:val="auto"/>
              </w:rPr>
            </w:pPr>
          </w:p>
        </w:tc>
        <w:tc>
          <w:tcPr>
            <w:tcW w:w="5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(255)</w:t>
            </w:r>
          </w:p>
        </w:tc>
        <w:tc>
          <w:tcPr>
            <w:tcW w:w="240" w:type="dxa"/>
            <w:vAlign w:val="bottom"/>
          </w:tcPr>
          <w:p>
            <w:pPr>
              <w:spacing w:after="0"/>
              <w:rPr>
                <w:sz w:val="12"/>
                <w:szCs w:val="12"/>
                <w:color w:val="auto"/>
              </w:rPr>
            </w:pP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(129)</w:t>
            </w:r>
          </w:p>
        </w:tc>
        <w:tc>
          <w:tcPr>
            <w:tcW w:w="30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(24)</w:t>
            </w:r>
          </w:p>
        </w:tc>
        <w:tc>
          <w:tcPr>
            <w:tcW w:w="320" w:type="dxa"/>
            <w:vAlign w:val="bottom"/>
          </w:tcPr>
          <w:p>
            <w:pPr>
              <w:spacing w:after="0"/>
              <w:rPr>
                <w:sz w:val="12"/>
                <w:szCs w:val="12"/>
                <w:color w:val="auto"/>
              </w:rPr>
            </w:pP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(378)</w:t>
            </w:r>
          </w:p>
        </w:tc>
        <w:tc>
          <w:tcPr>
            <w:tcW w:w="260" w:type="dxa"/>
            <w:vAlign w:val="bottom"/>
          </w:tcPr>
          <w:p>
            <w:pPr>
              <w:spacing w:after="0"/>
              <w:rPr>
                <w:sz w:val="12"/>
                <w:szCs w:val="12"/>
                <w:color w:val="auto"/>
              </w:rPr>
            </w:pP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(1,863)</w:t>
            </w:r>
          </w:p>
        </w:tc>
      </w:tr>
      <w:tr>
        <w:trPr>
          <w:trHeight w:val="149"/>
        </w:trPr>
        <w:tc>
          <w:tcPr>
            <w:tcW w:w="20" w:type="dxa"/>
            <w:vAlign w:val="bottom"/>
          </w:tcPr>
          <w:p>
            <w:pPr>
              <w:spacing w:after="0"/>
              <w:rPr>
                <w:sz w:val="12"/>
                <w:szCs w:val="12"/>
                <w:color w:val="auto"/>
              </w:rPr>
            </w:pPr>
          </w:p>
        </w:tc>
        <w:tc>
          <w:tcPr>
            <w:tcW w:w="400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Investment income (loss), net</w:t>
            </w:r>
          </w:p>
        </w:tc>
        <w:tc>
          <w:tcPr>
            <w:tcW w:w="94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4</w:t>
            </w:r>
          </w:p>
        </w:tc>
        <w:tc>
          <w:tcPr>
            <w:tcW w:w="24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(1)</w:t>
            </w:r>
          </w:p>
        </w:tc>
        <w:tc>
          <w:tcPr>
            <w:tcW w:w="26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3</w:t>
            </w:r>
          </w:p>
        </w:tc>
      </w:tr>
      <w:tr>
        <w:trPr>
          <w:trHeight w:val="149"/>
        </w:trPr>
        <w:tc>
          <w:tcPr>
            <w:tcW w:w="20" w:type="dxa"/>
            <w:vAlign w:val="bottom"/>
          </w:tcPr>
          <w:p>
            <w:pPr>
              <w:spacing w:after="0"/>
              <w:rPr>
                <w:sz w:val="12"/>
                <w:szCs w:val="12"/>
                <w:color w:val="auto"/>
              </w:rPr>
            </w:pPr>
          </w:p>
        </w:tc>
        <w:tc>
          <w:tcPr>
            <w:tcW w:w="4000" w:type="dxa"/>
            <w:vAlign w:val="bottom"/>
          </w:tcPr>
          <w:p>
            <w:pPr>
              <w:ind w:left="200"/>
              <w:spacing w:after="0" w:line="149" w:lineRule="exact"/>
              <w:rPr>
                <w:sz w:val="20"/>
                <w:szCs w:val="20"/>
                <w:color w:val="auto"/>
              </w:rPr>
            </w:pPr>
            <w:r>
              <w:rPr>
                <w:rFonts w:ascii="Arial" w:cs="Arial" w:eastAsia="Arial" w:hAnsi="Arial"/>
                <w:sz w:val="14"/>
                <w:szCs w:val="14"/>
                <w:color w:val="auto"/>
              </w:rPr>
              <w:t>Equity in net income (losses) of investees, net</w:t>
            </w:r>
          </w:p>
        </w:tc>
        <w:tc>
          <w:tcPr>
            <w:tcW w:w="940" w:type="dxa"/>
            <w:vAlign w:val="bottom"/>
          </w:tcPr>
          <w:p>
            <w:pPr>
              <w:spacing w:after="0"/>
              <w:rPr>
                <w:sz w:val="12"/>
                <w:szCs w:val="12"/>
                <w:color w:val="auto"/>
              </w:rPr>
            </w:pP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3,419</w:t>
            </w:r>
          </w:p>
        </w:tc>
        <w:tc>
          <w:tcPr>
            <w:tcW w:w="240" w:type="dxa"/>
            <w:vAlign w:val="bottom"/>
          </w:tcPr>
          <w:p>
            <w:pPr>
              <w:spacing w:after="0"/>
              <w:rPr>
                <w:sz w:val="12"/>
                <w:szCs w:val="12"/>
                <w:color w:val="auto"/>
              </w:rPr>
            </w:pPr>
          </w:p>
        </w:tc>
        <w:tc>
          <w:tcPr>
            <w:tcW w:w="54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85"/>
              </w:rPr>
              <w:t>4,028</w:t>
            </w:r>
          </w:p>
        </w:tc>
        <w:tc>
          <w:tcPr>
            <w:tcW w:w="240" w:type="dxa"/>
            <w:vAlign w:val="bottom"/>
          </w:tcPr>
          <w:p>
            <w:pPr>
              <w:spacing w:after="0"/>
              <w:rPr>
                <w:sz w:val="12"/>
                <w:szCs w:val="12"/>
                <w:color w:val="auto"/>
              </w:rPr>
            </w:pPr>
          </w:p>
        </w:tc>
        <w:tc>
          <w:tcPr>
            <w:tcW w:w="7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2,386</w:t>
            </w:r>
          </w:p>
        </w:tc>
        <w:tc>
          <w:tcPr>
            <w:tcW w:w="300" w:type="dxa"/>
            <w:vAlign w:val="bottom"/>
          </w:tcPr>
          <w:p>
            <w:pPr>
              <w:spacing w:after="0"/>
              <w:rPr>
                <w:sz w:val="12"/>
                <w:szCs w:val="12"/>
                <w:color w:val="auto"/>
              </w:rPr>
            </w:pP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4,054</w:t>
            </w:r>
          </w:p>
        </w:tc>
        <w:tc>
          <w:tcPr>
            <w:tcW w:w="320" w:type="dxa"/>
            <w:vAlign w:val="bottom"/>
          </w:tcPr>
          <w:p>
            <w:pPr>
              <w:spacing w:after="0"/>
              <w:rPr>
                <w:sz w:val="12"/>
                <w:szCs w:val="12"/>
                <w:color w:val="auto"/>
              </w:rPr>
            </w:pP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(40)</w:t>
            </w:r>
          </w:p>
        </w:tc>
        <w:tc>
          <w:tcPr>
            <w:tcW w:w="26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(13,887)</w:t>
            </w:r>
          </w:p>
        </w:tc>
        <w:tc>
          <w:tcPr>
            <w:tcW w:w="2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r>
      <w:tr>
        <w:trPr>
          <w:trHeight w:val="149"/>
        </w:trPr>
        <w:tc>
          <w:tcPr>
            <w:tcW w:w="20" w:type="dxa"/>
            <w:vAlign w:val="bottom"/>
          </w:tcPr>
          <w:p>
            <w:pPr>
              <w:spacing w:after="0"/>
              <w:rPr>
                <w:sz w:val="12"/>
                <w:szCs w:val="12"/>
                <w:color w:val="auto"/>
              </w:rPr>
            </w:pPr>
          </w:p>
        </w:tc>
        <w:tc>
          <w:tcPr>
            <w:tcW w:w="400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Other income (expense), net</w:t>
            </w:r>
          </w:p>
        </w:tc>
        <w:tc>
          <w:tcPr>
            <w:tcW w:w="94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(19)</w:t>
            </w:r>
          </w:p>
        </w:tc>
        <w:tc>
          <w:tcPr>
            <w:tcW w:w="240" w:type="dxa"/>
            <w:vAlign w:val="bottom"/>
            <w:tcBorders>
              <w:bottom w:val="single" w:sz="8" w:color="auto"/>
            </w:tcBorders>
            <w:shd w:val="clear" w:color="auto" w:fill="E5E5E5"/>
          </w:tcPr>
          <w:p>
            <w:pPr>
              <w:spacing w:after="0"/>
              <w:rPr>
                <w:sz w:val="12"/>
                <w:szCs w:val="12"/>
                <w:color w:val="auto"/>
              </w:rPr>
            </w:pPr>
          </w:p>
        </w:tc>
        <w:tc>
          <w:tcPr>
            <w:tcW w:w="54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E5E5E5"/>
          </w:tcPr>
          <w:p>
            <w:pPr>
              <w:spacing w:after="0"/>
              <w:rPr>
                <w:sz w:val="12"/>
                <w:szCs w:val="12"/>
                <w:color w:val="auto"/>
              </w:rPr>
            </w:pPr>
          </w:p>
        </w:tc>
        <w:tc>
          <w:tcPr>
            <w:tcW w:w="72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1</w:t>
            </w:r>
          </w:p>
        </w:tc>
        <w:tc>
          <w:tcPr>
            <w:tcW w:w="32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(64)</w:t>
            </w:r>
          </w:p>
        </w:tc>
        <w:tc>
          <w:tcPr>
            <w:tcW w:w="260" w:type="dxa"/>
            <w:vAlign w:val="bottom"/>
            <w:tcBorders>
              <w:bottom w:val="single" w:sz="8" w:color="auto"/>
            </w:tcBorders>
            <w:shd w:val="clear" w:color="auto" w:fill="E5E5E5"/>
          </w:tcPr>
          <w:p>
            <w:pPr>
              <w:spacing w:after="0"/>
              <w:rPr>
                <w:sz w:val="12"/>
                <w:szCs w:val="12"/>
                <w:color w:val="auto"/>
              </w:rPr>
            </w:pPr>
          </w:p>
        </w:tc>
        <w:tc>
          <w:tcPr>
            <w:tcW w:w="92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(82)</w:t>
            </w:r>
          </w:p>
        </w:tc>
      </w:tr>
      <w:tr>
        <w:trPr>
          <w:trHeight w:val="142"/>
        </w:trPr>
        <w:tc>
          <w:tcPr>
            <w:tcW w:w="20" w:type="dxa"/>
            <w:vAlign w:val="bottom"/>
          </w:tcPr>
          <w:p>
            <w:pPr>
              <w:spacing w:after="0"/>
              <w:rPr>
                <w:sz w:val="12"/>
                <w:szCs w:val="12"/>
                <w:color w:val="auto"/>
              </w:rPr>
            </w:pPr>
          </w:p>
        </w:tc>
        <w:tc>
          <w:tcPr>
            <w:tcW w:w="40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2,327</w:t>
            </w: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w w:val="85"/>
              </w:rPr>
              <w:t>3,773</w:t>
            </w: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2,257</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4,031</w:t>
            </w: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(483)</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(13,887)</w:t>
            </w: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(1,982)</w:t>
            </w:r>
          </w:p>
        </w:tc>
      </w:tr>
      <w:tr>
        <w:trPr>
          <w:trHeight w:val="142"/>
        </w:trPr>
        <w:tc>
          <w:tcPr>
            <w:tcW w:w="20" w:type="dxa"/>
            <w:vAlign w:val="bottom"/>
          </w:tcPr>
          <w:p>
            <w:pPr>
              <w:spacing w:after="0"/>
              <w:rPr>
                <w:sz w:val="12"/>
                <w:szCs w:val="12"/>
                <w:color w:val="auto"/>
              </w:rPr>
            </w:pPr>
          </w:p>
        </w:tc>
        <w:tc>
          <w:tcPr>
            <w:tcW w:w="400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Income (loss) before income taxes</w:t>
            </w:r>
          </w:p>
        </w:tc>
        <w:tc>
          <w:tcPr>
            <w:tcW w:w="94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2,580</w:t>
            </w:r>
          </w:p>
        </w:tc>
        <w:tc>
          <w:tcPr>
            <w:tcW w:w="24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w w:val="85"/>
              </w:rPr>
              <w:t>3,773</w:t>
            </w:r>
          </w:p>
        </w:tc>
        <w:tc>
          <w:tcPr>
            <w:tcW w:w="24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2,257</w:t>
            </w: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4,026</w:t>
            </w:r>
          </w:p>
        </w:tc>
        <w:tc>
          <w:tcPr>
            <w:tcW w:w="32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7,072</w:t>
            </w:r>
          </w:p>
        </w:tc>
        <w:tc>
          <w:tcPr>
            <w:tcW w:w="26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112"/>
              <w:spacing w:after="0" w:line="142" w:lineRule="exact"/>
              <w:rPr>
                <w:sz w:val="20"/>
                <w:szCs w:val="20"/>
                <w:color w:val="auto"/>
              </w:rPr>
            </w:pPr>
            <w:r>
              <w:rPr>
                <w:rFonts w:ascii="Arial" w:cs="Arial" w:eastAsia="Arial" w:hAnsi="Arial"/>
                <w:sz w:val="14"/>
                <w:szCs w:val="14"/>
                <w:color w:val="auto"/>
              </w:rPr>
              <w:t>(13,887)</w:t>
            </w: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5,821</w:t>
            </w:r>
          </w:p>
        </w:tc>
      </w:tr>
      <w:tr>
        <w:trPr>
          <w:trHeight w:val="149"/>
        </w:trPr>
        <w:tc>
          <w:tcPr>
            <w:tcW w:w="20" w:type="dxa"/>
            <w:vAlign w:val="bottom"/>
          </w:tcPr>
          <w:p>
            <w:pPr>
              <w:spacing w:after="0"/>
              <w:rPr>
                <w:sz w:val="12"/>
                <w:szCs w:val="12"/>
                <w:color w:val="auto"/>
              </w:rPr>
            </w:pPr>
          </w:p>
        </w:tc>
        <w:tc>
          <w:tcPr>
            <w:tcW w:w="40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Income tax (expense) benefit</w:t>
            </w:r>
          </w:p>
        </w:tc>
        <w:tc>
          <w:tcPr>
            <w:tcW w:w="9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293</w:t>
            </w: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89</w:t>
            </w: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45</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10</w:t>
            </w: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(2,686)</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(2,249)</w:t>
            </w:r>
          </w:p>
        </w:tc>
      </w:tr>
      <w:tr>
        <w:trPr>
          <w:trHeight w:val="142"/>
        </w:trPr>
        <w:tc>
          <w:tcPr>
            <w:tcW w:w="20" w:type="dxa"/>
            <w:vAlign w:val="bottom"/>
          </w:tcPr>
          <w:p>
            <w:pPr>
              <w:spacing w:after="0"/>
              <w:rPr>
                <w:sz w:val="12"/>
                <w:szCs w:val="12"/>
                <w:color w:val="auto"/>
              </w:rPr>
            </w:pPr>
          </w:p>
        </w:tc>
        <w:tc>
          <w:tcPr>
            <w:tcW w:w="400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Net income (loss) from consolidated operations</w:t>
            </w:r>
          </w:p>
        </w:tc>
        <w:tc>
          <w:tcPr>
            <w:tcW w:w="94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2,873</w:t>
            </w:r>
          </w:p>
        </w:tc>
        <w:tc>
          <w:tcPr>
            <w:tcW w:w="24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w w:val="85"/>
              </w:rPr>
              <w:t>3,862</w:t>
            </w:r>
          </w:p>
        </w:tc>
        <w:tc>
          <w:tcPr>
            <w:tcW w:w="24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2,302</w:t>
            </w: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4,036</w:t>
            </w:r>
          </w:p>
        </w:tc>
        <w:tc>
          <w:tcPr>
            <w:tcW w:w="32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4,386</w:t>
            </w:r>
          </w:p>
        </w:tc>
        <w:tc>
          <w:tcPr>
            <w:tcW w:w="26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112"/>
              <w:spacing w:after="0" w:line="142" w:lineRule="exact"/>
              <w:rPr>
                <w:sz w:val="20"/>
                <w:szCs w:val="20"/>
                <w:color w:val="auto"/>
              </w:rPr>
            </w:pPr>
            <w:r>
              <w:rPr>
                <w:rFonts w:ascii="Arial" w:cs="Arial" w:eastAsia="Arial" w:hAnsi="Arial"/>
                <w:sz w:val="14"/>
                <w:szCs w:val="14"/>
                <w:color w:val="auto"/>
              </w:rPr>
              <w:t>(13,887)</w:t>
            </w: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3,572</w:t>
            </w:r>
          </w:p>
        </w:tc>
      </w:tr>
      <w:tr>
        <w:trPr>
          <w:trHeight w:val="149"/>
        </w:trPr>
        <w:tc>
          <w:tcPr>
            <w:tcW w:w="20" w:type="dxa"/>
            <w:vAlign w:val="bottom"/>
          </w:tcPr>
          <w:p>
            <w:pPr>
              <w:spacing w:after="0"/>
              <w:rPr>
                <w:sz w:val="12"/>
                <w:szCs w:val="12"/>
                <w:color w:val="auto"/>
              </w:rPr>
            </w:pPr>
          </w:p>
        </w:tc>
        <w:tc>
          <w:tcPr>
            <w:tcW w:w="40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Net (income) loss attributable to noncontrolling interests</w:t>
            </w:r>
          </w:p>
        </w:tc>
        <w:tc>
          <w:tcPr>
            <w:tcW w:w="9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(699)</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(699)</w:t>
            </w:r>
          </w:p>
        </w:tc>
      </w:tr>
      <w:tr>
        <w:trPr>
          <w:trHeight w:val="149"/>
        </w:trPr>
        <w:tc>
          <w:tcPr>
            <w:tcW w:w="20" w:type="dxa"/>
            <w:vAlign w:val="bottom"/>
          </w:tcPr>
          <w:p>
            <w:pPr>
              <w:spacing w:after="0"/>
              <w:rPr>
                <w:sz w:val="12"/>
                <w:szCs w:val="12"/>
                <w:color w:val="auto"/>
              </w:rPr>
            </w:pPr>
          </w:p>
        </w:tc>
        <w:tc>
          <w:tcPr>
            <w:tcW w:w="4000" w:type="dxa"/>
            <w:vAlign w:val="bottom"/>
            <w:tcBorders>
              <w:bottom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Net income (loss) attributable to Comcast Corporation</w:t>
            </w:r>
          </w:p>
        </w:tc>
        <w:tc>
          <w:tcPr>
            <w:tcW w:w="940" w:type="dxa"/>
            <w:vAlign w:val="bottom"/>
            <w:tcBorders>
              <w:bottom w:val="single" w:sz="8" w:color="auto"/>
            </w:tcBorders>
            <w:shd w:val="clear" w:color="auto" w:fill="E5E5E5"/>
          </w:tcPr>
          <w:p>
            <w:pPr>
              <w:ind w:left="860"/>
              <w:spacing w:after="0" w:line="142"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b w:val="1"/>
                <w:bCs w:val="1"/>
                <w:color w:val="auto"/>
              </w:rPr>
              <w:t>2,873</w:t>
            </w:r>
          </w:p>
        </w:tc>
        <w:tc>
          <w:tcPr>
            <w:tcW w:w="24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b w:val="1"/>
                <w:bCs w:val="1"/>
                <w:color w:val="auto"/>
                <w:w w:val="85"/>
              </w:rPr>
              <w:t>3,862</w:t>
            </w:r>
          </w:p>
        </w:tc>
        <w:tc>
          <w:tcPr>
            <w:tcW w:w="240" w:type="dxa"/>
            <w:vAlign w:val="bottom"/>
            <w:tcBorders>
              <w:bottom w:val="single" w:sz="8" w:color="auto"/>
            </w:tcBorders>
            <w:shd w:val="clear" w:color="auto" w:fill="E5E5E5"/>
          </w:tcPr>
          <w:p>
            <w:pPr>
              <w:ind w:left="160"/>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b w:val="1"/>
                <w:bCs w:val="1"/>
                <w:color w:val="auto"/>
              </w:rPr>
              <w:t>2,302</w:t>
            </w:r>
          </w:p>
        </w:tc>
        <w:tc>
          <w:tcPr>
            <w:tcW w:w="300" w:type="dxa"/>
            <w:vAlign w:val="bottom"/>
            <w:tcBorders>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b w:val="1"/>
                <w:bCs w:val="1"/>
                <w:color w:val="auto"/>
              </w:rPr>
              <w:t>4,036</w:t>
            </w:r>
          </w:p>
        </w:tc>
        <w:tc>
          <w:tcPr>
            <w:tcW w:w="320" w:type="dxa"/>
            <w:vAlign w:val="bottom"/>
            <w:tcBorders>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b w:val="1"/>
                <w:bCs w:val="1"/>
                <w:color w:val="auto"/>
              </w:rPr>
              <w:t>3,687</w:t>
            </w:r>
          </w:p>
        </w:tc>
        <w:tc>
          <w:tcPr>
            <w:tcW w:w="26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E5E5E5"/>
          </w:tcPr>
          <w:p>
            <w:pPr>
              <w:jc w:val="right"/>
              <w:ind w:right="112"/>
              <w:spacing w:after="0" w:line="142" w:lineRule="exact"/>
              <w:rPr>
                <w:sz w:val="20"/>
                <w:szCs w:val="20"/>
                <w:color w:val="auto"/>
              </w:rPr>
            </w:pPr>
            <w:r>
              <w:rPr>
                <w:rFonts w:ascii="Arial" w:cs="Arial" w:eastAsia="Arial" w:hAnsi="Arial"/>
                <w:sz w:val="14"/>
                <w:szCs w:val="14"/>
                <w:b w:val="1"/>
                <w:bCs w:val="1"/>
                <w:color w:val="auto"/>
              </w:rPr>
              <w:t>(13,887)</w:t>
            </w:r>
          </w:p>
        </w:tc>
        <w:tc>
          <w:tcPr>
            <w:tcW w:w="280" w:type="dxa"/>
            <w:vAlign w:val="bottom"/>
            <w:tcBorders>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b w:val="1"/>
                <w:bCs w:val="1"/>
                <w:color w:val="auto"/>
              </w:rPr>
              <w:t>2,873</w:t>
            </w: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For the Nine Months Ended September 30, 2010</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center"/>
              <w:ind w:right="212"/>
              <w:spacing w:after="0"/>
              <w:rPr>
                <w:sz w:val="20"/>
                <w:szCs w:val="20"/>
                <w:color w:val="auto"/>
              </w:rPr>
            </w:pPr>
            <w:r>
              <w:rPr>
                <w:rFonts w:ascii="Arial" w:cs="Arial" w:eastAsia="Arial" w:hAnsi="Arial"/>
                <w:sz w:val="14"/>
                <w:szCs w:val="14"/>
                <w:color w:val="auto"/>
                <w:w w:val="93"/>
              </w:rPr>
              <w:t>Elimination</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Combined</w:t>
            </w: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Non-</w:t>
            </w:r>
          </w:p>
        </w:tc>
        <w:tc>
          <w:tcPr>
            <w:tcW w:w="260" w:type="dxa"/>
            <w:vAlign w:val="bottom"/>
          </w:tcPr>
          <w:p>
            <w:pPr>
              <w:spacing w:after="0"/>
              <w:rPr>
                <w:sz w:val="12"/>
                <w:szCs w:val="12"/>
                <w:color w:val="auto"/>
              </w:rPr>
            </w:pPr>
          </w:p>
        </w:tc>
        <w:tc>
          <w:tcPr>
            <w:tcW w:w="920" w:type="dxa"/>
            <w:vAlign w:val="bottom"/>
          </w:tcPr>
          <w:p>
            <w:pPr>
              <w:jc w:val="center"/>
              <w:ind w:right="212"/>
              <w:spacing w:after="0" w:line="149" w:lineRule="exact"/>
              <w:rPr>
                <w:sz w:val="20"/>
                <w:szCs w:val="20"/>
                <w:color w:val="auto"/>
              </w:rPr>
            </w:pPr>
            <w:r>
              <w:rPr>
                <w:rFonts w:ascii="Arial" w:cs="Arial" w:eastAsia="Arial" w:hAnsi="Arial"/>
                <w:sz w:val="14"/>
                <w:szCs w:val="14"/>
                <w:color w:val="auto"/>
                <w:w w:val="85"/>
              </w:rPr>
              <w:t>and</w:t>
            </w:r>
          </w:p>
        </w:tc>
        <w:tc>
          <w:tcPr>
            <w:tcW w:w="98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95"/>
              </w:rPr>
              <w:t>Consolidated</w:t>
            </w: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540" w:type="dxa"/>
            <w:vAlign w:val="bottom"/>
            <w:gridSpan w:val="2"/>
          </w:tcPr>
          <w:p>
            <w:pPr>
              <w:ind w:left="860"/>
              <w:spacing w:after="0" w:line="149" w:lineRule="exact"/>
              <w:rPr>
                <w:sz w:val="20"/>
                <w:szCs w:val="20"/>
                <w:color w:val="auto"/>
              </w:rPr>
            </w:pPr>
            <w:r>
              <w:rPr>
                <w:rFonts w:ascii="Arial" w:cs="Arial" w:eastAsia="Arial" w:hAnsi="Arial"/>
                <w:sz w:val="14"/>
                <w:szCs w:val="14"/>
                <w:color w:val="auto"/>
              </w:rPr>
              <w:t>Comcast</w:t>
            </w:r>
          </w:p>
        </w:tc>
        <w:tc>
          <w:tcPr>
            <w:tcW w:w="7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CCCL</w:t>
            </w:r>
          </w:p>
        </w:tc>
        <w:tc>
          <w:tcPr>
            <w:tcW w:w="96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CCHMO</w:t>
            </w:r>
          </w:p>
        </w:tc>
        <w:tc>
          <w:tcPr>
            <w:tcW w:w="9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Comcast</w:t>
            </w:r>
          </w:p>
        </w:tc>
        <w:tc>
          <w:tcPr>
            <w:tcW w:w="106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Guarantor</w:t>
            </w: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Consolidation</w:t>
            </w:r>
          </w:p>
        </w:tc>
        <w:tc>
          <w:tcPr>
            <w:tcW w:w="280" w:type="dxa"/>
            <w:vAlign w:val="bottom"/>
          </w:tcPr>
          <w:p>
            <w:pPr>
              <w:spacing w:after="0"/>
              <w:rPr>
                <w:sz w:val="12"/>
                <w:szCs w:val="12"/>
                <w:color w:val="auto"/>
              </w:rPr>
            </w:pPr>
          </w:p>
        </w:tc>
        <w:tc>
          <w:tcPr>
            <w:tcW w:w="70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40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540" w:type="dxa"/>
            <w:vAlign w:val="bottom"/>
            <w:gridSpan w:val="2"/>
          </w:tcPr>
          <w:p>
            <w:pPr>
              <w:jc w:val="right"/>
              <w:ind w:right="212"/>
              <w:spacing w:after="0"/>
              <w:rPr>
                <w:sz w:val="20"/>
                <w:szCs w:val="20"/>
                <w:color w:val="auto"/>
              </w:rPr>
            </w:pPr>
            <w:r>
              <w:rPr>
                <w:rFonts w:ascii="Arial" w:cs="Arial" w:eastAsia="Arial" w:hAnsi="Arial"/>
                <w:sz w:val="14"/>
                <w:szCs w:val="14"/>
                <w:color w:val="auto"/>
              </w:rPr>
              <w:t>Parent</w:t>
            </w:r>
          </w:p>
        </w:tc>
        <w:tc>
          <w:tcPr>
            <w:tcW w:w="780" w:type="dxa"/>
            <w:vAlign w:val="bottom"/>
            <w:gridSpan w:val="2"/>
          </w:tcPr>
          <w:p>
            <w:pPr>
              <w:ind w:left="200"/>
              <w:spacing w:after="0"/>
              <w:rPr>
                <w:sz w:val="20"/>
                <w:szCs w:val="20"/>
                <w:color w:val="auto"/>
              </w:rPr>
            </w:pPr>
            <w:r>
              <w:rPr>
                <w:rFonts w:ascii="Arial" w:cs="Arial" w:eastAsia="Arial" w:hAnsi="Arial"/>
                <w:sz w:val="14"/>
                <w:szCs w:val="14"/>
                <w:color w:val="auto"/>
              </w:rPr>
              <w:t>Parent</w:t>
            </w:r>
          </w:p>
        </w:tc>
        <w:tc>
          <w:tcPr>
            <w:tcW w:w="240" w:type="dxa"/>
            <w:vAlign w:val="bottom"/>
          </w:tcPr>
          <w:p>
            <w:pPr>
              <w:spacing w:after="0"/>
              <w:rPr>
                <w:sz w:val="15"/>
                <w:szCs w:val="15"/>
                <w:color w:val="auto"/>
              </w:rPr>
            </w:pPr>
          </w:p>
        </w:tc>
        <w:tc>
          <w:tcPr>
            <w:tcW w:w="720" w:type="dxa"/>
            <w:vAlign w:val="bottom"/>
          </w:tcPr>
          <w:p>
            <w:pPr>
              <w:jc w:val="right"/>
              <w:ind w:right="252"/>
              <w:spacing w:after="0"/>
              <w:rPr>
                <w:sz w:val="20"/>
                <w:szCs w:val="20"/>
                <w:color w:val="auto"/>
              </w:rPr>
            </w:pPr>
            <w:r>
              <w:rPr>
                <w:rFonts w:ascii="Arial" w:cs="Arial" w:eastAsia="Arial" w:hAnsi="Arial"/>
                <w:sz w:val="14"/>
                <w:szCs w:val="14"/>
                <w:color w:val="auto"/>
                <w:w w:val="78"/>
              </w:rPr>
              <w:t>Parents</w:t>
            </w:r>
          </w:p>
        </w:tc>
        <w:tc>
          <w:tcPr>
            <w:tcW w:w="900" w:type="dxa"/>
            <w:vAlign w:val="bottom"/>
            <w:gridSpan w:val="2"/>
          </w:tcPr>
          <w:p>
            <w:pPr>
              <w:ind w:left="180"/>
              <w:spacing w:after="0"/>
              <w:rPr>
                <w:sz w:val="20"/>
                <w:szCs w:val="20"/>
                <w:color w:val="auto"/>
              </w:rPr>
            </w:pPr>
            <w:r>
              <w:rPr>
                <w:rFonts w:ascii="Arial" w:cs="Arial" w:eastAsia="Arial" w:hAnsi="Arial"/>
                <w:sz w:val="14"/>
                <w:szCs w:val="14"/>
                <w:color w:val="auto"/>
              </w:rPr>
              <w:t>Holdings</w:t>
            </w:r>
          </w:p>
        </w:tc>
        <w:tc>
          <w:tcPr>
            <w:tcW w:w="1060" w:type="dxa"/>
            <w:vAlign w:val="bottom"/>
            <w:gridSpan w:val="2"/>
          </w:tcPr>
          <w:p>
            <w:pPr>
              <w:ind w:left="180"/>
              <w:spacing w:after="0"/>
              <w:rPr>
                <w:sz w:val="20"/>
                <w:szCs w:val="20"/>
                <w:color w:val="auto"/>
              </w:rPr>
            </w:pPr>
            <w:r>
              <w:rPr>
                <w:rFonts w:ascii="Arial" w:cs="Arial" w:eastAsia="Arial" w:hAnsi="Arial"/>
                <w:sz w:val="14"/>
                <w:szCs w:val="14"/>
                <w:color w:val="auto"/>
              </w:rPr>
              <w:t>Subsidiaries</w:t>
            </w:r>
          </w:p>
        </w:tc>
        <w:tc>
          <w:tcPr>
            <w:tcW w:w="118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80" w:type="dxa"/>
            <w:vAlign w:val="bottom"/>
            <w:gridSpan w:val="2"/>
          </w:tcPr>
          <w:p>
            <w:pPr>
              <w:jc w:val="right"/>
              <w:ind w:right="52"/>
              <w:spacing w:after="0"/>
              <w:rPr>
                <w:sz w:val="20"/>
                <w:szCs w:val="20"/>
                <w:color w:val="auto"/>
              </w:rPr>
            </w:pPr>
            <w:r>
              <w:rPr>
                <w:rFonts w:ascii="Arial" w:cs="Arial" w:eastAsia="Arial" w:hAnsi="Arial"/>
                <w:sz w:val="14"/>
                <w:szCs w:val="14"/>
                <w:color w:val="auto"/>
              </w:rPr>
              <w:t>Corporation</w:t>
            </w:r>
          </w:p>
        </w:tc>
      </w:tr>
      <w:tr>
        <w:trPr>
          <w:trHeight w:val="142"/>
        </w:trPr>
        <w:tc>
          <w:tcPr>
            <w:tcW w:w="20" w:type="dxa"/>
            <w:vAlign w:val="bottom"/>
          </w:tcPr>
          <w:p>
            <w:pPr>
              <w:spacing w:after="0"/>
              <w:rPr>
                <w:sz w:val="12"/>
                <w:szCs w:val="12"/>
                <w:color w:val="auto"/>
              </w:rPr>
            </w:pPr>
          </w:p>
        </w:tc>
        <w:tc>
          <w:tcPr>
            <w:tcW w:w="4000" w:type="dxa"/>
            <w:vAlign w:val="bottom"/>
            <w:tcBorders>
              <w:top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Revenue:</w:t>
            </w:r>
          </w:p>
        </w:tc>
        <w:tc>
          <w:tcPr>
            <w:tcW w:w="940" w:type="dxa"/>
            <w:vAlign w:val="bottom"/>
            <w:tcBorders>
              <w:top w:val="single" w:sz="8" w:color="auto"/>
            </w:tcBorders>
            <w:shd w:val="clear" w:color="auto" w:fill="E5E5E5"/>
          </w:tcPr>
          <w:p>
            <w:pPr>
              <w:spacing w:after="0"/>
              <w:rPr>
                <w:sz w:val="12"/>
                <w:szCs w:val="12"/>
                <w:color w:val="auto"/>
              </w:rPr>
            </w:pPr>
          </w:p>
        </w:tc>
        <w:tc>
          <w:tcPr>
            <w:tcW w:w="600" w:type="dxa"/>
            <w:vAlign w:val="bottom"/>
            <w:tcBorders>
              <w:top w:val="single" w:sz="8" w:color="auto"/>
            </w:tcBorders>
            <w:shd w:val="clear" w:color="auto" w:fill="E5E5E5"/>
          </w:tcPr>
          <w:p>
            <w:pPr>
              <w:spacing w:after="0"/>
              <w:rPr>
                <w:sz w:val="12"/>
                <w:szCs w:val="12"/>
                <w:color w:val="auto"/>
              </w:rPr>
            </w:pPr>
          </w:p>
        </w:tc>
        <w:tc>
          <w:tcPr>
            <w:tcW w:w="240" w:type="dxa"/>
            <w:vAlign w:val="bottom"/>
            <w:tcBorders>
              <w:top w:val="single" w:sz="8" w:color="auto"/>
            </w:tcBorders>
            <w:shd w:val="clear" w:color="auto" w:fill="E5E5E5"/>
          </w:tcPr>
          <w:p>
            <w:pPr>
              <w:spacing w:after="0"/>
              <w:rPr>
                <w:sz w:val="12"/>
                <w:szCs w:val="12"/>
                <w:color w:val="auto"/>
              </w:rPr>
            </w:pPr>
          </w:p>
        </w:tc>
        <w:tc>
          <w:tcPr>
            <w:tcW w:w="540" w:type="dxa"/>
            <w:vAlign w:val="bottom"/>
            <w:tcBorders>
              <w:top w:val="single" w:sz="8" w:color="auto"/>
            </w:tcBorders>
            <w:shd w:val="clear" w:color="auto" w:fill="E5E5E5"/>
          </w:tcPr>
          <w:p>
            <w:pPr>
              <w:spacing w:after="0"/>
              <w:rPr>
                <w:sz w:val="12"/>
                <w:szCs w:val="12"/>
                <w:color w:val="auto"/>
              </w:rPr>
            </w:pPr>
          </w:p>
        </w:tc>
        <w:tc>
          <w:tcPr>
            <w:tcW w:w="240" w:type="dxa"/>
            <w:vAlign w:val="bottom"/>
            <w:tcBorders>
              <w:top w:val="single" w:sz="8" w:color="auto"/>
            </w:tcBorders>
            <w:shd w:val="clear" w:color="auto" w:fill="E5E5E5"/>
          </w:tcPr>
          <w:p>
            <w:pPr>
              <w:spacing w:after="0"/>
              <w:rPr>
                <w:sz w:val="12"/>
                <w:szCs w:val="12"/>
                <w:color w:val="auto"/>
              </w:rPr>
            </w:pPr>
          </w:p>
        </w:tc>
        <w:tc>
          <w:tcPr>
            <w:tcW w:w="720" w:type="dxa"/>
            <w:vAlign w:val="bottom"/>
            <w:tcBorders>
              <w:top w:val="single" w:sz="8" w:color="auto"/>
            </w:tcBorders>
            <w:shd w:val="clear" w:color="auto" w:fill="E5E5E5"/>
          </w:tcPr>
          <w:p>
            <w:pPr>
              <w:spacing w:after="0"/>
              <w:rPr>
                <w:sz w:val="12"/>
                <w:szCs w:val="12"/>
                <w:color w:val="auto"/>
              </w:rPr>
            </w:pPr>
          </w:p>
        </w:tc>
        <w:tc>
          <w:tcPr>
            <w:tcW w:w="300" w:type="dxa"/>
            <w:vAlign w:val="bottom"/>
            <w:tcBorders>
              <w:top w:val="single" w:sz="8" w:color="auto"/>
            </w:tcBorders>
            <w:shd w:val="clear" w:color="auto" w:fill="E5E5E5"/>
          </w:tcPr>
          <w:p>
            <w:pPr>
              <w:spacing w:after="0"/>
              <w:rPr>
                <w:sz w:val="12"/>
                <w:szCs w:val="12"/>
                <w:color w:val="auto"/>
              </w:rPr>
            </w:pPr>
          </w:p>
        </w:tc>
        <w:tc>
          <w:tcPr>
            <w:tcW w:w="600" w:type="dxa"/>
            <w:vAlign w:val="bottom"/>
            <w:tcBorders>
              <w:top w:val="single" w:sz="8" w:color="auto"/>
            </w:tcBorders>
            <w:shd w:val="clear" w:color="auto" w:fill="E5E5E5"/>
          </w:tcPr>
          <w:p>
            <w:pPr>
              <w:spacing w:after="0"/>
              <w:rPr>
                <w:sz w:val="12"/>
                <w:szCs w:val="12"/>
                <w:color w:val="auto"/>
              </w:rPr>
            </w:pPr>
          </w:p>
        </w:tc>
        <w:tc>
          <w:tcPr>
            <w:tcW w:w="320" w:type="dxa"/>
            <w:vAlign w:val="bottom"/>
            <w:tcBorders>
              <w:top w:val="single" w:sz="8" w:color="auto"/>
            </w:tcBorders>
            <w:shd w:val="clear" w:color="auto" w:fill="E5E5E5"/>
          </w:tcPr>
          <w:p>
            <w:pPr>
              <w:spacing w:after="0"/>
              <w:rPr>
                <w:sz w:val="12"/>
                <w:szCs w:val="12"/>
                <w:color w:val="auto"/>
              </w:rPr>
            </w:pPr>
          </w:p>
        </w:tc>
        <w:tc>
          <w:tcPr>
            <w:tcW w:w="740" w:type="dxa"/>
            <w:vAlign w:val="bottom"/>
            <w:tcBorders>
              <w:top w:val="single" w:sz="8" w:color="auto"/>
            </w:tcBorders>
            <w:shd w:val="clear" w:color="auto" w:fill="E5E5E5"/>
          </w:tcPr>
          <w:p>
            <w:pPr>
              <w:spacing w:after="0"/>
              <w:rPr>
                <w:sz w:val="12"/>
                <w:szCs w:val="12"/>
                <w:color w:val="auto"/>
              </w:rPr>
            </w:pPr>
          </w:p>
        </w:tc>
        <w:tc>
          <w:tcPr>
            <w:tcW w:w="260" w:type="dxa"/>
            <w:vAlign w:val="bottom"/>
            <w:tcBorders>
              <w:top w:val="single" w:sz="8" w:color="auto"/>
            </w:tcBorders>
            <w:shd w:val="clear" w:color="auto" w:fill="E5E5E5"/>
          </w:tcPr>
          <w:p>
            <w:pPr>
              <w:spacing w:after="0"/>
              <w:rPr>
                <w:sz w:val="12"/>
                <w:szCs w:val="12"/>
                <w:color w:val="auto"/>
              </w:rPr>
            </w:pPr>
          </w:p>
        </w:tc>
        <w:tc>
          <w:tcPr>
            <w:tcW w:w="920" w:type="dxa"/>
            <w:vAlign w:val="bottom"/>
            <w:tcBorders>
              <w:top w:val="single" w:sz="8" w:color="auto"/>
            </w:tcBorders>
            <w:shd w:val="clear" w:color="auto" w:fill="E5E5E5"/>
          </w:tcPr>
          <w:p>
            <w:pPr>
              <w:spacing w:after="0"/>
              <w:rPr>
                <w:sz w:val="12"/>
                <w:szCs w:val="12"/>
                <w:color w:val="auto"/>
              </w:rPr>
            </w:pPr>
          </w:p>
        </w:tc>
        <w:tc>
          <w:tcPr>
            <w:tcW w:w="280" w:type="dxa"/>
            <w:vAlign w:val="bottom"/>
            <w:tcBorders>
              <w:top w:val="single" w:sz="8" w:color="auto"/>
            </w:tcBorders>
            <w:shd w:val="clear" w:color="auto" w:fill="E5E5E5"/>
          </w:tcPr>
          <w:p>
            <w:pPr>
              <w:spacing w:after="0"/>
              <w:rPr>
                <w:sz w:val="12"/>
                <w:szCs w:val="12"/>
                <w:color w:val="auto"/>
              </w:rPr>
            </w:pPr>
          </w:p>
        </w:tc>
        <w:tc>
          <w:tcPr>
            <w:tcW w:w="700" w:type="dxa"/>
            <w:vAlign w:val="bottom"/>
            <w:tcBorders>
              <w:top w:val="single" w:sz="8" w:color="auto"/>
            </w:tcBorders>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00" w:type="dxa"/>
            <w:vAlign w:val="bottom"/>
          </w:tcPr>
          <w:p>
            <w:pPr>
              <w:ind w:left="200"/>
              <w:spacing w:after="0" w:line="149" w:lineRule="exact"/>
              <w:rPr>
                <w:sz w:val="20"/>
                <w:szCs w:val="20"/>
                <w:color w:val="auto"/>
              </w:rPr>
            </w:pPr>
            <w:r>
              <w:rPr>
                <w:rFonts w:ascii="Arial" w:cs="Arial" w:eastAsia="Arial" w:hAnsi="Arial"/>
                <w:sz w:val="14"/>
                <w:szCs w:val="14"/>
                <w:color w:val="auto"/>
              </w:rPr>
              <w:t>Service revenue</w:t>
            </w:r>
          </w:p>
        </w:tc>
        <w:tc>
          <w:tcPr>
            <w:tcW w:w="940" w:type="dxa"/>
            <w:vAlign w:val="bottom"/>
          </w:tcPr>
          <w:p>
            <w:pPr>
              <w:ind w:left="86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ind w:left="18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ind w:left="16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28,216</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28,216</w:t>
            </w:r>
          </w:p>
        </w:tc>
      </w:tr>
      <w:tr>
        <w:trPr>
          <w:trHeight w:val="149"/>
        </w:trPr>
        <w:tc>
          <w:tcPr>
            <w:tcW w:w="20" w:type="dxa"/>
            <w:vAlign w:val="bottom"/>
          </w:tcPr>
          <w:p>
            <w:pPr>
              <w:spacing w:after="0"/>
              <w:rPr>
                <w:sz w:val="12"/>
                <w:szCs w:val="12"/>
                <w:color w:val="auto"/>
              </w:rPr>
            </w:pPr>
          </w:p>
        </w:tc>
        <w:tc>
          <w:tcPr>
            <w:tcW w:w="400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Management fee revenue</w:t>
            </w:r>
          </w:p>
        </w:tc>
        <w:tc>
          <w:tcPr>
            <w:tcW w:w="94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600</w:t>
            </w:r>
          </w:p>
        </w:tc>
        <w:tc>
          <w:tcPr>
            <w:tcW w:w="240" w:type="dxa"/>
            <w:vAlign w:val="bottom"/>
            <w:tcBorders>
              <w:bottom w:val="single" w:sz="8" w:color="auto"/>
            </w:tcBorders>
            <w:shd w:val="clear" w:color="auto" w:fill="E5E5E5"/>
          </w:tcPr>
          <w:p>
            <w:pPr>
              <w:spacing w:after="0"/>
              <w:rPr>
                <w:sz w:val="12"/>
                <w:szCs w:val="12"/>
                <w:color w:val="auto"/>
              </w:rPr>
            </w:pPr>
          </w:p>
        </w:tc>
        <w:tc>
          <w:tcPr>
            <w:tcW w:w="54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539</w:t>
            </w:r>
          </w:p>
        </w:tc>
        <w:tc>
          <w:tcPr>
            <w:tcW w:w="240" w:type="dxa"/>
            <w:vAlign w:val="bottom"/>
            <w:tcBorders>
              <w:bottom w:val="single" w:sz="8" w:color="auto"/>
            </w:tcBorders>
            <w:shd w:val="clear" w:color="auto" w:fill="E5E5E5"/>
          </w:tcPr>
          <w:p>
            <w:pPr>
              <w:spacing w:after="0"/>
              <w:rPr>
                <w:sz w:val="12"/>
                <w:szCs w:val="12"/>
                <w:color w:val="auto"/>
              </w:rPr>
            </w:pPr>
          </w:p>
        </w:tc>
        <w:tc>
          <w:tcPr>
            <w:tcW w:w="72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335</w:t>
            </w:r>
          </w:p>
        </w:tc>
        <w:tc>
          <w:tcPr>
            <w:tcW w:w="30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E5E5E5"/>
          </w:tcPr>
          <w:p>
            <w:pPr>
              <w:spacing w:after="0"/>
              <w:rPr>
                <w:sz w:val="12"/>
                <w:szCs w:val="12"/>
                <w:color w:val="auto"/>
              </w:rPr>
            </w:pPr>
          </w:p>
        </w:tc>
        <w:tc>
          <w:tcPr>
            <w:tcW w:w="920" w:type="dxa"/>
            <w:vAlign w:val="bottom"/>
            <w:tcBorders>
              <w:bottom w:val="single" w:sz="8" w:color="auto"/>
            </w:tcBorders>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(1,474)</w:t>
            </w:r>
          </w:p>
        </w:tc>
        <w:tc>
          <w:tcPr>
            <w:tcW w:w="28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w:t>
            </w:r>
          </w:p>
        </w:tc>
      </w:tr>
      <w:tr>
        <w:trPr>
          <w:trHeight w:val="142"/>
        </w:trPr>
        <w:tc>
          <w:tcPr>
            <w:tcW w:w="20" w:type="dxa"/>
            <w:vAlign w:val="bottom"/>
          </w:tcPr>
          <w:p>
            <w:pPr>
              <w:spacing w:after="0"/>
              <w:rPr>
                <w:sz w:val="12"/>
                <w:szCs w:val="12"/>
                <w:color w:val="auto"/>
              </w:rPr>
            </w:pPr>
          </w:p>
        </w:tc>
        <w:tc>
          <w:tcPr>
            <w:tcW w:w="40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600</w:t>
            </w: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539</w:t>
            </w: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335</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28,216</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(1,474)</w:t>
            </w: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28,216</w:t>
            </w:r>
          </w:p>
        </w:tc>
      </w:tr>
      <w:tr>
        <w:trPr>
          <w:trHeight w:val="142"/>
        </w:trPr>
        <w:tc>
          <w:tcPr>
            <w:tcW w:w="20" w:type="dxa"/>
            <w:vAlign w:val="bottom"/>
          </w:tcPr>
          <w:p>
            <w:pPr>
              <w:spacing w:after="0"/>
              <w:rPr>
                <w:sz w:val="12"/>
                <w:szCs w:val="12"/>
                <w:color w:val="auto"/>
              </w:rPr>
            </w:pPr>
          </w:p>
        </w:tc>
        <w:tc>
          <w:tcPr>
            <w:tcW w:w="4000" w:type="dxa"/>
            <w:vAlign w:val="bottom"/>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Costs and Expenses:</w:t>
            </w:r>
          </w:p>
        </w:tc>
        <w:tc>
          <w:tcPr>
            <w:tcW w:w="94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72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320" w:type="dxa"/>
            <w:vAlign w:val="bottom"/>
            <w:shd w:val="clear" w:color="auto" w:fill="E5E5E5"/>
          </w:tcPr>
          <w:p>
            <w:pPr>
              <w:spacing w:after="0"/>
              <w:rPr>
                <w:sz w:val="12"/>
                <w:szCs w:val="12"/>
                <w:color w:val="auto"/>
              </w:rPr>
            </w:pPr>
          </w:p>
        </w:tc>
        <w:tc>
          <w:tcPr>
            <w:tcW w:w="74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00" w:type="dxa"/>
            <w:vAlign w:val="bottom"/>
          </w:tcPr>
          <w:p>
            <w:pPr>
              <w:ind w:left="200"/>
              <w:spacing w:after="0" w:line="149" w:lineRule="exact"/>
              <w:rPr>
                <w:sz w:val="20"/>
                <w:szCs w:val="20"/>
                <w:color w:val="auto"/>
              </w:rPr>
            </w:pPr>
            <w:r>
              <w:rPr>
                <w:rFonts w:ascii="Arial" w:cs="Arial" w:eastAsia="Arial" w:hAnsi="Arial"/>
                <w:sz w:val="14"/>
                <w:szCs w:val="14"/>
                <w:color w:val="auto"/>
              </w:rPr>
              <w:t>Operating costs and expenses</w:t>
            </w:r>
          </w:p>
        </w:tc>
        <w:tc>
          <w:tcPr>
            <w:tcW w:w="940" w:type="dxa"/>
            <w:vAlign w:val="bottom"/>
          </w:tcPr>
          <w:p>
            <w:pPr>
              <w:spacing w:after="0"/>
              <w:rPr>
                <w:sz w:val="12"/>
                <w:szCs w:val="12"/>
                <w:color w:val="auto"/>
              </w:rPr>
            </w:pP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337</w:t>
            </w:r>
          </w:p>
        </w:tc>
        <w:tc>
          <w:tcPr>
            <w:tcW w:w="240" w:type="dxa"/>
            <w:vAlign w:val="bottom"/>
          </w:tcPr>
          <w:p>
            <w:pPr>
              <w:spacing w:after="0"/>
              <w:rPr>
                <w:sz w:val="12"/>
                <w:szCs w:val="12"/>
                <w:color w:val="auto"/>
              </w:rPr>
            </w:pPr>
          </w:p>
        </w:tc>
        <w:tc>
          <w:tcPr>
            <w:tcW w:w="5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539</w:t>
            </w:r>
          </w:p>
        </w:tc>
        <w:tc>
          <w:tcPr>
            <w:tcW w:w="240" w:type="dxa"/>
            <w:vAlign w:val="bottom"/>
          </w:tcPr>
          <w:p>
            <w:pPr>
              <w:spacing w:after="0"/>
              <w:rPr>
                <w:sz w:val="12"/>
                <w:szCs w:val="12"/>
                <w:color w:val="auto"/>
              </w:rPr>
            </w:pPr>
          </w:p>
        </w:tc>
        <w:tc>
          <w:tcPr>
            <w:tcW w:w="7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335</w:t>
            </w:r>
          </w:p>
        </w:tc>
        <w:tc>
          <w:tcPr>
            <w:tcW w:w="300" w:type="dxa"/>
            <w:vAlign w:val="bottom"/>
          </w:tcPr>
          <w:p>
            <w:pPr>
              <w:spacing w:after="0"/>
              <w:rPr>
                <w:sz w:val="12"/>
                <w:szCs w:val="12"/>
                <w:color w:val="auto"/>
              </w:rPr>
            </w:pP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44</w:t>
            </w:r>
          </w:p>
        </w:tc>
        <w:tc>
          <w:tcPr>
            <w:tcW w:w="320" w:type="dxa"/>
            <w:vAlign w:val="bottom"/>
          </w:tcPr>
          <w:p>
            <w:pPr>
              <w:spacing w:after="0"/>
              <w:rPr>
                <w:sz w:val="12"/>
                <w:szCs w:val="12"/>
                <w:color w:val="auto"/>
              </w:rPr>
            </w:pPr>
          </w:p>
        </w:tc>
        <w:tc>
          <w:tcPr>
            <w:tcW w:w="7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17,555</w:t>
            </w:r>
          </w:p>
        </w:tc>
        <w:tc>
          <w:tcPr>
            <w:tcW w:w="26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(1,474)</w:t>
            </w:r>
          </w:p>
        </w:tc>
        <w:tc>
          <w:tcPr>
            <w:tcW w:w="28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17,336</w:t>
            </w:r>
          </w:p>
        </w:tc>
      </w:tr>
      <w:tr>
        <w:trPr>
          <w:trHeight w:val="149"/>
        </w:trPr>
        <w:tc>
          <w:tcPr>
            <w:tcW w:w="20" w:type="dxa"/>
            <w:vAlign w:val="bottom"/>
          </w:tcPr>
          <w:p>
            <w:pPr>
              <w:spacing w:after="0"/>
              <w:rPr>
                <w:sz w:val="12"/>
                <w:szCs w:val="12"/>
                <w:color w:val="auto"/>
              </w:rPr>
            </w:pPr>
          </w:p>
        </w:tc>
        <w:tc>
          <w:tcPr>
            <w:tcW w:w="400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Depreciation</w:t>
            </w:r>
          </w:p>
        </w:tc>
        <w:tc>
          <w:tcPr>
            <w:tcW w:w="94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22</w:t>
            </w:r>
          </w:p>
        </w:tc>
        <w:tc>
          <w:tcPr>
            <w:tcW w:w="24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4,145</w:t>
            </w:r>
          </w:p>
        </w:tc>
        <w:tc>
          <w:tcPr>
            <w:tcW w:w="26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4,167</w:t>
            </w:r>
          </w:p>
        </w:tc>
      </w:tr>
      <w:tr>
        <w:trPr>
          <w:trHeight w:val="149"/>
        </w:trPr>
        <w:tc>
          <w:tcPr>
            <w:tcW w:w="20" w:type="dxa"/>
            <w:vAlign w:val="bottom"/>
          </w:tcPr>
          <w:p>
            <w:pPr>
              <w:spacing w:after="0"/>
              <w:rPr>
                <w:sz w:val="12"/>
                <w:szCs w:val="12"/>
                <w:color w:val="auto"/>
              </w:rPr>
            </w:pPr>
          </w:p>
        </w:tc>
        <w:tc>
          <w:tcPr>
            <w:tcW w:w="400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Amortization</w:t>
            </w:r>
          </w:p>
        </w:tc>
        <w:tc>
          <w:tcPr>
            <w:tcW w:w="9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2</w:t>
            </w: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744</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746</w:t>
            </w:r>
          </w:p>
        </w:tc>
      </w:tr>
      <w:tr>
        <w:trPr>
          <w:trHeight w:val="142"/>
        </w:trPr>
        <w:tc>
          <w:tcPr>
            <w:tcW w:w="20" w:type="dxa"/>
            <w:vAlign w:val="bottom"/>
          </w:tcPr>
          <w:p>
            <w:pPr>
              <w:spacing w:after="0"/>
              <w:rPr>
                <w:sz w:val="12"/>
                <w:szCs w:val="12"/>
                <w:color w:val="auto"/>
              </w:rPr>
            </w:pPr>
          </w:p>
        </w:tc>
        <w:tc>
          <w:tcPr>
            <w:tcW w:w="4000" w:type="dxa"/>
            <w:vAlign w:val="bottom"/>
            <w:tcBorders>
              <w:bottom w:val="single" w:sz="8" w:color="auto"/>
            </w:tcBorders>
            <w:shd w:val="clear" w:color="auto" w:fill="E5E5E5"/>
          </w:tcPr>
          <w:p>
            <w:pPr>
              <w:spacing w:after="0"/>
              <w:rPr>
                <w:sz w:val="12"/>
                <w:szCs w:val="12"/>
                <w:color w:val="auto"/>
              </w:rPr>
            </w:pPr>
          </w:p>
        </w:tc>
        <w:tc>
          <w:tcPr>
            <w:tcW w:w="94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361</w:t>
            </w:r>
          </w:p>
        </w:tc>
        <w:tc>
          <w:tcPr>
            <w:tcW w:w="240" w:type="dxa"/>
            <w:vAlign w:val="bottom"/>
            <w:tcBorders>
              <w:bottom w:val="single" w:sz="8" w:color="auto"/>
            </w:tcBorders>
            <w:shd w:val="clear" w:color="auto" w:fill="E5E5E5"/>
          </w:tcPr>
          <w:p>
            <w:pPr>
              <w:spacing w:after="0"/>
              <w:rPr>
                <w:sz w:val="12"/>
                <w:szCs w:val="12"/>
                <w:color w:val="auto"/>
              </w:rPr>
            </w:pPr>
          </w:p>
        </w:tc>
        <w:tc>
          <w:tcPr>
            <w:tcW w:w="54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539</w:t>
            </w:r>
          </w:p>
        </w:tc>
        <w:tc>
          <w:tcPr>
            <w:tcW w:w="240" w:type="dxa"/>
            <w:vAlign w:val="bottom"/>
            <w:tcBorders>
              <w:bottom w:val="single" w:sz="8" w:color="auto"/>
            </w:tcBorders>
            <w:shd w:val="clear" w:color="auto" w:fill="E5E5E5"/>
          </w:tcPr>
          <w:p>
            <w:pPr>
              <w:spacing w:after="0"/>
              <w:rPr>
                <w:sz w:val="12"/>
                <w:szCs w:val="12"/>
                <w:color w:val="auto"/>
              </w:rPr>
            </w:pPr>
          </w:p>
        </w:tc>
        <w:tc>
          <w:tcPr>
            <w:tcW w:w="72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335</w:t>
            </w:r>
          </w:p>
        </w:tc>
        <w:tc>
          <w:tcPr>
            <w:tcW w:w="30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44</w:t>
            </w:r>
          </w:p>
        </w:tc>
        <w:tc>
          <w:tcPr>
            <w:tcW w:w="32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22,444</w:t>
            </w:r>
          </w:p>
        </w:tc>
        <w:tc>
          <w:tcPr>
            <w:tcW w:w="260" w:type="dxa"/>
            <w:vAlign w:val="bottom"/>
            <w:tcBorders>
              <w:bottom w:val="single" w:sz="8" w:color="auto"/>
            </w:tcBorders>
            <w:shd w:val="clear" w:color="auto" w:fill="E5E5E5"/>
          </w:tcPr>
          <w:p>
            <w:pPr>
              <w:spacing w:after="0"/>
              <w:rPr>
                <w:sz w:val="12"/>
                <w:szCs w:val="12"/>
                <w:color w:val="auto"/>
              </w:rPr>
            </w:pPr>
          </w:p>
        </w:tc>
        <w:tc>
          <w:tcPr>
            <w:tcW w:w="920" w:type="dxa"/>
            <w:vAlign w:val="bottom"/>
            <w:tcBorders>
              <w:bottom w:val="single" w:sz="8" w:color="auto"/>
            </w:tcBorders>
            <w:shd w:val="clear" w:color="auto" w:fill="E5E5E5"/>
          </w:tcPr>
          <w:p>
            <w:pPr>
              <w:jc w:val="right"/>
              <w:ind w:right="112"/>
              <w:spacing w:after="0" w:line="142" w:lineRule="exact"/>
              <w:rPr>
                <w:sz w:val="20"/>
                <w:szCs w:val="20"/>
                <w:color w:val="auto"/>
              </w:rPr>
            </w:pPr>
            <w:r>
              <w:rPr>
                <w:rFonts w:ascii="Arial" w:cs="Arial" w:eastAsia="Arial" w:hAnsi="Arial"/>
                <w:sz w:val="14"/>
                <w:szCs w:val="14"/>
                <w:color w:val="auto"/>
              </w:rPr>
              <w:t>(1,474)</w:t>
            </w:r>
          </w:p>
        </w:tc>
        <w:tc>
          <w:tcPr>
            <w:tcW w:w="28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22,249</w:t>
            </w:r>
          </w:p>
        </w:tc>
      </w:tr>
      <w:tr>
        <w:trPr>
          <w:trHeight w:val="142"/>
        </w:trPr>
        <w:tc>
          <w:tcPr>
            <w:tcW w:w="20" w:type="dxa"/>
            <w:vAlign w:val="bottom"/>
          </w:tcPr>
          <w:p>
            <w:pPr>
              <w:spacing w:after="0"/>
              <w:rPr>
                <w:sz w:val="12"/>
                <w:szCs w:val="12"/>
                <w:color w:val="auto"/>
              </w:rPr>
            </w:pPr>
          </w:p>
        </w:tc>
        <w:tc>
          <w:tcPr>
            <w:tcW w:w="4000" w:type="dxa"/>
            <w:vAlign w:val="bottom"/>
          </w:tcPr>
          <w:p>
            <w:pPr>
              <w:spacing w:after="0" w:line="142" w:lineRule="exact"/>
              <w:rPr>
                <w:sz w:val="20"/>
                <w:szCs w:val="20"/>
                <w:color w:val="auto"/>
              </w:rPr>
            </w:pPr>
            <w:r>
              <w:rPr>
                <w:rFonts w:ascii="Arial" w:cs="Arial" w:eastAsia="Arial" w:hAnsi="Arial"/>
                <w:sz w:val="14"/>
                <w:szCs w:val="14"/>
                <w:b w:val="1"/>
                <w:bCs w:val="1"/>
                <w:color w:val="auto"/>
              </w:rPr>
              <w:t>Operating income (loss)</w:t>
            </w:r>
          </w:p>
        </w:tc>
        <w:tc>
          <w:tcPr>
            <w:tcW w:w="940" w:type="dxa"/>
            <w:vAlign w:val="bottom"/>
          </w:tcPr>
          <w:p>
            <w:pPr>
              <w:spacing w:after="0"/>
              <w:rPr>
                <w:sz w:val="12"/>
                <w:szCs w:val="12"/>
                <w:color w:val="auto"/>
              </w:rPr>
            </w:pPr>
          </w:p>
        </w:tc>
        <w:tc>
          <w:tcPr>
            <w:tcW w:w="60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239</w:t>
            </w:r>
          </w:p>
        </w:tc>
        <w:tc>
          <w:tcPr>
            <w:tcW w:w="240" w:type="dxa"/>
            <w:vAlign w:val="bottom"/>
          </w:tcPr>
          <w:p>
            <w:pPr>
              <w:spacing w:after="0"/>
              <w:rPr>
                <w:sz w:val="12"/>
                <w:szCs w:val="12"/>
                <w:color w:val="auto"/>
              </w:rPr>
            </w:pPr>
          </w:p>
        </w:tc>
        <w:tc>
          <w:tcPr>
            <w:tcW w:w="54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72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600" w:type="dxa"/>
            <w:vAlign w:val="bottom"/>
          </w:tcPr>
          <w:p>
            <w:pPr>
              <w:jc w:val="right"/>
              <w:ind w:right="112"/>
              <w:spacing w:after="0" w:line="142" w:lineRule="exact"/>
              <w:rPr>
                <w:sz w:val="20"/>
                <w:szCs w:val="20"/>
                <w:color w:val="auto"/>
              </w:rPr>
            </w:pPr>
            <w:r>
              <w:rPr>
                <w:rFonts w:ascii="Arial" w:cs="Arial" w:eastAsia="Arial" w:hAnsi="Arial"/>
                <w:sz w:val="14"/>
                <w:szCs w:val="14"/>
                <w:color w:val="auto"/>
              </w:rPr>
              <w:t>(44)</w:t>
            </w:r>
          </w:p>
        </w:tc>
        <w:tc>
          <w:tcPr>
            <w:tcW w:w="320" w:type="dxa"/>
            <w:vAlign w:val="bottom"/>
          </w:tcPr>
          <w:p>
            <w:pPr>
              <w:spacing w:after="0"/>
              <w:rPr>
                <w:sz w:val="12"/>
                <w:szCs w:val="12"/>
                <w:color w:val="auto"/>
              </w:rPr>
            </w:pPr>
          </w:p>
        </w:tc>
        <w:tc>
          <w:tcPr>
            <w:tcW w:w="74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5,772</w:t>
            </w:r>
          </w:p>
        </w:tc>
        <w:tc>
          <w:tcPr>
            <w:tcW w:w="260" w:type="dxa"/>
            <w:vAlign w:val="bottom"/>
          </w:tcPr>
          <w:p>
            <w:pPr>
              <w:spacing w:after="0"/>
              <w:rPr>
                <w:sz w:val="12"/>
                <w:szCs w:val="12"/>
                <w:color w:val="auto"/>
              </w:rPr>
            </w:pPr>
          </w:p>
        </w:tc>
        <w:tc>
          <w:tcPr>
            <w:tcW w:w="92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700" w:type="dxa"/>
            <w:vAlign w:val="bottom"/>
          </w:tcPr>
          <w:p>
            <w:pPr>
              <w:jc w:val="right"/>
              <w:ind w:right="12"/>
              <w:spacing w:after="0" w:line="142" w:lineRule="exact"/>
              <w:rPr>
                <w:sz w:val="20"/>
                <w:szCs w:val="20"/>
                <w:color w:val="auto"/>
              </w:rPr>
            </w:pPr>
            <w:r>
              <w:rPr>
                <w:rFonts w:ascii="Arial" w:cs="Arial" w:eastAsia="Arial" w:hAnsi="Arial"/>
                <w:sz w:val="14"/>
                <w:szCs w:val="14"/>
                <w:color w:val="auto"/>
              </w:rPr>
              <w:t>5,967</w:t>
            </w:r>
          </w:p>
        </w:tc>
      </w:tr>
      <w:tr>
        <w:trPr>
          <w:trHeight w:val="149"/>
        </w:trPr>
        <w:tc>
          <w:tcPr>
            <w:tcW w:w="20" w:type="dxa"/>
            <w:vAlign w:val="bottom"/>
          </w:tcPr>
          <w:p>
            <w:pPr>
              <w:spacing w:after="0"/>
              <w:rPr>
                <w:sz w:val="12"/>
                <w:szCs w:val="12"/>
                <w:color w:val="auto"/>
              </w:rPr>
            </w:pPr>
          </w:p>
        </w:tc>
        <w:tc>
          <w:tcPr>
            <w:tcW w:w="400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Other Income (Expense):</w:t>
            </w:r>
          </w:p>
        </w:tc>
        <w:tc>
          <w:tcPr>
            <w:tcW w:w="94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72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320" w:type="dxa"/>
            <w:vAlign w:val="bottom"/>
            <w:shd w:val="clear" w:color="auto" w:fill="E5E5E5"/>
          </w:tcPr>
          <w:p>
            <w:pPr>
              <w:spacing w:after="0"/>
              <w:rPr>
                <w:sz w:val="12"/>
                <w:szCs w:val="12"/>
                <w:color w:val="auto"/>
              </w:rPr>
            </w:pPr>
          </w:p>
        </w:tc>
        <w:tc>
          <w:tcPr>
            <w:tcW w:w="74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00" w:type="dxa"/>
            <w:vAlign w:val="bottom"/>
          </w:tcPr>
          <w:p>
            <w:pPr>
              <w:ind w:left="200"/>
              <w:spacing w:after="0" w:line="149" w:lineRule="exact"/>
              <w:rPr>
                <w:sz w:val="20"/>
                <w:szCs w:val="20"/>
                <w:color w:val="auto"/>
              </w:rPr>
            </w:pPr>
            <w:r>
              <w:rPr>
                <w:rFonts w:ascii="Arial" w:cs="Arial" w:eastAsia="Arial" w:hAnsi="Arial"/>
                <w:sz w:val="14"/>
                <w:szCs w:val="14"/>
                <w:color w:val="auto"/>
              </w:rPr>
              <w:t>Interest expense</w:t>
            </w:r>
          </w:p>
        </w:tc>
        <w:tc>
          <w:tcPr>
            <w:tcW w:w="94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90"/>
              </w:rPr>
              <w:t>(1,049)</w:t>
            </w:r>
          </w:p>
        </w:tc>
        <w:tc>
          <w:tcPr>
            <w:tcW w:w="240" w:type="dxa"/>
            <w:vAlign w:val="bottom"/>
          </w:tcPr>
          <w:p>
            <w:pPr>
              <w:spacing w:after="0"/>
              <w:rPr>
                <w:sz w:val="12"/>
                <w:szCs w:val="12"/>
                <w:color w:val="auto"/>
              </w:rPr>
            </w:pPr>
          </w:p>
        </w:tc>
        <w:tc>
          <w:tcPr>
            <w:tcW w:w="5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(303)</w:t>
            </w:r>
          </w:p>
        </w:tc>
        <w:tc>
          <w:tcPr>
            <w:tcW w:w="240" w:type="dxa"/>
            <w:vAlign w:val="bottom"/>
          </w:tcPr>
          <w:p>
            <w:pPr>
              <w:spacing w:after="0"/>
              <w:rPr>
                <w:sz w:val="12"/>
                <w:szCs w:val="12"/>
                <w:color w:val="auto"/>
              </w:rPr>
            </w:pP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(130)</w:t>
            </w:r>
          </w:p>
        </w:tc>
        <w:tc>
          <w:tcPr>
            <w:tcW w:w="30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(25)</w:t>
            </w:r>
          </w:p>
        </w:tc>
        <w:tc>
          <w:tcPr>
            <w:tcW w:w="320" w:type="dxa"/>
            <w:vAlign w:val="bottom"/>
          </w:tcPr>
          <w:p>
            <w:pPr>
              <w:spacing w:after="0"/>
              <w:rPr>
                <w:sz w:val="12"/>
                <w:szCs w:val="12"/>
                <w:color w:val="auto"/>
              </w:rPr>
            </w:pP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(105)</w:t>
            </w:r>
          </w:p>
        </w:tc>
        <w:tc>
          <w:tcPr>
            <w:tcW w:w="260" w:type="dxa"/>
            <w:vAlign w:val="bottom"/>
          </w:tcPr>
          <w:p>
            <w:pPr>
              <w:spacing w:after="0"/>
              <w:rPr>
                <w:sz w:val="12"/>
                <w:szCs w:val="12"/>
                <w:color w:val="auto"/>
              </w:rPr>
            </w:pP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(1,612)</w:t>
            </w:r>
          </w:p>
        </w:tc>
      </w:tr>
      <w:tr>
        <w:trPr>
          <w:trHeight w:val="149"/>
        </w:trPr>
        <w:tc>
          <w:tcPr>
            <w:tcW w:w="20" w:type="dxa"/>
            <w:vAlign w:val="bottom"/>
          </w:tcPr>
          <w:p>
            <w:pPr>
              <w:spacing w:after="0"/>
              <w:rPr>
                <w:sz w:val="12"/>
                <w:szCs w:val="12"/>
                <w:color w:val="auto"/>
              </w:rPr>
            </w:pPr>
          </w:p>
        </w:tc>
        <w:tc>
          <w:tcPr>
            <w:tcW w:w="400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Investment income (loss), net</w:t>
            </w:r>
          </w:p>
        </w:tc>
        <w:tc>
          <w:tcPr>
            <w:tcW w:w="94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5</w:t>
            </w:r>
          </w:p>
        </w:tc>
        <w:tc>
          <w:tcPr>
            <w:tcW w:w="24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1</w:t>
            </w:r>
          </w:p>
        </w:tc>
        <w:tc>
          <w:tcPr>
            <w:tcW w:w="32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204</w:t>
            </w:r>
          </w:p>
        </w:tc>
        <w:tc>
          <w:tcPr>
            <w:tcW w:w="26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210</w:t>
            </w:r>
          </w:p>
        </w:tc>
      </w:tr>
      <w:tr>
        <w:trPr>
          <w:trHeight w:val="149"/>
        </w:trPr>
        <w:tc>
          <w:tcPr>
            <w:tcW w:w="20" w:type="dxa"/>
            <w:vAlign w:val="bottom"/>
          </w:tcPr>
          <w:p>
            <w:pPr>
              <w:spacing w:after="0"/>
              <w:rPr>
                <w:sz w:val="12"/>
                <w:szCs w:val="12"/>
                <w:color w:val="auto"/>
              </w:rPr>
            </w:pPr>
          </w:p>
        </w:tc>
        <w:tc>
          <w:tcPr>
            <w:tcW w:w="4000" w:type="dxa"/>
            <w:vAlign w:val="bottom"/>
          </w:tcPr>
          <w:p>
            <w:pPr>
              <w:ind w:left="200"/>
              <w:spacing w:after="0" w:line="149" w:lineRule="exact"/>
              <w:rPr>
                <w:sz w:val="20"/>
                <w:szCs w:val="20"/>
                <w:color w:val="auto"/>
              </w:rPr>
            </w:pPr>
            <w:r>
              <w:rPr>
                <w:rFonts w:ascii="Arial" w:cs="Arial" w:eastAsia="Arial" w:hAnsi="Arial"/>
                <w:sz w:val="14"/>
                <w:szCs w:val="14"/>
                <w:color w:val="auto"/>
              </w:rPr>
              <w:t>Equity in net income (losses) of investees, net</w:t>
            </w:r>
          </w:p>
        </w:tc>
        <w:tc>
          <w:tcPr>
            <w:tcW w:w="940" w:type="dxa"/>
            <w:vAlign w:val="bottom"/>
          </w:tcPr>
          <w:p>
            <w:pPr>
              <w:spacing w:after="0"/>
              <w:rPr>
                <w:sz w:val="12"/>
                <w:szCs w:val="12"/>
                <w:color w:val="auto"/>
              </w:rPr>
            </w:pP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3,187</w:t>
            </w:r>
          </w:p>
        </w:tc>
        <w:tc>
          <w:tcPr>
            <w:tcW w:w="240" w:type="dxa"/>
            <w:vAlign w:val="bottom"/>
          </w:tcPr>
          <w:p>
            <w:pPr>
              <w:spacing w:after="0"/>
              <w:rPr>
                <w:sz w:val="12"/>
                <w:szCs w:val="12"/>
                <w:color w:val="auto"/>
              </w:rPr>
            </w:pPr>
          </w:p>
        </w:tc>
        <w:tc>
          <w:tcPr>
            <w:tcW w:w="54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85"/>
              </w:rPr>
              <w:t>3,403</w:t>
            </w:r>
          </w:p>
        </w:tc>
        <w:tc>
          <w:tcPr>
            <w:tcW w:w="240" w:type="dxa"/>
            <w:vAlign w:val="bottom"/>
          </w:tcPr>
          <w:p>
            <w:pPr>
              <w:spacing w:after="0"/>
              <w:rPr>
                <w:sz w:val="12"/>
                <w:szCs w:val="12"/>
                <w:color w:val="auto"/>
              </w:rPr>
            </w:pPr>
          </w:p>
        </w:tc>
        <w:tc>
          <w:tcPr>
            <w:tcW w:w="7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2,131</w:t>
            </w:r>
          </w:p>
        </w:tc>
        <w:tc>
          <w:tcPr>
            <w:tcW w:w="300" w:type="dxa"/>
            <w:vAlign w:val="bottom"/>
          </w:tcPr>
          <w:p>
            <w:pPr>
              <w:spacing w:after="0"/>
              <w:rPr>
                <w:sz w:val="12"/>
                <w:szCs w:val="12"/>
                <w:color w:val="auto"/>
              </w:rPr>
            </w:pP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3,439</w:t>
            </w:r>
          </w:p>
        </w:tc>
        <w:tc>
          <w:tcPr>
            <w:tcW w:w="320" w:type="dxa"/>
            <w:vAlign w:val="bottom"/>
          </w:tcPr>
          <w:p>
            <w:pPr>
              <w:spacing w:after="0"/>
              <w:rPr>
                <w:sz w:val="12"/>
                <w:szCs w:val="12"/>
                <w:color w:val="auto"/>
              </w:rPr>
            </w:pP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(98)</w:t>
            </w:r>
          </w:p>
        </w:tc>
        <w:tc>
          <w:tcPr>
            <w:tcW w:w="26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(12,160)</w:t>
            </w:r>
          </w:p>
        </w:tc>
        <w:tc>
          <w:tcPr>
            <w:tcW w:w="2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(98)</w:t>
            </w:r>
          </w:p>
        </w:tc>
      </w:tr>
      <w:tr>
        <w:trPr>
          <w:trHeight w:val="149"/>
        </w:trPr>
        <w:tc>
          <w:tcPr>
            <w:tcW w:w="20" w:type="dxa"/>
            <w:vAlign w:val="bottom"/>
          </w:tcPr>
          <w:p>
            <w:pPr>
              <w:spacing w:after="0"/>
              <w:rPr>
                <w:sz w:val="12"/>
                <w:szCs w:val="12"/>
                <w:color w:val="auto"/>
              </w:rPr>
            </w:pPr>
          </w:p>
        </w:tc>
        <w:tc>
          <w:tcPr>
            <w:tcW w:w="400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Other income (expense), net</w:t>
            </w:r>
          </w:p>
        </w:tc>
        <w:tc>
          <w:tcPr>
            <w:tcW w:w="94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(72)</w:t>
            </w:r>
          </w:p>
        </w:tc>
        <w:tc>
          <w:tcPr>
            <w:tcW w:w="240" w:type="dxa"/>
            <w:vAlign w:val="bottom"/>
            <w:tcBorders>
              <w:bottom w:val="single" w:sz="8" w:color="auto"/>
            </w:tcBorders>
            <w:shd w:val="clear" w:color="auto" w:fill="E5E5E5"/>
          </w:tcPr>
          <w:p>
            <w:pPr>
              <w:spacing w:after="0"/>
              <w:rPr>
                <w:sz w:val="12"/>
                <w:szCs w:val="12"/>
                <w:color w:val="auto"/>
              </w:rPr>
            </w:pPr>
          </w:p>
        </w:tc>
        <w:tc>
          <w:tcPr>
            <w:tcW w:w="54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E5E5E5"/>
          </w:tcPr>
          <w:p>
            <w:pPr>
              <w:spacing w:after="0"/>
              <w:rPr>
                <w:sz w:val="12"/>
                <w:szCs w:val="12"/>
                <w:color w:val="auto"/>
              </w:rPr>
            </w:pPr>
          </w:p>
        </w:tc>
        <w:tc>
          <w:tcPr>
            <w:tcW w:w="72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3</w:t>
            </w:r>
          </w:p>
        </w:tc>
        <w:tc>
          <w:tcPr>
            <w:tcW w:w="260" w:type="dxa"/>
            <w:vAlign w:val="bottom"/>
            <w:tcBorders>
              <w:bottom w:val="single" w:sz="8" w:color="auto"/>
            </w:tcBorders>
            <w:shd w:val="clear" w:color="auto" w:fill="E5E5E5"/>
          </w:tcPr>
          <w:p>
            <w:pPr>
              <w:spacing w:after="0"/>
              <w:rPr>
                <w:sz w:val="12"/>
                <w:szCs w:val="12"/>
                <w:color w:val="auto"/>
              </w:rPr>
            </w:pPr>
          </w:p>
        </w:tc>
        <w:tc>
          <w:tcPr>
            <w:tcW w:w="92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(69)</w:t>
            </w:r>
          </w:p>
        </w:tc>
      </w:tr>
      <w:tr>
        <w:trPr>
          <w:trHeight w:val="142"/>
        </w:trPr>
        <w:tc>
          <w:tcPr>
            <w:tcW w:w="20" w:type="dxa"/>
            <w:vAlign w:val="bottom"/>
          </w:tcPr>
          <w:p>
            <w:pPr>
              <w:spacing w:after="0"/>
              <w:rPr>
                <w:sz w:val="12"/>
                <w:szCs w:val="12"/>
                <w:color w:val="auto"/>
              </w:rPr>
            </w:pPr>
          </w:p>
        </w:tc>
        <w:tc>
          <w:tcPr>
            <w:tcW w:w="40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2,071</w:t>
            </w: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w w:val="85"/>
              </w:rPr>
              <w:t>3,100</w:t>
            </w: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2,001</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3,415</w:t>
            </w: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4</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(12,160)</w:t>
            </w: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(1,569)</w:t>
            </w:r>
          </w:p>
        </w:tc>
      </w:tr>
      <w:tr>
        <w:trPr>
          <w:trHeight w:val="142"/>
        </w:trPr>
        <w:tc>
          <w:tcPr>
            <w:tcW w:w="20" w:type="dxa"/>
            <w:vAlign w:val="bottom"/>
          </w:tcPr>
          <w:p>
            <w:pPr>
              <w:spacing w:after="0"/>
              <w:rPr>
                <w:sz w:val="12"/>
                <w:szCs w:val="12"/>
                <w:color w:val="auto"/>
              </w:rPr>
            </w:pPr>
          </w:p>
        </w:tc>
        <w:tc>
          <w:tcPr>
            <w:tcW w:w="400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Income (loss) before income taxes</w:t>
            </w:r>
          </w:p>
        </w:tc>
        <w:tc>
          <w:tcPr>
            <w:tcW w:w="94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2,310</w:t>
            </w:r>
          </w:p>
        </w:tc>
        <w:tc>
          <w:tcPr>
            <w:tcW w:w="24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w w:val="85"/>
              </w:rPr>
              <w:t>3,100</w:t>
            </w:r>
          </w:p>
        </w:tc>
        <w:tc>
          <w:tcPr>
            <w:tcW w:w="24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2,001</w:t>
            </w: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3,371</w:t>
            </w:r>
          </w:p>
        </w:tc>
        <w:tc>
          <w:tcPr>
            <w:tcW w:w="32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5,776</w:t>
            </w:r>
          </w:p>
        </w:tc>
        <w:tc>
          <w:tcPr>
            <w:tcW w:w="26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112"/>
              <w:spacing w:after="0" w:line="142" w:lineRule="exact"/>
              <w:rPr>
                <w:sz w:val="20"/>
                <w:szCs w:val="20"/>
                <w:color w:val="auto"/>
              </w:rPr>
            </w:pPr>
            <w:r>
              <w:rPr>
                <w:rFonts w:ascii="Arial" w:cs="Arial" w:eastAsia="Arial" w:hAnsi="Arial"/>
                <w:sz w:val="14"/>
                <w:szCs w:val="14"/>
                <w:color w:val="auto"/>
              </w:rPr>
              <w:t>(12,160)</w:t>
            </w: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4,398</w:t>
            </w:r>
          </w:p>
        </w:tc>
      </w:tr>
      <w:tr>
        <w:trPr>
          <w:trHeight w:val="149"/>
        </w:trPr>
        <w:tc>
          <w:tcPr>
            <w:tcW w:w="20" w:type="dxa"/>
            <w:vAlign w:val="bottom"/>
          </w:tcPr>
          <w:p>
            <w:pPr>
              <w:spacing w:after="0"/>
              <w:rPr>
                <w:sz w:val="12"/>
                <w:szCs w:val="12"/>
                <w:color w:val="auto"/>
              </w:rPr>
            </w:pPr>
          </w:p>
        </w:tc>
        <w:tc>
          <w:tcPr>
            <w:tcW w:w="40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Income tax (expense) benefit</w:t>
            </w:r>
          </w:p>
        </w:tc>
        <w:tc>
          <w:tcPr>
            <w:tcW w:w="9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307</w:t>
            </w: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106</w:t>
            </w: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46</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24</w:t>
            </w: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(2,246)</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(1,763)</w:t>
            </w:r>
          </w:p>
        </w:tc>
      </w:tr>
      <w:tr>
        <w:trPr>
          <w:trHeight w:val="142"/>
        </w:trPr>
        <w:tc>
          <w:tcPr>
            <w:tcW w:w="20" w:type="dxa"/>
            <w:vAlign w:val="bottom"/>
          </w:tcPr>
          <w:p>
            <w:pPr>
              <w:spacing w:after="0"/>
              <w:rPr>
                <w:sz w:val="12"/>
                <w:szCs w:val="12"/>
                <w:color w:val="auto"/>
              </w:rPr>
            </w:pPr>
          </w:p>
        </w:tc>
        <w:tc>
          <w:tcPr>
            <w:tcW w:w="400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Net income (loss) from consolidated operations</w:t>
            </w:r>
          </w:p>
        </w:tc>
        <w:tc>
          <w:tcPr>
            <w:tcW w:w="94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2,617</w:t>
            </w:r>
          </w:p>
        </w:tc>
        <w:tc>
          <w:tcPr>
            <w:tcW w:w="24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w w:val="85"/>
              </w:rPr>
              <w:t>3,206</w:t>
            </w:r>
          </w:p>
        </w:tc>
        <w:tc>
          <w:tcPr>
            <w:tcW w:w="24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2,047</w:t>
            </w: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3,395</w:t>
            </w:r>
          </w:p>
        </w:tc>
        <w:tc>
          <w:tcPr>
            <w:tcW w:w="32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3,530</w:t>
            </w:r>
          </w:p>
        </w:tc>
        <w:tc>
          <w:tcPr>
            <w:tcW w:w="26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112"/>
              <w:spacing w:after="0" w:line="142" w:lineRule="exact"/>
              <w:rPr>
                <w:sz w:val="20"/>
                <w:szCs w:val="20"/>
                <w:color w:val="auto"/>
              </w:rPr>
            </w:pPr>
            <w:r>
              <w:rPr>
                <w:rFonts w:ascii="Arial" w:cs="Arial" w:eastAsia="Arial" w:hAnsi="Arial"/>
                <w:sz w:val="14"/>
                <w:szCs w:val="14"/>
                <w:color w:val="auto"/>
              </w:rPr>
              <w:t>(12,160)</w:t>
            </w: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2,635</w:t>
            </w:r>
          </w:p>
        </w:tc>
      </w:tr>
      <w:tr>
        <w:trPr>
          <w:trHeight w:val="149"/>
        </w:trPr>
        <w:tc>
          <w:tcPr>
            <w:tcW w:w="20" w:type="dxa"/>
            <w:vAlign w:val="bottom"/>
          </w:tcPr>
          <w:p>
            <w:pPr>
              <w:spacing w:after="0"/>
              <w:rPr>
                <w:sz w:val="12"/>
                <w:szCs w:val="12"/>
                <w:color w:val="auto"/>
              </w:rPr>
            </w:pPr>
          </w:p>
        </w:tc>
        <w:tc>
          <w:tcPr>
            <w:tcW w:w="40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Net (income) loss attributable to noncontrolling interests</w:t>
            </w:r>
          </w:p>
        </w:tc>
        <w:tc>
          <w:tcPr>
            <w:tcW w:w="9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(18)</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w:t>
            </w:r>
          </w:p>
        </w:tc>
      </w:tr>
      <w:tr>
        <w:trPr>
          <w:trHeight w:val="149"/>
        </w:trPr>
        <w:tc>
          <w:tcPr>
            <w:tcW w:w="20" w:type="dxa"/>
            <w:vAlign w:val="bottom"/>
          </w:tcPr>
          <w:p>
            <w:pPr>
              <w:spacing w:after="0"/>
              <w:rPr>
                <w:sz w:val="12"/>
                <w:szCs w:val="12"/>
                <w:color w:val="auto"/>
              </w:rPr>
            </w:pPr>
          </w:p>
        </w:tc>
        <w:tc>
          <w:tcPr>
            <w:tcW w:w="4000" w:type="dxa"/>
            <w:vAlign w:val="bottom"/>
            <w:tcBorders>
              <w:bottom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Net income (loss) attributable to Comcast Corporation</w:t>
            </w:r>
          </w:p>
        </w:tc>
        <w:tc>
          <w:tcPr>
            <w:tcW w:w="940" w:type="dxa"/>
            <w:vAlign w:val="bottom"/>
            <w:tcBorders>
              <w:bottom w:val="single" w:sz="8" w:color="auto"/>
            </w:tcBorders>
            <w:shd w:val="clear" w:color="auto" w:fill="E5E5E5"/>
          </w:tcPr>
          <w:p>
            <w:pPr>
              <w:ind w:left="860"/>
              <w:spacing w:after="0" w:line="142"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b w:val="1"/>
                <w:bCs w:val="1"/>
                <w:color w:val="auto"/>
              </w:rPr>
              <w:t>2,617</w:t>
            </w:r>
          </w:p>
        </w:tc>
        <w:tc>
          <w:tcPr>
            <w:tcW w:w="24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b w:val="1"/>
                <w:bCs w:val="1"/>
                <w:color w:val="auto"/>
                <w:w w:val="85"/>
              </w:rPr>
              <w:t>3,206</w:t>
            </w:r>
          </w:p>
        </w:tc>
        <w:tc>
          <w:tcPr>
            <w:tcW w:w="240" w:type="dxa"/>
            <w:vAlign w:val="bottom"/>
            <w:tcBorders>
              <w:bottom w:val="single" w:sz="8" w:color="auto"/>
            </w:tcBorders>
            <w:shd w:val="clear" w:color="auto" w:fill="E5E5E5"/>
          </w:tcPr>
          <w:p>
            <w:pPr>
              <w:ind w:left="160"/>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b w:val="1"/>
                <w:bCs w:val="1"/>
                <w:color w:val="auto"/>
              </w:rPr>
              <w:t>2,047</w:t>
            </w:r>
          </w:p>
        </w:tc>
        <w:tc>
          <w:tcPr>
            <w:tcW w:w="300" w:type="dxa"/>
            <w:vAlign w:val="bottom"/>
            <w:tcBorders>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b w:val="1"/>
                <w:bCs w:val="1"/>
                <w:color w:val="auto"/>
              </w:rPr>
              <w:t>3,395</w:t>
            </w:r>
          </w:p>
        </w:tc>
        <w:tc>
          <w:tcPr>
            <w:tcW w:w="320" w:type="dxa"/>
            <w:vAlign w:val="bottom"/>
            <w:tcBorders>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b w:val="1"/>
                <w:bCs w:val="1"/>
                <w:color w:val="auto"/>
              </w:rPr>
              <w:t>3,512</w:t>
            </w:r>
          </w:p>
        </w:tc>
        <w:tc>
          <w:tcPr>
            <w:tcW w:w="26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E5E5E5"/>
          </w:tcPr>
          <w:p>
            <w:pPr>
              <w:jc w:val="right"/>
              <w:ind w:right="112"/>
              <w:spacing w:after="0" w:line="142" w:lineRule="exact"/>
              <w:rPr>
                <w:sz w:val="20"/>
                <w:szCs w:val="20"/>
                <w:color w:val="auto"/>
              </w:rPr>
            </w:pPr>
            <w:r>
              <w:rPr>
                <w:rFonts w:ascii="Arial" w:cs="Arial" w:eastAsia="Arial" w:hAnsi="Arial"/>
                <w:sz w:val="14"/>
                <w:szCs w:val="14"/>
                <w:b w:val="1"/>
                <w:bCs w:val="1"/>
                <w:color w:val="auto"/>
              </w:rPr>
              <w:t>(12,160)</w:t>
            </w:r>
          </w:p>
        </w:tc>
        <w:tc>
          <w:tcPr>
            <w:tcW w:w="280" w:type="dxa"/>
            <w:vAlign w:val="bottom"/>
            <w:tcBorders>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b w:val="1"/>
                <w:bCs w:val="1"/>
                <w:color w:val="auto"/>
              </w:rPr>
              <w:t>2,617</w:t>
            </w: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center"/>
              <w:ind w:right="252"/>
              <w:spacing w:after="0"/>
              <w:rPr>
                <w:sz w:val="20"/>
                <w:szCs w:val="20"/>
                <w:color w:val="auto"/>
              </w:rPr>
            </w:pPr>
            <w:r>
              <w:rPr>
                <w:rFonts w:ascii="Arial" w:cs="Arial" w:eastAsia="Arial" w:hAnsi="Arial"/>
                <w:sz w:val="14"/>
                <w:szCs w:val="14"/>
                <w:color w:val="auto"/>
                <w:w w:val="93"/>
              </w:rPr>
              <w:t>Elimination</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Combined</w:t>
            </w: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ind w:right="412"/>
              <w:spacing w:after="0" w:line="149" w:lineRule="exact"/>
              <w:rPr>
                <w:sz w:val="20"/>
                <w:szCs w:val="20"/>
                <w:color w:val="auto"/>
              </w:rPr>
            </w:pPr>
            <w:r>
              <w:rPr>
                <w:rFonts w:ascii="Arial" w:cs="Arial" w:eastAsia="Arial" w:hAnsi="Arial"/>
                <w:sz w:val="14"/>
                <w:szCs w:val="14"/>
                <w:color w:val="auto"/>
              </w:rPr>
              <w:t>Non-</w:t>
            </w:r>
          </w:p>
        </w:tc>
        <w:tc>
          <w:tcPr>
            <w:tcW w:w="320" w:type="dxa"/>
            <w:vAlign w:val="bottom"/>
          </w:tcPr>
          <w:p>
            <w:pPr>
              <w:spacing w:after="0"/>
              <w:rPr>
                <w:sz w:val="12"/>
                <w:szCs w:val="12"/>
                <w:color w:val="auto"/>
              </w:rPr>
            </w:pPr>
          </w:p>
        </w:tc>
        <w:tc>
          <w:tcPr>
            <w:tcW w:w="960" w:type="dxa"/>
            <w:vAlign w:val="bottom"/>
          </w:tcPr>
          <w:p>
            <w:pPr>
              <w:jc w:val="center"/>
              <w:ind w:right="272"/>
              <w:spacing w:after="0" w:line="149" w:lineRule="exact"/>
              <w:rPr>
                <w:sz w:val="20"/>
                <w:szCs w:val="20"/>
                <w:color w:val="auto"/>
              </w:rPr>
            </w:pPr>
            <w:r>
              <w:rPr>
                <w:rFonts w:ascii="Arial" w:cs="Arial" w:eastAsia="Arial" w:hAnsi="Arial"/>
                <w:sz w:val="14"/>
                <w:szCs w:val="14"/>
                <w:color w:val="auto"/>
                <w:w w:val="76"/>
              </w:rPr>
              <w:t>and</w:t>
            </w:r>
          </w:p>
        </w:tc>
        <w:tc>
          <w:tcPr>
            <w:tcW w:w="106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95"/>
              </w:rPr>
              <w:t>Consolidated</w:t>
            </w: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1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Comcast</w:t>
            </w:r>
          </w:p>
        </w:tc>
        <w:tc>
          <w:tcPr>
            <w:tcW w:w="940" w:type="dxa"/>
            <w:vAlign w:val="bottom"/>
            <w:gridSpan w:val="2"/>
          </w:tcPr>
          <w:p>
            <w:pPr>
              <w:jc w:val="right"/>
              <w:ind w:right="252"/>
              <w:spacing w:after="0" w:line="149" w:lineRule="exact"/>
              <w:rPr>
                <w:sz w:val="20"/>
                <w:szCs w:val="20"/>
                <w:color w:val="auto"/>
              </w:rPr>
            </w:pPr>
            <w:r>
              <w:rPr>
                <w:rFonts w:ascii="Arial" w:cs="Arial" w:eastAsia="Arial" w:hAnsi="Arial"/>
                <w:sz w:val="14"/>
                <w:szCs w:val="14"/>
                <w:color w:val="auto"/>
              </w:rPr>
              <w:t>CCCL</w:t>
            </w:r>
          </w:p>
        </w:tc>
        <w:tc>
          <w:tcPr>
            <w:tcW w:w="1100" w:type="dxa"/>
            <w:vAlign w:val="bottom"/>
            <w:gridSpan w:val="2"/>
          </w:tcPr>
          <w:p>
            <w:pPr>
              <w:jc w:val="right"/>
              <w:ind w:right="252"/>
              <w:spacing w:after="0" w:line="149" w:lineRule="exact"/>
              <w:rPr>
                <w:sz w:val="20"/>
                <w:szCs w:val="20"/>
                <w:color w:val="auto"/>
              </w:rPr>
            </w:pPr>
            <w:r>
              <w:rPr>
                <w:rFonts w:ascii="Arial" w:cs="Arial" w:eastAsia="Arial" w:hAnsi="Arial"/>
                <w:sz w:val="14"/>
                <w:szCs w:val="14"/>
                <w:color w:val="auto"/>
              </w:rPr>
              <w:t>CCHMO</w:t>
            </w:r>
          </w:p>
        </w:tc>
        <w:tc>
          <w:tcPr>
            <w:tcW w:w="10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Comcast</w:t>
            </w:r>
          </w:p>
        </w:tc>
        <w:tc>
          <w:tcPr>
            <w:tcW w:w="1200" w:type="dxa"/>
            <w:vAlign w:val="bottom"/>
            <w:gridSpan w:val="2"/>
          </w:tcPr>
          <w:p>
            <w:pPr>
              <w:jc w:val="right"/>
              <w:ind w:right="292"/>
              <w:spacing w:after="0" w:line="149" w:lineRule="exact"/>
              <w:rPr>
                <w:sz w:val="20"/>
                <w:szCs w:val="20"/>
                <w:color w:val="auto"/>
              </w:rPr>
            </w:pPr>
            <w:r>
              <w:rPr>
                <w:rFonts w:ascii="Arial" w:cs="Arial" w:eastAsia="Arial" w:hAnsi="Arial"/>
                <w:sz w:val="14"/>
                <w:szCs w:val="14"/>
                <w:color w:val="auto"/>
              </w:rPr>
              <w:t>Guarantor</w:t>
            </w:r>
          </w:p>
        </w:tc>
        <w:tc>
          <w:tcPr>
            <w:tcW w:w="128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Consolidation</w:t>
            </w:r>
          </w:p>
        </w:tc>
        <w:tc>
          <w:tcPr>
            <w:tcW w:w="360" w:type="dxa"/>
            <w:vAlign w:val="bottom"/>
          </w:tcPr>
          <w:p>
            <w:pPr>
              <w:spacing w:after="0"/>
              <w:rPr>
                <w:sz w:val="12"/>
                <w:szCs w:val="12"/>
                <w:color w:val="auto"/>
              </w:rPr>
            </w:pPr>
          </w:p>
        </w:tc>
        <w:tc>
          <w:tcPr>
            <w:tcW w:w="70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86"/>
              </w:rPr>
              <w:t>Comcast</w:t>
            </w:r>
          </w:p>
        </w:tc>
      </w:tr>
      <w:tr>
        <w:trPr>
          <w:trHeight w:val="159"/>
        </w:trPr>
        <w:tc>
          <w:tcPr>
            <w:tcW w:w="372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100" w:type="dxa"/>
            <w:vAlign w:val="bottom"/>
            <w:gridSpan w:val="2"/>
          </w:tcPr>
          <w:p>
            <w:pPr>
              <w:jc w:val="right"/>
              <w:ind w:right="292"/>
              <w:spacing w:after="0" w:line="159" w:lineRule="exact"/>
              <w:rPr>
                <w:sz w:val="20"/>
                <w:szCs w:val="20"/>
                <w:color w:val="auto"/>
              </w:rPr>
            </w:pPr>
            <w:r>
              <w:rPr>
                <w:rFonts w:ascii="Arial" w:cs="Arial" w:eastAsia="Arial" w:hAnsi="Arial"/>
                <w:sz w:val="14"/>
                <w:szCs w:val="14"/>
                <w:color w:val="auto"/>
              </w:rPr>
              <w:t>Parent</w:t>
            </w:r>
          </w:p>
        </w:tc>
        <w:tc>
          <w:tcPr>
            <w:tcW w:w="940" w:type="dxa"/>
            <w:vAlign w:val="bottom"/>
            <w:gridSpan w:val="2"/>
          </w:tcPr>
          <w:p>
            <w:pPr>
              <w:jc w:val="right"/>
              <w:ind w:right="252"/>
              <w:spacing w:after="0" w:line="159" w:lineRule="exact"/>
              <w:rPr>
                <w:sz w:val="20"/>
                <w:szCs w:val="20"/>
                <w:color w:val="auto"/>
              </w:rPr>
            </w:pPr>
            <w:r>
              <w:rPr>
                <w:rFonts w:ascii="Arial" w:cs="Arial" w:eastAsia="Arial" w:hAnsi="Arial"/>
                <w:sz w:val="14"/>
                <w:szCs w:val="14"/>
                <w:color w:val="auto"/>
              </w:rPr>
              <w:t>Parent</w:t>
            </w:r>
          </w:p>
        </w:tc>
        <w:tc>
          <w:tcPr>
            <w:tcW w:w="320" w:type="dxa"/>
            <w:vAlign w:val="bottom"/>
          </w:tcPr>
          <w:p>
            <w:pPr>
              <w:spacing w:after="0"/>
              <w:rPr>
                <w:sz w:val="13"/>
                <w:szCs w:val="13"/>
                <w:color w:val="auto"/>
              </w:rPr>
            </w:pPr>
          </w:p>
        </w:tc>
        <w:tc>
          <w:tcPr>
            <w:tcW w:w="780" w:type="dxa"/>
            <w:vAlign w:val="bottom"/>
          </w:tcPr>
          <w:p>
            <w:pPr>
              <w:jc w:val="right"/>
              <w:ind w:right="312"/>
              <w:spacing w:after="0" w:line="159" w:lineRule="exact"/>
              <w:rPr>
                <w:sz w:val="20"/>
                <w:szCs w:val="20"/>
                <w:color w:val="auto"/>
              </w:rPr>
            </w:pPr>
            <w:r>
              <w:rPr>
                <w:rFonts w:ascii="Arial" w:cs="Arial" w:eastAsia="Arial" w:hAnsi="Arial"/>
                <w:sz w:val="14"/>
                <w:szCs w:val="14"/>
                <w:color w:val="auto"/>
                <w:w w:val="78"/>
              </w:rPr>
              <w:t>Parents</w:t>
            </w:r>
          </w:p>
        </w:tc>
        <w:tc>
          <w:tcPr>
            <w:tcW w:w="102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Holdings</w:t>
            </w:r>
          </w:p>
        </w:tc>
        <w:tc>
          <w:tcPr>
            <w:tcW w:w="120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Subsidiaries</w:t>
            </w:r>
          </w:p>
        </w:tc>
        <w:tc>
          <w:tcPr>
            <w:tcW w:w="128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1060" w:type="dxa"/>
            <w:vAlign w:val="bottom"/>
            <w:gridSpan w:val="2"/>
          </w:tcPr>
          <w:p>
            <w:pPr>
              <w:jc w:val="right"/>
              <w:ind w:right="52"/>
              <w:spacing w:after="0" w:line="159" w:lineRule="exact"/>
              <w:rPr>
                <w:sz w:val="20"/>
                <w:szCs w:val="20"/>
                <w:color w:val="auto"/>
              </w:rPr>
            </w:pPr>
            <w:r>
              <w:rPr>
                <w:rFonts w:ascii="Arial" w:cs="Arial" w:eastAsia="Arial" w:hAnsi="Arial"/>
                <w:sz w:val="14"/>
                <w:szCs w:val="14"/>
                <w:color w:val="auto"/>
              </w:rPr>
              <w:t>Corporation</w:t>
            </w:r>
          </w:p>
        </w:tc>
      </w:tr>
      <w:tr>
        <w:trPr>
          <w:trHeight w:val="142"/>
        </w:trPr>
        <w:tc>
          <w:tcPr>
            <w:tcW w:w="20" w:type="dxa"/>
            <w:vAlign w:val="bottom"/>
          </w:tcPr>
          <w:p>
            <w:pPr>
              <w:spacing w:after="0"/>
              <w:rPr>
                <w:sz w:val="12"/>
                <w:szCs w:val="12"/>
                <w:color w:val="auto"/>
              </w:rPr>
            </w:pPr>
          </w:p>
        </w:tc>
        <w:tc>
          <w:tcPr>
            <w:tcW w:w="3700" w:type="dxa"/>
            <w:vAlign w:val="bottom"/>
            <w:tcBorders>
              <w:top w:val="single" w:sz="8" w:color="auto"/>
              <w:bottom w:val="single" w:sz="8" w:color="auto"/>
            </w:tcBorders>
            <w:shd w:val="clear" w:color="auto" w:fill="E5E5E5"/>
          </w:tcPr>
          <w:p>
            <w:pPr>
              <w:ind w:left="200"/>
              <w:spacing w:after="0" w:line="142" w:lineRule="exact"/>
              <w:rPr>
                <w:sz w:val="20"/>
                <w:szCs w:val="20"/>
                <w:color w:val="auto"/>
              </w:rPr>
            </w:pPr>
            <w:r>
              <w:rPr>
                <w:rFonts w:ascii="Arial" w:cs="Arial" w:eastAsia="Arial" w:hAnsi="Arial"/>
                <w:sz w:val="14"/>
                <w:szCs w:val="14"/>
                <w:color w:val="auto"/>
              </w:rPr>
              <w:t>Net cash provided by (used in) operating activities</w:t>
            </w:r>
          </w:p>
        </w:tc>
        <w:tc>
          <w:tcPr>
            <w:tcW w:w="440" w:type="dxa"/>
            <w:vAlign w:val="bottom"/>
            <w:tcBorders>
              <w:top w:val="single" w:sz="8" w:color="auto"/>
              <w:bottom w:val="single" w:sz="8" w:color="auto"/>
            </w:tcBorders>
            <w:shd w:val="clear" w:color="auto" w:fill="E5E5E5"/>
          </w:tcPr>
          <w:p>
            <w:pPr>
              <w:ind w:left="340"/>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(476)</w:t>
            </w:r>
          </w:p>
        </w:tc>
        <w:tc>
          <w:tcPr>
            <w:tcW w:w="300" w:type="dxa"/>
            <w:vAlign w:val="bottom"/>
            <w:tcBorders>
              <w:top w:val="single" w:sz="8" w:color="auto"/>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(60)</w:t>
            </w:r>
          </w:p>
        </w:tc>
        <w:tc>
          <w:tcPr>
            <w:tcW w:w="320" w:type="dxa"/>
            <w:vAlign w:val="bottom"/>
            <w:tcBorders>
              <w:top w:val="single" w:sz="8" w:color="auto"/>
              <w:bottom w:val="single" w:sz="8" w:color="auto"/>
            </w:tcBorders>
            <w:shd w:val="clear" w:color="auto" w:fill="E5E5E5"/>
          </w:tcPr>
          <w:p>
            <w:pPr>
              <w:ind w:left="240"/>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(141)</w:t>
            </w:r>
          </w:p>
        </w:tc>
        <w:tc>
          <w:tcPr>
            <w:tcW w:w="440" w:type="dxa"/>
            <w:vAlign w:val="bottom"/>
            <w:tcBorders>
              <w:top w:val="single" w:sz="8" w:color="auto"/>
              <w:bottom w:val="single" w:sz="8" w:color="auto"/>
            </w:tcBorders>
            <w:shd w:val="clear" w:color="auto" w:fill="E5E5E5"/>
          </w:tcPr>
          <w:p>
            <w:pPr>
              <w:ind w:left="240"/>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(19)</w:t>
            </w:r>
          </w:p>
        </w:tc>
        <w:tc>
          <w:tcPr>
            <w:tcW w:w="380" w:type="dxa"/>
            <w:vAlign w:val="bottom"/>
            <w:tcBorders>
              <w:top w:val="single" w:sz="8" w:color="auto"/>
              <w:bottom w:val="single" w:sz="8" w:color="auto"/>
            </w:tcBorders>
            <w:shd w:val="clear" w:color="auto" w:fill="E5E5E5"/>
          </w:tcPr>
          <w:p>
            <w:pPr>
              <w:ind w:left="240"/>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E5E5E5"/>
          </w:tcPr>
          <w:p>
            <w:pPr>
              <w:jc w:val="right"/>
              <w:ind w:right="232"/>
              <w:spacing w:after="0" w:line="142" w:lineRule="exact"/>
              <w:rPr>
                <w:sz w:val="20"/>
                <w:szCs w:val="20"/>
                <w:color w:val="auto"/>
              </w:rPr>
            </w:pPr>
            <w:r>
              <w:rPr>
                <w:rFonts w:ascii="Arial" w:cs="Arial" w:eastAsia="Arial" w:hAnsi="Arial"/>
                <w:sz w:val="14"/>
                <w:szCs w:val="14"/>
                <w:color w:val="auto"/>
              </w:rPr>
              <w:t>10,902</w:t>
            </w:r>
          </w:p>
        </w:tc>
        <w:tc>
          <w:tcPr>
            <w:tcW w:w="320" w:type="dxa"/>
            <w:vAlign w:val="bottom"/>
            <w:tcBorders>
              <w:top w:val="single" w:sz="8" w:color="auto"/>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shd w:val="clear" w:color="auto" w:fill="E5E5E5"/>
          </w:tcPr>
          <w:p>
            <w:pPr>
              <w:ind w:left="260"/>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10,206</w:t>
            </w:r>
          </w:p>
        </w:tc>
      </w:tr>
      <w:tr>
        <w:trPr>
          <w:trHeight w:val="142"/>
        </w:trPr>
        <w:tc>
          <w:tcPr>
            <w:tcW w:w="20" w:type="dxa"/>
            <w:vAlign w:val="bottom"/>
          </w:tcPr>
          <w:p>
            <w:pPr>
              <w:spacing w:after="0"/>
              <w:rPr>
                <w:sz w:val="12"/>
                <w:szCs w:val="12"/>
                <w:color w:val="auto"/>
              </w:rPr>
            </w:pPr>
          </w:p>
        </w:tc>
        <w:tc>
          <w:tcPr>
            <w:tcW w:w="3700" w:type="dxa"/>
            <w:vAlign w:val="bottom"/>
          </w:tcPr>
          <w:p>
            <w:pPr>
              <w:spacing w:after="0" w:line="142" w:lineRule="exact"/>
              <w:rPr>
                <w:sz w:val="20"/>
                <w:szCs w:val="20"/>
                <w:color w:val="auto"/>
              </w:rPr>
            </w:pPr>
            <w:r>
              <w:rPr>
                <w:rFonts w:ascii="Arial" w:cs="Arial" w:eastAsia="Arial" w:hAnsi="Arial"/>
                <w:sz w:val="14"/>
                <w:szCs w:val="14"/>
                <w:b w:val="1"/>
                <w:bCs w:val="1"/>
                <w:color w:val="auto"/>
              </w:rPr>
              <w:t>Investing Activities</w:t>
            </w: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Net transactions with affiliates</w:t>
            </w:r>
          </w:p>
        </w:tc>
        <w:tc>
          <w:tcPr>
            <w:tcW w:w="44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3,066</w:t>
            </w:r>
          </w:p>
        </w:tc>
        <w:tc>
          <w:tcPr>
            <w:tcW w:w="30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760</w:t>
            </w:r>
          </w:p>
        </w:tc>
        <w:tc>
          <w:tcPr>
            <w:tcW w:w="32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141</w:t>
            </w:r>
          </w:p>
        </w:tc>
        <w:tc>
          <w:tcPr>
            <w:tcW w:w="4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19</w:t>
            </w:r>
          </w:p>
        </w:tc>
        <w:tc>
          <w:tcPr>
            <w:tcW w:w="38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(3,986)</w:t>
            </w:r>
          </w:p>
        </w:tc>
        <w:tc>
          <w:tcPr>
            <w:tcW w:w="32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700" w:type="dxa"/>
            <w:vAlign w:val="bottom"/>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440" w:type="dxa"/>
            <w:vAlign w:val="bottom"/>
          </w:tcPr>
          <w:p>
            <w:pPr>
              <w:spacing w:after="0"/>
              <w:rPr>
                <w:sz w:val="12"/>
                <w:szCs w:val="12"/>
                <w:color w:val="auto"/>
              </w:rPr>
            </w:pPr>
          </w:p>
        </w:tc>
        <w:tc>
          <w:tcPr>
            <w:tcW w:w="6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w:t>
            </w:r>
          </w:p>
        </w:tc>
        <w:tc>
          <w:tcPr>
            <w:tcW w:w="300" w:type="dxa"/>
            <w:vAlign w:val="bottom"/>
          </w:tcPr>
          <w:p>
            <w:pPr>
              <w:spacing w:after="0"/>
              <w:rPr>
                <w:sz w:val="12"/>
                <w:szCs w:val="12"/>
                <w:color w:val="auto"/>
              </w:rPr>
            </w:pPr>
          </w:p>
        </w:tc>
        <w:tc>
          <w:tcPr>
            <w:tcW w:w="6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5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(3,781)</w:t>
            </w:r>
          </w:p>
        </w:tc>
        <w:tc>
          <w:tcPr>
            <w:tcW w:w="320" w:type="dxa"/>
            <w:vAlign w:val="bottom"/>
          </w:tcPr>
          <w:p>
            <w:pPr>
              <w:spacing w:after="0"/>
              <w:rPr>
                <w:sz w:val="12"/>
                <w:szCs w:val="12"/>
                <w:color w:val="auto"/>
              </w:rPr>
            </w:pPr>
          </w:p>
        </w:tc>
        <w:tc>
          <w:tcPr>
            <w:tcW w:w="9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(3,785)</w:t>
            </w:r>
          </w:p>
        </w:tc>
      </w:tr>
      <w:tr>
        <w:trPr>
          <w:trHeight w:val="149"/>
        </w:trPr>
        <w:tc>
          <w:tcPr>
            <w:tcW w:w="20" w:type="dxa"/>
            <w:vAlign w:val="bottom"/>
          </w:tcPr>
          <w:p>
            <w:pPr>
              <w:spacing w:after="0"/>
              <w:rPr>
                <w:sz w:val="12"/>
                <w:szCs w:val="12"/>
                <w:color w:val="auto"/>
              </w:rPr>
            </w:pPr>
          </w:p>
        </w:tc>
        <w:tc>
          <w:tcPr>
            <w:tcW w:w="370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Cash paid for intangible assets</w:t>
            </w:r>
          </w:p>
        </w:tc>
        <w:tc>
          <w:tcPr>
            <w:tcW w:w="44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(2)</w:t>
            </w:r>
          </w:p>
        </w:tc>
        <w:tc>
          <w:tcPr>
            <w:tcW w:w="30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(503)</w:t>
            </w:r>
          </w:p>
        </w:tc>
        <w:tc>
          <w:tcPr>
            <w:tcW w:w="32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7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(505)</w:t>
            </w:r>
          </w:p>
        </w:tc>
      </w:tr>
      <w:tr>
        <w:trPr>
          <w:trHeight w:val="149"/>
        </w:trPr>
        <w:tc>
          <w:tcPr>
            <w:tcW w:w="20" w:type="dxa"/>
            <w:vAlign w:val="bottom"/>
          </w:tcPr>
          <w:p>
            <w:pPr>
              <w:spacing w:after="0"/>
              <w:rPr>
                <w:sz w:val="12"/>
                <w:szCs w:val="12"/>
                <w:color w:val="auto"/>
              </w:rPr>
            </w:pPr>
          </w:p>
        </w:tc>
        <w:tc>
          <w:tcPr>
            <w:tcW w:w="3700" w:type="dxa"/>
            <w:vAlign w:val="bottom"/>
          </w:tcPr>
          <w:p>
            <w:pPr>
              <w:ind w:left="200"/>
              <w:spacing w:after="0" w:line="149" w:lineRule="exact"/>
              <w:rPr>
                <w:sz w:val="20"/>
                <w:szCs w:val="20"/>
                <w:color w:val="auto"/>
              </w:rPr>
            </w:pPr>
            <w:r>
              <w:rPr>
                <w:rFonts w:ascii="Arial" w:cs="Arial" w:eastAsia="Arial" w:hAnsi="Arial"/>
                <w:sz w:val="14"/>
                <w:szCs w:val="14"/>
                <w:color w:val="auto"/>
              </w:rPr>
              <w:t>Acquisitions, net of cash acquired</w:t>
            </w:r>
          </w:p>
        </w:tc>
        <w:tc>
          <w:tcPr>
            <w:tcW w:w="440" w:type="dxa"/>
            <w:vAlign w:val="bottom"/>
          </w:tcPr>
          <w:p>
            <w:pPr>
              <w:spacing w:after="0"/>
              <w:rPr>
                <w:sz w:val="12"/>
                <w:szCs w:val="12"/>
                <w:color w:val="auto"/>
              </w:rPr>
            </w:pPr>
          </w:p>
        </w:tc>
        <w:tc>
          <w:tcPr>
            <w:tcW w:w="6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5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(6,407)</w:t>
            </w:r>
          </w:p>
        </w:tc>
        <w:tc>
          <w:tcPr>
            <w:tcW w:w="320" w:type="dxa"/>
            <w:vAlign w:val="bottom"/>
          </w:tcPr>
          <w:p>
            <w:pPr>
              <w:spacing w:after="0"/>
              <w:rPr>
                <w:sz w:val="12"/>
                <w:szCs w:val="12"/>
                <w:color w:val="auto"/>
              </w:rPr>
            </w:pPr>
          </w:p>
        </w:tc>
        <w:tc>
          <w:tcPr>
            <w:tcW w:w="9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(6,407)</w:t>
            </w:r>
          </w:p>
        </w:tc>
      </w:tr>
      <w:tr>
        <w:trPr>
          <w:trHeight w:val="149"/>
        </w:trPr>
        <w:tc>
          <w:tcPr>
            <w:tcW w:w="20" w:type="dxa"/>
            <w:vAlign w:val="bottom"/>
          </w:tcPr>
          <w:p>
            <w:pPr>
              <w:spacing w:after="0"/>
              <w:rPr>
                <w:sz w:val="12"/>
                <w:szCs w:val="12"/>
                <w:color w:val="auto"/>
              </w:rPr>
            </w:pPr>
          </w:p>
        </w:tc>
        <w:tc>
          <w:tcPr>
            <w:tcW w:w="370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Proceeds from sales of investments</w:t>
            </w:r>
          </w:p>
        </w:tc>
        <w:tc>
          <w:tcPr>
            <w:tcW w:w="44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154</w:t>
            </w:r>
          </w:p>
        </w:tc>
        <w:tc>
          <w:tcPr>
            <w:tcW w:w="32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154</w:t>
            </w:r>
          </w:p>
        </w:tc>
      </w:tr>
      <w:tr>
        <w:trPr>
          <w:trHeight w:val="149"/>
        </w:trPr>
        <w:tc>
          <w:tcPr>
            <w:tcW w:w="20" w:type="dxa"/>
            <w:vAlign w:val="bottom"/>
          </w:tcPr>
          <w:p>
            <w:pPr>
              <w:spacing w:after="0"/>
              <w:rPr>
                <w:sz w:val="12"/>
                <w:szCs w:val="12"/>
                <w:color w:val="auto"/>
              </w:rPr>
            </w:pPr>
          </w:p>
        </w:tc>
        <w:tc>
          <w:tcPr>
            <w:tcW w:w="3700" w:type="dxa"/>
            <w:vAlign w:val="bottom"/>
          </w:tcPr>
          <w:p>
            <w:pPr>
              <w:ind w:left="200"/>
              <w:spacing w:after="0" w:line="149" w:lineRule="exact"/>
              <w:rPr>
                <w:sz w:val="20"/>
                <w:szCs w:val="20"/>
                <w:color w:val="auto"/>
              </w:rPr>
            </w:pPr>
            <w:r>
              <w:rPr>
                <w:rFonts w:ascii="Arial" w:cs="Arial" w:eastAsia="Arial" w:hAnsi="Arial"/>
                <w:sz w:val="14"/>
                <w:szCs w:val="14"/>
                <w:color w:val="auto"/>
              </w:rPr>
              <w:t>Purchase of investments</w:t>
            </w:r>
          </w:p>
        </w:tc>
        <w:tc>
          <w:tcPr>
            <w:tcW w:w="440" w:type="dxa"/>
            <w:vAlign w:val="bottom"/>
          </w:tcPr>
          <w:p>
            <w:pPr>
              <w:spacing w:after="0"/>
              <w:rPr>
                <w:sz w:val="12"/>
                <w:szCs w:val="12"/>
                <w:color w:val="auto"/>
              </w:rPr>
            </w:pPr>
          </w:p>
        </w:tc>
        <w:tc>
          <w:tcPr>
            <w:tcW w:w="6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5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(85)</w:t>
            </w:r>
          </w:p>
        </w:tc>
        <w:tc>
          <w:tcPr>
            <w:tcW w:w="320" w:type="dxa"/>
            <w:vAlign w:val="bottom"/>
          </w:tcPr>
          <w:p>
            <w:pPr>
              <w:spacing w:after="0"/>
              <w:rPr>
                <w:sz w:val="12"/>
                <w:szCs w:val="12"/>
                <w:color w:val="auto"/>
              </w:rPr>
            </w:pPr>
          </w:p>
        </w:tc>
        <w:tc>
          <w:tcPr>
            <w:tcW w:w="9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(85)</w:t>
            </w:r>
          </w:p>
        </w:tc>
      </w:tr>
      <w:tr>
        <w:trPr>
          <w:trHeight w:val="149"/>
        </w:trPr>
        <w:tc>
          <w:tcPr>
            <w:tcW w:w="20" w:type="dxa"/>
            <w:vAlign w:val="bottom"/>
          </w:tcPr>
          <w:p>
            <w:pPr>
              <w:spacing w:after="0"/>
              <w:rPr>
                <w:sz w:val="12"/>
                <w:szCs w:val="12"/>
                <w:color w:val="auto"/>
              </w:rPr>
            </w:pPr>
          </w:p>
        </w:tc>
        <w:tc>
          <w:tcPr>
            <w:tcW w:w="370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Other</w:t>
            </w:r>
          </w:p>
        </w:tc>
        <w:tc>
          <w:tcPr>
            <w:tcW w:w="440" w:type="dxa"/>
            <w:vAlign w:val="bottom"/>
            <w:tcBorders>
              <w:bottom w:val="single" w:sz="8" w:color="auto"/>
            </w:tcBorders>
            <w:shd w:val="clear" w:color="auto" w:fill="E5E5E5"/>
          </w:tcPr>
          <w:p>
            <w:pPr>
              <w:spacing w:after="0"/>
              <w:rPr>
                <w:sz w:val="12"/>
                <w:szCs w:val="12"/>
                <w:color w:val="auto"/>
              </w:rPr>
            </w:pPr>
          </w:p>
        </w:tc>
        <w:tc>
          <w:tcPr>
            <w:tcW w:w="66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E5E5E5"/>
          </w:tcPr>
          <w:p>
            <w:pPr>
              <w:spacing w:after="0"/>
              <w:rPr>
                <w:sz w:val="12"/>
                <w:szCs w:val="12"/>
                <w:color w:val="auto"/>
              </w:rPr>
            </w:pPr>
          </w:p>
        </w:tc>
        <w:tc>
          <w:tcPr>
            <w:tcW w:w="64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E5E5E5"/>
          </w:tcPr>
          <w:p>
            <w:pPr>
              <w:spacing w:after="0"/>
              <w:rPr>
                <w:sz w:val="12"/>
                <w:szCs w:val="12"/>
                <w:color w:val="auto"/>
              </w:rPr>
            </w:pPr>
          </w:p>
        </w:tc>
        <w:tc>
          <w:tcPr>
            <w:tcW w:w="78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E5E5E5"/>
          </w:tcPr>
          <w:p>
            <w:pPr>
              <w:spacing w:after="0"/>
              <w:rPr>
                <w:sz w:val="12"/>
                <w:szCs w:val="12"/>
                <w:color w:val="auto"/>
              </w:rPr>
            </w:pPr>
          </w:p>
        </w:tc>
        <w:tc>
          <w:tcPr>
            <w:tcW w:w="82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(33)</w:t>
            </w:r>
          </w:p>
        </w:tc>
        <w:tc>
          <w:tcPr>
            <w:tcW w:w="320" w:type="dxa"/>
            <w:vAlign w:val="bottom"/>
            <w:tcBorders>
              <w:bottom w:val="single" w:sz="8" w:color="auto"/>
            </w:tcBorders>
            <w:shd w:val="clear" w:color="auto" w:fill="E5E5E5"/>
          </w:tcPr>
          <w:p>
            <w:pPr>
              <w:spacing w:after="0"/>
              <w:rPr>
                <w:sz w:val="12"/>
                <w:szCs w:val="12"/>
                <w:color w:val="auto"/>
              </w:rPr>
            </w:pPr>
          </w:p>
        </w:tc>
        <w:tc>
          <w:tcPr>
            <w:tcW w:w="960" w:type="dxa"/>
            <w:vAlign w:val="bottom"/>
            <w:tcBorders>
              <w:bottom w:val="single" w:sz="8" w:color="auto"/>
            </w:tcBorders>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(33)</w:t>
            </w:r>
          </w:p>
        </w:tc>
      </w:tr>
      <w:tr>
        <w:trPr>
          <w:trHeight w:val="142"/>
        </w:trPr>
        <w:tc>
          <w:tcPr>
            <w:tcW w:w="20" w:type="dxa"/>
            <w:vAlign w:val="bottom"/>
          </w:tcPr>
          <w:p>
            <w:pPr>
              <w:spacing w:after="0"/>
              <w:rPr>
                <w:sz w:val="12"/>
                <w:szCs w:val="12"/>
                <w:color w:val="auto"/>
              </w:rPr>
            </w:pPr>
          </w:p>
        </w:tc>
        <w:tc>
          <w:tcPr>
            <w:tcW w:w="370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color w:val="auto"/>
              </w:rPr>
              <w:t>Net cash provided by (used in) investing activities</w:t>
            </w:r>
          </w:p>
        </w:tc>
        <w:tc>
          <w:tcPr>
            <w:tcW w:w="4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3,060</w:t>
            </w: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760</w:t>
            </w:r>
          </w:p>
        </w:tc>
        <w:tc>
          <w:tcPr>
            <w:tcW w:w="3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141</w:t>
            </w:r>
          </w:p>
        </w:tc>
        <w:tc>
          <w:tcPr>
            <w:tcW w:w="4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19</w:t>
            </w: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(14,641)</w:t>
            </w:r>
          </w:p>
        </w:tc>
        <w:tc>
          <w:tcPr>
            <w:tcW w:w="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(10,661)</w:t>
            </w:r>
          </w:p>
        </w:tc>
      </w:tr>
      <w:tr>
        <w:trPr>
          <w:trHeight w:val="142"/>
        </w:trPr>
        <w:tc>
          <w:tcPr>
            <w:tcW w:w="20" w:type="dxa"/>
            <w:vAlign w:val="bottom"/>
          </w:tcPr>
          <w:p>
            <w:pPr>
              <w:spacing w:after="0"/>
              <w:rPr>
                <w:sz w:val="12"/>
                <w:szCs w:val="12"/>
                <w:color w:val="auto"/>
              </w:rPr>
            </w:pPr>
          </w:p>
        </w:tc>
        <w:tc>
          <w:tcPr>
            <w:tcW w:w="3700" w:type="dxa"/>
            <w:vAlign w:val="bottom"/>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Financing Activities</w:t>
            </w:r>
          </w:p>
        </w:tc>
        <w:tc>
          <w:tcPr>
            <w:tcW w:w="440" w:type="dxa"/>
            <w:vAlign w:val="bottom"/>
            <w:shd w:val="clear" w:color="auto" w:fill="E5E5E5"/>
          </w:tcPr>
          <w:p>
            <w:pPr>
              <w:spacing w:after="0"/>
              <w:rPr>
                <w:sz w:val="12"/>
                <w:szCs w:val="12"/>
                <w:color w:val="auto"/>
              </w:rPr>
            </w:pPr>
          </w:p>
        </w:tc>
        <w:tc>
          <w:tcPr>
            <w:tcW w:w="66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640" w:type="dxa"/>
            <w:vAlign w:val="bottom"/>
            <w:shd w:val="clear" w:color="auto" w:fill="E5E5E5"/>
          </w:tcPr>
          <w:p>
            <w:pPr>
              <w:spacing w:after="0"/>
              <w:rPr>
                <w:sz w:val="12"/>
                <w:szCs w:val="12"/>
                <w:color w:val="auto"/>
              </w:rPr>
            </w:pPr>
          </w:p>
        </w:tc>
        <w:tc>
          <w:tcPr>
            <w:tcW w:w="32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380" w:type="dxa"/>
            <w:vAlign w:val="bottom"/>
            <w:shd w:val="clear" w:color="auto" w:fill="E5E5E5"/>
          </w:tcPr>
          <w:p>
            <w:pPr>
              <w:spacing w:after="0"/>
              <w:rPr>
                <w:sz w:val="12"/>
                <w:szCs w:val="12"/>
                <w:color w:val="auto"/>
              </w:rPr>
            </w:pPr>
          </w:p>
        </w:tc>
        <w:tc>
          <w:tcPr>
            <w:tcW w:w="820" w:type="dxa"/>
            <w:vAlign w:val="bottom"/>
            <w:shd w:val="clear" w:color="auto" w:fill="E5E5E5"/>
          </w:tcPr>
          <w:p>
            <w:pPr>
              <w:spacing w:after="0"/>
              <w:rPr>
                <w:sz w:val="12"/>
                <w:szCs w:val="12"/>
                <w:color w:val="auto"/>
              </w:rPr>
            </w:pPr>
          </w:p>
        </w:tc>
        <w:tc>
          <w:tcPr>
            <w:tcW w:w="320" w:type="dxa"/>
            <w:vAlign w:val="bottom"/>
            <w:shd w:val="clear" w:color="auto" w:fill="E5E5E5"/>
          </w:tcPr>
          <w:p>
            <w:pPr>
              <w:spacing w:after="0"/>
              <w:rPr>
                <w:sz w:val="12"/>
                <w:szCs w:val="12"/>
                <w:color w:val="auto"/>
              </w:rPr>
            </w:pPr>
          </w:p>
        </w:tc>
        <w:tc>
          <w:tcPr>
            <w:tcW w:w="960" w:type="dxa"/>
            <w:vAlign w:val="bottom"/>
            <w:shd w:val="clear" w:color="auto" w:fill="E5E5E5"/>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700" w:type="dxa"/>
            <w:vAlign w:val="bottom"/>
          </w:tcPr>
          <w:p>
            <w:pPr>
              <w:ind w:left="200"/>
              <w:spacing w:after="0" w:line="149" w:lineRule="exact"/>
              <w:rPr>
                <w:sz w:val="20"/>
                <w:szCs w:val="20"/>
                <w:color w:val="auto"/>
              </w:rPr>
            </w:pPr>
            <w:r>
              <w:rPr>
                <w:rFonts w:ascii="Arial" w:cs="Arial" w:eastAsia="Arial" w:hAnsi="Arial"/>
                <w:sz w:val="14"/>
                <w:szCs w:val="14"/>
                <w:color w:val="auto"/>
                <w:w w:val="96"/>
              </w:rPr>
              <w:t>Proceeds from (repayments of) short-term borrowings, net</w:t>
            </w:r>
          </w:p>
        </w:tc>
        <w:tc>
          <w:tcPr>
            <w:tcW w:w="440" w:type="dxa"/>
            <w:vAlign w:val="bottom"/>
          </w:tcPr>
          <w:p>
            <w:pPr>
              <w:spacing w:after="0"/>
              <w:rPr>
                <w:sz w:val="12"/>
                <w:szCs w:val="12"/>
                <w:color w:val="auto"/>
              </w:rPr>
            </w:pPr>
          </w:p>
        </w:tc>
        <w:tc>
          <w:tcPr>
            <w:tcW w:w="6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397</w:t>
            </w:r>
          </w:p>
        </w:tc>
        <w:tc>
          <w:tcPr>
            <w:tcW w:w="300" w:type="dxa"/>
            <w:vAlign w:val="bottom"/>
          </w:tcPr>
          <w:p>
            <w:pPr>
              <w:spacing w:after="0"/>
              <w:rPr>
                <w:sz w:val="12"/>
                <w:szCs w:val="12"/>
                <w:color w:val="auto"/>
              </w:rPr>
            </w:pPr>
          </w:p>
        </w:tc>
        <w:tc>
          <w:tcPr>
            <w:tcW w:w="6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300</w:t>
            </w:r>
          </w:p>
        </w:tc>
        <w:tc>
          <w:tcPr>
            <w:tcW w:w="320" w:type="dxa"/>
            <w:vAlign w:val="bottom"/>
          </w:tcPr>
          <w:p>
            <w:pPr>
              <w:spacing w:after="0"/>
              <w:rPr>
                <w:sz w:val="12"/>
                <w:szCs w:val="12"/>
                <w:color w:val="auto"/>
              </w:rPr>
            </w:pPr>
          </w:p>
        </w:tc>
        <w:tc>
          <w:tcPr>
            <w:tcW w:w="7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5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945</w:t>
            </w:r>
          </w:p>
        </w:tc>
        <w:tc>
          <w:tcPr>
            <w:tcW w:w="320" w:type="dxa"/>
            <w:vAlign w:val="bottom"/>
          </w:tcPr>
          <w:p>
            <w:pPr>
              <w:spacing w:after="0"/>
              <w:rPr>
                <w:sz w:val="12"/>
                <w:szCs w:val="12"/>
                <w:color w:val="auto"/>
              </w:rPr>
            </w:pPr>
          </w:p>
        </w:tc>
        <w:tc>
          <w:tcPr>
            <w:tcW w:w="9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1,642</w:t>
            </w:r>
          </w:p>
        </w:tc>
      </w:tr>
      <w:tr>
        <w:trPr>
          <w:trHeight w:val="149"/>
        </w:trPr>
        <w:tc>
          <w:tcPr>
            <w:tcW w:w="20" w:type="dxa"/>
            <w:vAlign w:val="bottom"/>
          </w:tcPr>
          <w:p>
            <w:pPr>
              <w:spacing w:after="0"/>
              <w:rPr>
                <w:sz w:val="12"/>
                <w:szCs w:val="12"/>
                <w:color w:val="auto"/>
              </w:rPr>
            </w:pPr>
          </w:p>
        </w:tc>
        <w:tc>
          <w:tcPr>
            <w:tcW w:w="370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Repurchases and repayments of debt</w:t>
            </w:r>
          </w:p>
        </w:tc>
        <w:tc>
          <w:tcPr>
            <w:tcW w:w="44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(750)</w:t>
            </w:r>
          </w:p>
        </w:tc>
        <w:tc>
          <w:tcPr>
            <w:tcW w:w="30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w w:val="85"/>
              </w:rPr>
              <w:t>(1,000)</w:t>
            </w:r>
          </w:p>
        </w:tc>
        <w:tc>
          <w:tcPr>
            <w:tcW w:w="32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(1,063)</w:t>
            </w:r>
          </w:p>
        </w:tc>
        <w:tc>
          <w:tcPr>
            <w:tcW w:w="32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7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(2,813)</w:t>
            </w:r>
          </w:p>
        </w:tc>
      </w:tr>
      <w:tr>
        <w:trPr>
          <w:trHeight w:val="149"/>
        </w:trPr>
        <w:tc>
          <w:tcPr>
            <w:tcW w:w="20" w:type="dxa"/>
            <w:vAlign w:val="bottom"/>
          </w:tcPr>
          <w:p>
            <w:pPr>
              <w:spacing w:after="0"/>
              <w:rPr>
                <w:sz w:val="12"/>
                <w:szCs w:val="12"/>
                <w:color w:val="auto"/>
              </w:rPr>
            </w:pPr>
          </w:p>
        </w:tc>
        <w:tc>
          <w:tcPr>
            <w:tcW w:w="3700" w:type="dxa"/>
            <w:vAlign w:val="bottom"/>
          </w:tcPr>
          <w:p>
            <w:pPr>
              <w:ind w:left="200"/>
              <w:spacing w:after="0" w:line="149" w:lineRule="exact"/>
              <w:rPr>
                <w:sz w:val="20"/>
                <w:szCs w:val="20"/>
                <w:color w:val="auto"/>
              </w:rPr>
            </w:pPr>
            <w:r>
              <w:rPr>
                <w:rFonts w:ascii="Arial" w:cs="Arial" w:eastAsia="Arial" w:hAnsi="Arial"/>
                <w:sz w:val="14"/>
                <w:szCs w:val="14"/>
                <w:color w:val="auto"/>
              </w:rPr>
              <w:t>Repurchases and retirements of common stock</w:t>
            </w:r>
          </w:p>
        </w:tc>
        <w:tc>
          <w:tcPr>
            <w:tcW w:w="440" w:type="dxa"/>
            <w:vAlign w:val="bottom"/>
          </w:tcPr>
          <w:p>
            <w:pPr>
              <w:spacing w:after="0"/>
              <w:rPr>
                <w:sz w:val="12"/>
                <w:szCs w:val="12"/>
                <w:color w:val="auto"/>
              </w:rPr>
            </w:pPr>
          </w:p>
        </w:tc>
        <w:tc>
          <w:tcPr>
            <w:tcW w:w="660" w:type="dxa"/>
            <w:vAlign w:val="bottom"/>
          </w:tcPr>
          <w:p>
            <w:pPr>
              <w:jc w:val="right"/>
              <w:ind w:right="172"/>
              <w:spacing w:after="0" w:line="149" w:lineRule="exact"/>
              <w:rPr>
                <w:sz w:val="20"/>
                <w:szCs w:val="20"/>
                <w:color w:val="auto"/>
              </w:rPr>
            </w:pPr>
            <w:r>
              <w:rPr>
                <w:rFonts w:ascii="Arial" w:cs="Arial" w:eastAsia="Arial" w:hAnsi="Arial"/>
                <w:sz w:val="14"/>
                <w:szCs w:val="14"/>
                <w:color w:val="auto"/>
                <w:w w:val="90"/>
              </w:rPr>
              <w:t>(1,650)</w:t>
            </w:r>
          </w:p>
        </w:tc>
        <w:tc>
          <w:tcPr>
            <w:tcW w:w="300" w:type="dxa"/>
            <w:vAlign w:val="bottom"/>
          </w:tcPr>
          <w:p>
            <w:pPr>
              <w:spacing w:after="0"/>
              <w:rPr>
                <w:sz w:val="12"/>
                <w:szCs w:val="12"/>
                <w:color w:val="auto"/>
              </w:rPr>
            </w:pPr>
          </w:p>
        </w:tc>
        <w:tc>
          <w:tcPr>
            <w:tcW w:w="6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5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9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(1,650)</w:t>
            </w:r>
          </w:p>
        </w:tc>
      </w:tr>
      <w:tr>
        <w:trPr>
          <w:trHeight w:val="149"/>
        </w:trPr>
        <w:tc>
          <w:tcPr>
            <w:tcW w:w="20" w:type="dxa"/>
            <w:vAlign w:val="bottom"/>
          </w:tcPr>
          <w:p>
            <w:pPr>
              <w:spacing w:after="0"/>
              <w:rPr>
                <w:sz w:val="12"/>
                <w:szCs w:val="12"/>
                <w:color w:val="auto"/>
              </w:rPr>
            </w:pPr>
          </w:p>
        </w:tc>
        <w:tc>
          <w:tcPr>
            <w:tcW w:w="370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Dividends paid</w:t>
            </w:r>
          </w:p>
        </w:tc>
        <w:tc>
          <w:tcPr>
            <w:tcW w:w="44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(881)</w:t>
            </w:r>
          </w:p>
        </w:tc>
        <w:tc>
          <w:tcPr>
            <w:tcW w:w="30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7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(881)</w:t>
            </w:r>
          </w:p>
        </w:tc>
      </w:tr>
      <w:tr>
        <w:trPr>
          <w:trHeight w:val="149"/>
        </w:trPr>
        <w:tc>
          <w:tcPr>
            <w:tcW w:w="20" w:type="dxa"/>
            <w:vAlign w:val="bottom"/>
          </w:tcPr>
          <w:p>
            <w:pPr>
              <w:spacing w:after="0"/>
              <w:rPr>
                <w:sz w:val="12"/>
                <w:szCs w:val="12"/>
                <w:color w:val="auto"/>
              </w:rPr>
            </w:pPr>
          </w:p>
        </w:tc>
        <w:tc>
          <w:tcPr>
            <w:tcW w:w="3700" w:type="dxa"/>
            <w:vAlign w:val="bottom"/>
          </w:tcPr>
          <w:p>
            <w:pPr>
              <w:ind w:left="200"/>
              <w:spacing w:after="0" w:line="149" w:lineRule="exact"/>
              <w:rPr>
                <w:sz w:val="20"/>
                <w:szCs w:val="20"/>
                <w:color w:val="auto"/>
              </w:rPr>
            </w:pPr>
            <w:r>
              <w:rPr>
                <w:rFonts w:ascii="Arial" w:cs="Arial" w:eastAsia="Arial" w:hAnsi="Arial"/>
                <w:sz w:val="14"/>
                <w:szCs w:val="14"/>
                <w:color w:val="auto"/>
              </w:rPr>
              <w:t>Distributions (to) from noncontrolling interests</w:t>
            </w:r>
          </w:p>
        </w:tc>
        <w:tc>
          <w:tcPr>
            <w:tcW w:w="440" w:type="dxa"/>
            <w:vAlign w:val="bottom"/>
          </w:tcPr>
          <w:p>
            <w:pPr>
              <w:spacing w:after="0"/>
              <w:rPr>
                <w:sz w:val="12"/>
                <w:szCs w:val="12"/>
                <w:color w:val="auto"/>
              </w:rPr>
            </w:pPr>
          </w:p>
        </w:tc>
        <w:tc>
          <w:tcPr>
            <w:tcW w:w="6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5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(237)</w:t>
            </w:r>
          </w:p>
        </w:tc>
        <w:tc>
          <w:tcPr>
            <w:tcW w:w="320" w:type="dxa"/>
            <w:vAlign w:val="bottom"/>
          </w:tcPr>
          <w:p>
            <w:pPr>
              <w:spacing w:after="0"/>
              <w:rPr>
                <w:sz w:val="12"/>
                <w:szCs w:val="12"/>
                <w:color w:val="auto"/>
              </w:rPr>
            </w:pPr>
          </w:p>
        </w:tc>
        <w:tc>
          <w:tcPr>
            <w:tcW w:w="9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(237)</w:t>
            </w:r>
          </w:p>
        </w:tc>
      </w:tr>
      <w:tr>
        <w:trPr>
          <w:trHeight w:val="149"/>
        </w:trPr>
        <w:tc>
          <w:tcPr>
            <w:tcW w:w="20" w:type="dxa"/>
            <w:vAlign w:val="bottom"/>
          </w:tcPr>
          <w:p>
            <w:pPr>
              <w:spacing w:after="0"/>
              <w:rPr>
                <w:sz w:val="12"/>
                <w:szCs w:val="12"/>
                <w:color w:val="auto"/>
              </w:rPr>
            </w:pPr>
          </w:p>
        </w:tc>
        <w:tc>
          <w:tcPr>
            <w:tcW w:w="370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Other</w:t>
            </w:r>
          </w:p>
        </w:tc>
        <w:tc>
          <w:tcPr>
            <w:tcW w:w="440" w:type="dxa"/>
            <w:vAlign w:val="bottom"/>
            <w:tcBorders>
              <w:bottom w:val="single" w:sz="8" w:color="auto"/>
            </w:tcBorders>
            <w:shd w:val="clear" w:color="auto" w:fill="E5E5E5"/>
          </w:tcPr>
          <w:p>
            <w:pPr>
              <w:spacing w:after="0"/>
              <w:rPr>
                <w:sz w:val="12"/>
                <w:szCs w:val="12"/>
                <w:color w:val="auto"/>
              </w:rPr>
            </w:pPr>
          </w:p>
        </w:tc>
        <w:tc>
          <w:tcPr>
            <w:tcW w:w="66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300</w:t>
            </w:r>
          </w:p>
        </w:tc>
        <w:tc>
          <w:tcPr>
            <w:tcW w:w="300" w:type="dxa"/>
            <w:vAlign w:val="bottom"/>
            <w:tcBorders>
              <w:bottom w:val="single" w:sz="8" w:color="auto"/>
            </w:tcBorders>
            <w:shd w:val="clear" w:color="auto" w:fill="E5E5E5"/>
          </w:tcPr>
          <w:p>
            <w:pPr>
              <w:spacing w:after="0"/>
              <w:rPr>
                <w:sz w:val="12"/>
                <w:szCs w:val="12"/>
                <w:color w:val="auto"/>
              </w:rPr>
            </w:pPr>
          </w:p>
        </w:tc>
        <w:tc>
          <w:tcPr>
            <w:tcW w:w="64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E5E5E5"/>
          </w:tcPr>
          <w:p>
            <w:pPr>
              <w:spacing w:after="0"/>
              <w:rPr>
                <w:sz w:val="12"/>
                <w:szCs w:val="12"/>
                <w:color w:val="auto"/>
              </w:rPr>
            </w:pPr>
          </w:p>
        </w:tc>
        <w:tc>
          <w:tcPr>
            <w:tcW w:w="78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E5E5E5"/>
          </w:tcPr>
          <w:p>
            <w:pPr>
              <w:spacing w:after="0"/>
              <w:rPr>
                <w:sz w:val="12"/>
                <w:szCs w:val="12"/>
                <w:color w:val="auto"/>
              </w:rPr>
            </w:pPr>
          </w:p>
        </w:tc>
        <w:tc>
          <w:tcPr>
            <w:tcW w:w="82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(84)</w:t>
            </w:r>
          </w:p>
        </w:tc>
        <w:tc>
          <w:tcPr>
            <w:tcW w:w="320" w:type="dxa"/>
            <w:vAlign w:val="bottom"/>
            <w:tcBorders>
              <w:bottom w:val="single" w:sz="8" w:color="auto"/>
            </w:tcBorders>
            <w:shd w:val="clear" w:color="auto" w:fill="E5E5E5"/>
          </w:tcPr>
          <w:p>
            <w:pPr>
              <w:spacing w:after="0"/>
              <w:rPr>
                <w:sz w:val="12"/>
                <w:szCs w:val="12"/>
                <w:color w:val="auto"/>
              </w:rPr>
            </w:pPr>
          </w:p>
        </w:tc>
        <w:tc>
          <w:tcPr>
            <w:tcW w:w="960" w:type="dxa"/>
            <w:vAlign w:val="bottom"/>
            <w:tcBorders>
              <w:bottom w:val="single" w:sz="8" w:color="auto"/>
            </w:tcBorders>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216</w:t>
            </w:r>
          </w:p>
        </w:tc>
      </w:tr>
      <w:tr>
        <w:trPr>
          <w:trHeight w:val="142"/>
        </w:trPr>
        <w:tc>
          <w:tcPr>
            <w:tcW w:w="20" w:type="dxa"/>
            <w:vAlign w:val="bottom"/>
          </w:tcPr>
          <w:p>
            <w:pPr>
              <w:spacing w:after="0"/>
              <w:rPr>
                <w:sz w:val="12"/>
                <w:szCs w:val="12"/>
                <w:color w:val="auto"/>
              </w:rPr>
            </w:pPr>
          </w:p>
        </w:tc>
        <w:tc>
          <w:tcPr>
            <w:tcW w:w="370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4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w w:val="90"/>
              </w:rPr>
              <w:t>(2,584)</w:t>
            </w: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(700)</w:t>
            </w:r>
          </w:p>
        </w:tc>
        <w:tc>
          <w:tcPr>
            <w:tcW w:w="3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(439)</w:t>
            </w:r>
          </w:p>
        </w:tc>
        <w:tc>
          <w:tcPr>
            <w:tcW w:w="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(3,723)</w:t>
            </w:r>
          </w:p>
        </w:tc>
      </w:tr>
      <w:tr>
        <w:trPr>
          <w:trHeight w:val="142"/>
        </w:trPr>
        <w:tc>
          <w:tcPr>
            <w:tcW w:w="20" w:type="dxa"/>
            <w:vAlign w:val="bottom"/>
          </w:tcPr>
          <w:p>
            <w:pPr>
              <w:spacing w:after="0"/>
              <w:rPr>
                <w:sz w:val="12"/>
                <w:szCs w:val="12"/>
                <w:color w:val="auto"/>
              </w:rPr>
            </w:pPr>
          </w:p>
        </w:tc>
        <w:tc>
          <w:tcPr>
            <w:tcW w:w="3700" w:type="dxa"/>
            <w:vAlign w:val="bottom"/>
            <w:shd w:val="clear" w:color="auto" w:fill="E5E5E5"/>
          </w:tcPr>
          <w:p>
            <w:pPr>
              <w:ind w:left="200"/>
              <w:spacing w:after="0" w:line="142" w:lineRule="exact"/>
              <w:rPr>
                <w:sz w:val="20"/>
                <w:szCs w:val="20"/>
                <w:color w:val="auto"/>
              </w:rPr>
            </w:pPr>
            <w:r>
              <w:rPr>
                <w:rFonts w:ascii="Arial" w:cs="Arial" w:eastAsia="Arial" w:hAnsi="Arial"/>
                <w:sz w:val="14"/>
                <w:szCs w:val="14"/>
                <w:color w:val="auto"/>
              </w:rPr>
              <w:t>Increase (decrease) in cash and cash equivalents</w:t>
            </w:r>
          </w:p>
        </w:tc>
        <w:tc>
          <w:tcPr>
            <w:tcW w:w="44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212"/>
              <w:spacing w:after="0" w:line="142" w:lineRule="exact"/>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212"/>
              <w:spacing w:after="0" w:line="142"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212"/>
              <w:spacing w:after="0" w:line="142" w:lineRule="exact"/>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212"/>
              <w:spacing w:after="0" w:line="142" w:lineRule="exact"/>
              <w:rPr>
                <w:sz w:val="20"/>
                <w:szCs w:val="20"/>
                <w:color w:val="auto"/>
              </w:rPr>
            </w:pPr>
            <w:r>
              <w:rPr>
                <w:rFonts w:ascii="Arial" w:cs="Arial" w:eastAsia="Arial" w:hAnsi="Arial"/>
                <w:sz w:val="14"/>
                <w:szCs w:val="14"/>
                <w:color w:val="auto"/>
              </w:rPr>
              <w:t>—</w:t>
            </w:r>
          </w:p>
        </w:tc>
        <w:tc>
          <w:tcPr>
            <w:tcW w:w="38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(4,178)</w:t>
            </w:r>
          </w:p>
        </w:tc>
        <w:tc>
          <w:tcPr>
            <w:tcW w:w="32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700" w:type="dxa"/>
            <w:vAlign w:val="bottom"/>
            <w:shd w:val="clear" w:color="auto" w:fill="E5E5E5"/>
          </w:tcPr>
          <w:p>
            <w:pPr>
              <w:jc w:val="right"/>
              <w:spacing w:after="0" w:line="142" w:lineRule="exact"/>
              <w:rPr>
                <w:sz w:val="20"/>
                <w:szCs w:val="20"/>
                <w:color w:val="auto"/>
              </w:rPr>
            </w:pPr>
            <w:r>
              <w:rPr>
                <w:rFonts w:ascii="Arial" w:cs="Arial" w:eastAsia="Arial" w:hAnsi="Arial"/>
                <w:sz w:val="14"/>
                <w:szCs w:val="14"/>
                <w:color w:val="auto"/>
              </w:rPr>
              <w:t>(4,178)</w:t>
            </w:r>
          </w:p>
        </w:tc>
      </w:tr>
      <w:tr>
        <w:trPr>
          <w:trHeight w:val="149"/>
        </w:trPr>
        <w:tc>
          <w:tcPr>
            <w:tcW w:w="20" w:type="dxa"/>
            <w:vAlign w:val="bottom"/>
          </w:tcPr>
          <w:p>
            <w:pPr>
              <w:spacing w:after="0"/>
              <w:rPr>
                <w:sz w:val="12"/>
                <w:szCs w:val="12"/>
                <w:color w:val="auto"/>
              </w:rPr>
            </w:pPr>
          </w:p>
        </w:tc>
        <w:tc>
          <w:tcPr>
            <w:tcW w:w="370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4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9" w:lineRule="exact"/>
              <w:rPr>
                <w:sz w:val="20"/>
                <w:szCs w:val="20"/>
                <w:color w:val="auto"/>
              </w:rPr>
            </w:pPr>
            <w:r>
              <w:rPr>
                <w:rFonts w:ascii="Arial" w:cs="Arial" w:eastAsia="Arial" w:hAnsi="Arial"/>
                <w:sz w:val="14"/>
                <w:szCs w:val="14"/>
                <w:color w:val="auto"/>
              </w:rPr>
              <w:t>5,984</w:t>
            </w:r>
          </w:p>
        </w:tc>
        <w:tc>
          <w:tcPr>
            <w:tcW w:w="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5,984</w:t>
            </w:r>
          </w:p>
        </w:tc>
      </w:tr>
      <w:tr>
        <w:trPr>
          <w:trHeight w:val="149"/>
        </w:trPr>
        <w:tc>
          <w:tcPr>
            <w:tcW w:w="20" w:type="dxa"/>
            <w:vAlign w:val="bottom"/>
          </w:tcPr>
          <w:p>
            <w:pPr>
              <w:spacing w:after="0"/>
              <w:rPr>
                <w:sz w:val="12"/>
                <w:szCs w:val="12"/>
                <w:color w:val="auto"/>
              </w:rPr>
            </w:pPr>
          </w:p>
        </w:tc>
        <w:tc>
          <w:tcPr>
            <w:tcW w:w="3700" w:type="dxa"/>
            <w:vAlign w:val="bottom"/>
            <w:tcBorders>
              <w:bottom w:val="single" w:sz="8" w:color="auto"/>
            </w:tcBorders>
            <w:shd w:val="clear" w:color="auto" w:fill="E5E5E5"/>
          </w:tcPr>
          <w:p>
            <w:pPr>
              <w:ind w:left="200"/>
              <w:spacing w:after="0" w:line="142" w:lineRule="exact"/>
              <w:rPr>
                <w:sz w:val="20"/>
                <w:szCs w:val="20"/>
                <w:color w:val="auto"/>
              </w:rPr>
            </w:pPr>
            <w:r>
              <w:rPr>
                <w:rFonts w:ascii="Arial" w:cs="Arial" w:eastAsia="Arial" w:hAnsi="Arial"/>
                <w:sz w:val="14"/>
                <w:szCs w:val="14"/>
                <w:b w:val="1"/>
                <w:bCs w:val="1"/>
                <w:color w:val="auto"/>
              </w:rPr>
              <w:t>Cash and cash equivalents, end of period</w:t>
            </w:r>
          </w:p>
        </w:tc>
        <w:tc>
          <w:tcPr>
            <w:tcW w:w="440" w:type="dxa"/>
            <w:vAlign w:val="bottom"/>
            <w:tcBorders>
              <w:bottom w:val="single" w:sz="8" w:color="auto"/>
            </w:tcBorders>
            <w:shd w:val="clear" w:color="auto" w:fill="E5E5E5"/>
          </w:tcPr>
          <w:p>
            <w:pPr>
              <w:ind w:left="340"/>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shd w:val="clear" w:color="auto" w:fill="E5E5E5"/>
          </w:tcPr>
          <w:p>
            <w:pPr>
              <w:jc w:val="right"/>
              <w:ind w:right="212"/>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E5E5E5"/>
          </w:tcPr>
          <w:p>
            <w:pPr>
              <w:jc w:val="right"/>
              <w:ind w:right="212"/>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shd w:val="clear" w:color="auto" w:fill="E5E5E5"/>
          </w:tcPr>
          <w:p>
            <w:pPr>
              <w:ind w:left="240"/>
              <w:spacing w:after="0" w:line="142"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auto"/>
            </w:tcBorders>
            <w:shd w:val="clear" w:color="auto" w:fill="E5E5E5"/>
          </w:tcPr>
          <w:p>
            <w:pPr>
              <w:jc w:val="right"/>
              <w:ind w:right="212"/>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shd w:val="clear" w:color="auto" w:fill="E5E5E5"/>
          </w:tcPr>
          <w:p>
            <w:pPr>
              <w:ind w:left="240"/>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E5E5E5"/>
          </w:tcPr>
          <w:p>
            <w:pPr>
              <w:jc w:val="right"/>
              <w:ind w:right="212"/>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shd w:val="clear" w:color="auto" w:fill="E5E5E5"/>
          </w:tcPr>
          <w:p>
            <w:pPr>
              <w:ind w:left="240"/>
              <w:spacing w:after="0" w:line="142" w:lineRule="exact"/>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E5E5E5"/>
          </w:tcPr>
          <w:p>
            <w:pPr>
              <w:jc w:val="right"/>
              <w:ind w:right="232"/>
              <w:spacing w:after="0" w:line="142" w:lineRule="exact"/>
              <w:rPr>
                <w:sz w:val="20"/>
                <w:szCs w:val="20"/>
                <w:color w:val="auto"/>
              </w:rPr>
            </w:pPr>
            <w:r>
              <w:rPr>
                <w:rFonts w:ascii="Arial" w:cs="Arial" w:eastAsia="Arial" w:hAnsi="Arial"/>
                <w:sz w:val="14"/>
                <w:szCs w:val="14"/>
                <w:b w:val="1"/>
                <w:bCs w:val="1"/>
                <w:color w:val="auto"/>
              </w:rPr>
              <w:t>1,806</w:t>
            </w:r>
          </w:p>
        </w:tc>
        <w:tc>
          <w:tcPr>
            <w:tcW w:w="32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E5E5E5"/>
          </w:tcPr>
          <w:p>
            <w:pPr>
              <w:jc w:val="right"/>
              <w:ind w:right="192"/>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shd w:val="clear" w:color="auto" w:fill="E5E5E5"/>
          </w:tcPr>
          <w:p>
            <w:pPr>
              <w:ind w:left="260"/>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b w:val="1"/>
                <w:bCs w:val="1"/>
                <w:color w:val="auto"/>
              </w:rPr>
              <w:t>1,806</w:t>
            </w: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2010</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center"/>
              <w:ind w:right="232"/>
              <w:spacing w:after="0"/>
              <w:rPr>
                <w:sz w:val="20"/>
                <w:szCs w:val="20"/>
                <w:color w:val="auto"/>
              </w:rPr>
            </w:pPr>
            <w:r>
              <w:rPr>
                <w:rFonts w:ascii="Arial" w:cs="Arial" w:eastAsia="Arial" w:hAnsi="Arial"/>
                <w:sz w:val="14"/>
                <w:szCs w:val="14"/>
                <w:color w:val="auto"/>
                <w:w w:val="93"/>
              </w:rPr>
              <w:t>Elimination</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Combined</w:t>
            </w: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Non-</w:t>
            </w:r>
          </w:p>
        </w:tc>
        <w:tc>
          <w:tcPr>
            <w:tcW w:w="280" w:type="dxa"/>
            <w:vAlign w:val="bottom"/>
          </w:tcPr>
          <w:p>
            <w:pPr>
              <w:spacing w:after="0"/>
              <w:rPr>
                <w:sz w:val="12"/>
                <w:szCs w:val="12"/>
                <w:color w:val="auto"/>
              </w:rPr>
            </w:pPr>
          </w:p>
        </w:tc>
        <w:tc>
          <w:tcPr>
            <w:tcW w:w="940" w:type="dxa"/>
            <w:vAlign w:val="bottom"/>
          </w:tcPr>
          <w:p>
            <w:pPr>
              <w:jc w:val="center"/>
              <w:ind w:right="232"/>
              <w:spacing w:after="0" w:line="149" w:lineRule="exact"/>
              <w:rPr>
                <w:sz w:val="20"/>
                <w:szCs w:val="20"/>
                <w:color w:val="auto"/>
              </w:rPr>
            </w:pPr>
            <w:r>
              <w:rPr>
                <w:rFonts w:ascii="Arial" w:cs="Arial" w:eastAsia="Arial" w:hAnsi="Arial"/>
                <w:sz w:val="14"/>
                <w:szCs w:val="14"/>
                <w:color w:val="auto"/>
                <w:w w:val="85"/>
              </w:rPr>
              <w:t>and</w:t>
            </w:r>
          </w:p>
        </w:tc>
        <w:tc>
          <w:tcPr>
            <w:tcW w:w="102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95"/>
              </w:rPr>
              <w:t>Consolidated</w:t>
            </w: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620" w:type="dxa"/>
            <w:vAlign w:val="bottom"/>
            <w:gridSpan w:val="2"/>
          </w:tcPr>
          <w:p>
            <w:pPr>
              <w:ind w:left="900"/>
              <w:spacing w:after="0" w:line="149" w:lineRule="exact"/>
              <w:rPr>
                <w:sz w:val="20"/>
                <w:szCs w:val="20"/>
                <w:color w:val="auto"/>
              </w:rPr>
            </w:pPr>
            <w:r>
              <w:rPr>
                <w:rFonts w:ascii="Arial" w:cs="Arial" w:eastAsia="Arial" w:hAnsi="Arial"/>
                <w:sz w:val="14"/>
                <w:szCs w:val="14"/>
                <w:color w:val="auto"/>
              </w:rPr>
              <w:t>Comcast</w:t>
            </w:r>
          </w:p>
        </w:tc>
        <w:tc>
          <w:tcPr>
            <w:tcW w:w="8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CCCL</w:t>
            </w:r>
          </w:p>
        </w:tc>
        <w:tc>
          <w:tcPr>
            <w:tcW w:w="102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CCHMO</w:t>
            </w:r>
          </w:p>
        </w:tc>
        <w:tc>
          <w:tcPr>
            <w:tcW w:w="9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Comcast</w:t>
            </w:r>
          </w:p>
        </w:tc>
        <w:tc>
          <w:tcPr>
            <w:tcW w:w="112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Guarantor</w:t>
            </w:r>
          </w:p>
        </w:tc>
        <w:tc>
          <w:tcPr>
            <w:tcW w:w="122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Consolidation</w:t>
            </w:r>
          </w:p>
        </w:tc>
        <w:tc>
          <w:tcPr>
            <w:tcW w:w="320" w:type="dxa"/>
            <w:vAlign w:val="bottom"/>
          </w:tcPr>
          <w:p>
            <w:pPr>
              <w:spacing w:after="0"/>
              <w:rPr>
                <w:sz w:val="12"/>
                <w:szCs w:val="12"/>
                <w:color w:val="auto"/>
              </w:rPr>
            </w:pPr>
          </w:p>
        </w:tc>
        <w:tc>
          <w:tcPr>
            <w:tcW w:w="70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36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620" w:type="dxa"/>
            <w:vAlign w:val="bottom"/>
            <w:gridSpan w:val="2"/>
          </w:tcPr>
          <w:p>
            <w:pPr>
              <w:jc w:val="right"/>
              <w:ind w:right="252"/>
              <w:spacing w:after="0"/>
              <w:rPr>
                <w:sz w:val="20"/>
                <w:szCs w:val="20"/>
                <w:color w:val="auto"/>
              </w:rPr>
            </w:pPr>
            <w:r>
              <w:rPr>
                <w:rFonts w:ascii="Arial" w:cs="Arial" w:eastAsia="Arial" w:hAnsi="Arial"/>
                <w:sz w:val="14"/>
                <w:szCs w:val="14"/>
                <w:color w:val="auto"/>
              </w:rPr>
              <w:t>Parent</w:t>
            </w:r>
          </w:p>
        </w:tc>
        <w:tc>
          <w:tcPr>
            <w:tcW w:w="820" w:type="dxa"/>
            <w:vAlign w:val="bottom"/>
            <w:gridSpan w:val="2"/>
          </w:tcPr>
          <w:p>
            <w:pPr>
              <w:ind w:left="220"/>
              <w:spacing w:after="0"/>
              <w:rPr>
                <w:sz w:val="20"/>
                <w:szCs w:val="20"/>
                <w:color w:val="auto"/>
              </w:rPr>
            </w:pPr>
            <w:r>
              <w:rPr>
                <w:rFonts w:ascii="Arial" w:cs="Arial" w:eastAsia="Arial" w:hAnsi="Arial"/>
                <w:sz w:val="14"/>
                <w:szCs w:val="14"/>
                <w:color w:val="auto"/>
              </w:rPr>
              <w:t>Parent</w:t>
            </w:r>
          </w:p>
        </w:tc>
        <w:tc>
          <w:tcPr>
            <w:tcW w:w="280" w:type="dxa"/>
            <w:vAlign w:val="bottom"/>
          </w:tcPr>
          <w:p>
            <w:pPr>
              <w:spacing w:after="0"/>
              <w:rPr>
                <w:sz w:val="15"/>
                <w:szCs w:val="15"/>
                <w:color w:val="auto"/>
              </w:rPr>
            </w:pPr>
          </w:p>
        </w:tc>
        <w:tc>
          <w:tcPr>
            <w:tcW w:w="740" w:type="dxa"/>
            <w:vAlign w:val="bottom"/>
          </w:tcPr>
          <w:p>
            <w:pPr>
              <w:jc w:val="right"/>
              <w:ind w:right="252"/>
              <w:spacing w:after="0"/>
              <w:rPr>
                <w:sz w:val="20"/>
                <w:szCs w:val="20"/>
                <w:color w:val="auto"/>
              </w:rPr>
            </w:pPr>
            <w:r>
              <w:rPr>
                <w:rFonts w:ascii="Arial" w:cs="Arial" w:eastAsia="Arial" w:hAnsi="Arial"/>
                <w:sz w:val="14"/>
                <w:szCs w:val="14"/>
                <w:color w:val="auto"/>
                <w:w w:val="82"/>
              </w:rPr>
              <w:t>Parents</w:t>
            </w:r>
          </w:p>
        </w:tc>
        <w:tc>
          <w:tcPr>
            <w:tcW w:w="960" w:type="dxa"/>
            <w:vAlign w:val="bottom"/>
            <w:gridSpan w:val="2"/>
          </w:tcPr>
          <w:p>
            <w:pPr>
              <w:ind w:left="220"/>
              <w:spacing w:after="0"/>
              <w:rPr>
                <w:sz w:val="20"/>
                <w:szCs w:val="20"/>
                <w:color w:val="auto"/>
              </w:rPr>
            </w:pPr>
            <w:r>
              <w:rPr>
                <w:rFonts w:ascii="Arial" w:cs="Arial" w:eastAsia="Arial" w:hAnsi="Arial"/>
                <w:sz w:val="14"/>
                <w:szCs w:val="14"/>
                <w:color w:val="auto"/>
              </w:rPr>
              <w:t>Holdings</w:t>
            </w:r>
          </w:p>
        </w:tc>
        <w:tc>
          <w:tcPr>
            <w:tcW w:w="1120" w:type="dxa"/>
            <w:vAlign w:val="bottom"/>
            <w:gridSpan w:val="2"/>
          </w:tcPr>
          <w:p>
            <w:pPr>
              <w:ind w:left="220"/>
              <w:spacing w:after="0"/>
              <w:rPr>
                <w:sz w:val="20"/>
                <w:szCs w:val="20"/>
                <w:color w:val="auto"/>
              </w:rPr>
            </w:pPr>
            <w:r>
              <w:rPr>
                <w:rFonts w:ascii="Arial" w:cs="Arial" w:eastAsia="Arial" w:hAnsi="Arial"/>
                <w:sz w:val="14"/>
                <w:szCs w:val="14"/>
                <w:color w:val="auto"/>
              </w:rPr>
              <w:t>Subsidiaries</w:t>
            </w:r>
          </w:p>
        </w:tc>
        <w:tc>
          <w:tcPr>
            <w:tcW w:w="122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1020" w:type="dxa"/>
            <w:vAlign w:val="bottom"/>
            <w:gridSpan w:val="2"/>
          </w:tcPr>
          <w:p>
            <w:pPr>
              <w:jc w:val="right"/>
              <w:ind w:right="52"/>
              <w:spacing w:after="0"/>
              <w:rPr>
                <w:sz w:val="20"/>
                <w:szCs w:val="20"/>
                <w:color w:val="auto"/>
              </w:rPr>
            </w:pPr>
            <w:r>
              <w:rPr>
                <w:rFonts w:ascii="Arial" w:cs="Arial" w:eastAsia="Arial" w:hAnsi="Arial"/>
                <w:sz w:val="14"/>
                <w:szCs w:val="14"/>
                <w:color w:val="auto"/>
              </w:rPr>
              <w:t>Corporation</w:t>
            </w:r>
          </w:p>
        </w:tc>
      </w:tr>
      <w:tr>
        <w:trPr>
          <w:trHeight w:val="142"/>
        </w:trPr>
        <w:tc>
          <w:tcPr>
            <w:tcW w:w="20" w:type="dxa"/>
            <w:vAlign w:val="bottom"/>
          </w:tcPr>
          <w:p>
            <w:pPr>
              <w:spacing w:after="0"/>
              <w:rPr>
                <w:sz w:val="12"/>
                <w:szCs w:val="12"/>
                <w:color w:val="auto"/>
              </w:rPr>
            </w:pPr>
          </w:p>
        </w:tc>
        <w:tc>
          <w:tcPr>
            <w:tcW w:w="3620" w:type="dxa"/>
            <w:vAlign w:val="bottom"/>
            <w:tcBorders>
              <w:top w:val="single" w:sz="8" w:color="auto"/>
              <w:bottom w:val="single" w:sz="8" w:color="auto"/>
            </w:tcBorders>
            <w:shd w:val="clear" w:color="auto" w:fill="E5E5E5"/>
          </w:tcPr>
          <w:p>
            <w:pPr>
              <w:spacing w:after="0" w:line="142" w:lineRule="exact"/>
              <w:rPr>
                <w:sz w:val="20"/>
                <w:szCs w:val="20"/>
                <w:color w:val="auto"/>
              </w:rPr>
            </w:pPr>
            <w:r>
              <w:rPr>
                <w:rFonts w:ascii="Arial" w:cs="Arial" w:eastAsia="Arial" w:hAnsi="Arial"/>
                <w:sz w:val="14"/>
                <w:szCs w:val="14"/>
                <w:color w:val="auto"/>
              </w:rPr>
              <w:t>Net cash provided by (used in) operating activities</w:t>
            </w:r>
          </w:p>
        </w:tc>
        <w:tc>
          <w:tcPr>
            <w:tcW w:w="980" w:type="dxa"/>
            <w:vAlign w:val="bottom"/>
            <w:tcBorders>
              <w:top w:val="single" w:sz="8" w:color="auto"/>
              <w:bottom w:val="single" w:sz="8" w:color="auto"/>
            </w:tcBorders>
            <w:shd w:val="clear" w:color="auto" w:fill="E5E5E5"/>
          </w:tcPr>
          <w:p>
            <w:pPr>
              <w:ind w:left="900"/>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E5E5E5"/>
          </w:tcPr>
          <w:p>
            <w:pPr>
              <w:jc w:val="right"/>
              <w:ind w:right="132"/>
              <w:spacing w:after="0" w:line="142" w:lineRule="exact"/>
              <w:rPr>
                <w:sz w:val="20"/>
                <w:szCs w:val="20"/>
                <w:color w:val="auto"/>
              </w:rPr>
            </w:pPr>
            <w:r>
              <w:rPr>
                <w:rFonts w:ascii="Arial" w:cs="Arial" w:eastAsia="Arial" w:hAnsi="Arial"/>
                <w:sz w:val="14"/>
                <w:szCs w:val="14"/>
                <w:color w:val="auto"/>
                <w:w w:val="94"/>
              </w:rPr>
              <w:t>(1,320)</w:t>
            </w:r>
          </w:p>
        </w:tc>
        <w:tc>
          <w:tcPr>
            <w:tcW w:w="300" w:type="dxa"/>
            <w:vAlign w:val="bottom"/>
            <w:tcBorders>
              <w:top w:val="single" w:sz="8" w:color="auto"/>
              <w:bottom w:val="single" w:sz="8" w:color="auto"/>
            </w:tcBorders>
            <w:shd w:val="clear" w:color="auto" w:fill="E5E5E5"/>
          </w:tcPr>
          <w:p>
            <w:pPr>
              <w:ind w:left="200"/>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E5E5E5"/>
          </w:tcPr>
          <w:p>
            <w:pPr>
              <w:jc w:val="right"/>
              <w:ind w:right="132"/>
              <w:spacing w:after="0" w:line="142" w:lineRule="exact"/>
              <w:rPr>
                <w:sz w:val="20"/>
                <w:szCs w:val="20"/>
                <w:color w:val="auto"/>
              </w:rPr>
            </w:pPr>
            <w:r>
              <w:rPr>
                <w:rFonts w:ascii="Arial" w:cs="Arial" w:eastAsia="Arial" w:hAnsi="Arial"/>
                <w:sz w:val="14"/>
                <w:szCs w:val="14"/>
                <w:color w:val="auto"/>
                <w:w w:val="91"/>
              </w:rPr>
              <w:t>(137)</w:t>
            </w:r>
          </w:p>
        </w:tc>
        <w:tc>
          <w:tcPr>
            <w:tcW w:w="280" w:type="dxa"/>
            <w:vAlign w:val="bottom"/>
            <w:tcBorders>
              <w:top w:val="single" w:sz="8" w:color="auto"/>
              <w:bottom w:val="single" w:sz="8" w:color="auto"/>
            </w:tcBorders>
            <w:shd w:val="clear" w:color="auto" w:fill="E5E5E5"/>
          </w:tcPr>
          <w:p>
            <w:pPr>
              <w:ind w:left="200"/>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E5E5E5"/>
          </w:tcPr>
          <w:p>
            <w:pPr>
              <w:jc w:val="right"/>
              <w:ind w:right="132"/>
              <w:spacing w:after="0" w:line="142" w:lineRule="exact"/>
              <w:rPr>
                <w:sz w:val="20"/>
                <w:szCs w:val="20"/>
                <w:color w:val="auto"/>
              </w:rPr>
            </w:pPr>
            <w:r>
              <w:rPr>
                <w:rFonts w:ascii="Arial" w:cs="Arial" w:eastAsia="Arial" w:hAnsi="Arial"/>
                <w:sz w:val="14"/>
                <w:szCs w:val="14"/>
                <w:color w:val="auto"/>
              </w:rPr>
              <w:t>(141)</w:t>
            </w:r>
          </w:p>
        </w:tc>
        <w:tc>
          <w:tcPr>
            <w:tcW w:w="380" w:type="dxa"/>
            <w:vAlign w:val="bottom"/>
            <w:tcBorders>
              <w:top w:val="single" w:sz="8" w:color="auto"/>
              <w:bottom w:val="single" w:sz="8" w:color="auto"/>
            </w:tcBorders>
            <w:shd w:val="clear" w:color="auto" w:fill="E5E5E5"/>
          </w:tcPr>
          <w:p>
            <w:pPr>
              <w:ind w:left="220"/>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E5E5E5"/>
          </w:tcPr>
          <w:p>
            <w:pPr>
              <w:jc w:val="right"/>
              <w:ind w:right="132"/>
              <w:spacing w:after="0" w:line="142" w:lineRule="exact"/>
              <w:rPr>
                <w:sz w:val="20"/>
                <w:szCs w:val="20"/>
                <w:color w:val="auto"/>
              </w:rPr>
            </w:pPr>
            <w:r>
              <w:rPr>
                <w:rFonts w:ascii="Arial" w:cs="Arial" w:eastAsia="Arial" w:hAnsi="Arial"/>
                <w:sz w:val="14"/>
                <w:szCs w:val="14"/>
                <w:color w:val="auto"/>
              </w:rPr>
              <w:t>(223)</w:t>
            </w:r>
          </w:p>
        </w:tc>
        <w:tc>
          <w:tcPr>
            <w:tcW w:w="340" w:type="dxa"/>
            <w:vAlign w:val="bottom"/>
            <w:tcBorders>
              <w:top w:val="single" w:sz="8" w:color="auto"/>
              <w:bottom w:val="single" w:sz="8" w:color="auto"/>
            </w:tcBorders>
            <w:shd w:val="clear" w:color="auto" w:fill="E5E5E5"/>
          </w:tcPr>
          <w:p>
            <w:pPr>
              <w:ind w:left="220"/>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9,553</w:t>
            </w:r>
          </w:p>
        </w:tc>
        <w:tc>
          <w:tcPr>
            <w:tcW w:w="280" w:type="dxa"/>
            <w:vAlign w:val="bottom"/>
            <w:tcBorders>
              <w:top w:val="single" w:sz="8" w:color="auto"/>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E5E5E5"/>
          </w:tcPr>
          <w:p>
            <w:pPr>
              <w:ind w:left="220"/>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7,732</w:t>
            </w:r>
          </w:p>
        </w:tc>
      </w:tr>
      <w:tr>
        <w:trPr>
          <w:trHeight w:val="142"/>
        </w:trPr>
        <w:tc>
          <w:tcPr>
            <w:tcW w:w="20" w:type="dxa"/>
            <w:vAlign w:val="bottom"/>
          </w:tcPr>
          <w:p>
            <w:pPr>
              <w:spacing w:after="0"/>
              <w:rPr>
                <w:sz w:val="12"/>
                <w:szCs w:val="12"/>
                <w:color w:val="auto"/>
              </w:rPr>
            </w:pPr>
          </w:p>
        </w:tc>
        <w:tc>
          <w:tcPr>
            <w:tcW w:w="3620" w:type="dxa"/>
            <w:vAlign w:val="bottom"/>
          </w:tcPr>
          <w:p>
            <w:pPr>
              <w:spacing w:after="0" w:line="142" w:lineRule="exact"/>
              <w:rPr>
                <w:sz w:val="20"/>
                <w:szCs w:val="20"/>
                <w:color w:val="auto"/>
              </w:rPr>
            </w:pPr>
            <w:r>
              <w:rPr>
                <w:rFonts w:ascii="Arial" w:cs="Arial" w:eastAsia="Arial" w:hAnsi="Arial"/>
                <w:sz w:val="14"/>
                <w:szCs w:val="14"/>
                <w:b w:val="1"/>
                <w:bCs w:val="1"/>
                <w:color w:val="auto"/>
              </w:rPr>
              <w:t>Investing Activities</w:t>
            </w: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Net transactions with affiliates</w:t>
            </w:r>
          </w:p>
        </w:tc>
        <w:tc>
          <w:tcPr>
            <w:tcW w:w="98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1,268</w:t>
            </w:r>
          </w:p>
        </w:tc>
        <w:tc>
          <w:tcPr>
            <w:tcW w:w="300" w:type="dxa"/>
            <w:vAlign w:val="bottom"/>
            <w:shd w:val="clear" w:color="auto" w:fill="E5E5E5"/>
          </w:tcPr>
          <w:p>
            <w:pPr>
              <w:spacing w:after="0"/>
              <w:rPr>
                <w:sz w:val="12"/>
                <w:szCs w:val="12"/>
                <w:color w:val="auto"/>
              </w:rPr>
            </w:pPr>
          </w:p>
        </w:tc>
        <w:tc>
          <w:tcPr>
            <w:tcW w:w="52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137</w:t>
            </w:r>
          </w:p>
        </w:tc>
        <w:tc>
          <w:tcPr>
            <w:tcW w:w="28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141</w:t>
            </w:r>
          </w:p>
        </w:tc>
        <w:tc>
          <w:tcPr>
            <w:tcW w:w="38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236</w:t>
            </w:r>
          </w:p>
        </w:tc>
        <w:tc>
          <w:tcPr>
            <w:tcW w:w="34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(1,782)</w:t>
            </w:r>
          </w:p>
        </w:tc>
        <w:tc>
          <w:tcPr>
            <w:tcW w:w="280" w:type="dxa"/>
            <w:vAlign w:val="bottom"/>
            <w:shd w:val="clear" w:color="auto" w:fill="E5E5E5"/>
          </w:tcPr>
          <w:p>
            <w:pPr>
              <w:spacing w:after="0"/>
              <w:rPr>
                <w:sz w:val="12"/>
                <w:szCs w:val="12"/>
                <w:color w:val="auto"/>
              </w:rPr>
            </w:pPr>
          </w:p>
        </w:tc>
        <w:tc>
          <w:tcPr>
            <w:tcW w:w="94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620" w:type="dxa"/>
            <w:vAlign w:val="bottom"/>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980" w:type="dxa"/>
            <w:vAlign w:val="bottom"/>
          </w:tcPr>
          <w:p>
            <w:pPr>
              <w:spacing w:after="0"/>
              <w:rPr>
                <w:sz w:val="12"/>
                <w:szCs w:val="12"/>
                <w:color w:val="auto"/>
              </w:rPr>
            </w:pPr>
          </w:p>
        </w:tc>
        <w:tc>
          <w:tcPr>
            <w:tcW w:w="6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w:t>
            </w:r>
          </w:p>
        </w:tc>
        <w:tc>
          <w:tcPr>
            <w:tcW w:w="300" w:type="dxa"/>
            <w:vAlign w:val="bottom"/>
          </w:tcPr>
          <w:p>
            <w:pPr>
              <w:spacing w:after="0"/>
              <w:rPr>
                <w:sz w:val="12"/>
                <w:szCs w:val="12"/>
                <w:color w:val="auto"/>
              </w:rPr>
            </w:pPr>
          </w:p>
        </w:tc>
        <w:tc>
          <w:tcPr>
            <w:tcW w:w="5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5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7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(3,426)</w:t>
            </w:r>
          </w:p>
        </w:tc>
        <w:tc>
          <w:tcPr>
            <w:tcW w:w="280" w:type="dxa"/>
            <w:vAlign w:val="bottom"/>
          </w:tcPr>
          <w:p>
            <w:pPr>
              <w:spacing w:after="0"/>
              <w:rPr>
                <w:sz w:val="12"/>
                <w:szCs w:val="12"/>
                <w:color w:val="auto"/>
              </w:rPr>
            </w:pPr>
          </w:p>
        </w:tc>
        <w:tc>
          <w:tcPr>
            <w:tcW w:w="9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(3,429)</w:t>
            </w:r>
          </w:p>
        </w:tc>
      </w:tr>
      <w:tr>
        <w:trPr>
          <w:trHeight w:val="149"/>
        </w:trPr>
        <w:tc>
          <w:tcPr>
            <w:tcW w:w="20" w:type="dxa"/>
            <w:vAlign w:val="bottom"/>
          </w:tcPr>
          <w:p>
            <w:pPr>
              <w:spacing w:after="0"/>
              <w:rPr>
                <w:sz w:val="12"/>
                <w:szCs w:val="12"/>
                <w:color w:val="auto"/>
              </w:rPr>
            </w:pPr>
          </w:p>
        </w:tc>
        <w:tc>
          <w:tcPr>
            <w:tcW w:w="36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Cash paid for intangible assets</w:t>
            </w:r>
          </w:p>
        </w:tc>
        <w:tc>
          <w:tcPr>
            <w:tcW w:w="98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spacing w:after="0"/>
              <w:rPr>
                <w:sz w:val="12"/>
                <w:szCs w:val="12"/>
                <w:color w:val="auto"/>
              </w:rPr>
            </w:pPr>
          </w:p>
        </w:tc>
        <w:tc>
          <w:tcPr>
            <w:tcW w:w="52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(372)</w:t>
            </w:r>
          </w:p>
        </w:tc>
        <w:tc>
          <w:tcPr>
            <w:tcW w:w="280" w:type="dxa"/>
            <w:vAlign w:val="bottom"/>
            <w:shd w:val="clear" w:color="auto" w:fill="E5E5E5"/>
          </w:tcPr>
          <w:p>
            <w:pPr>
              <w:spacing w:after="0"/>
              <w:rPr>
                <w:sz w:val="12"/>
                <w:szCs w:val="12"/>
                <w:color w:val="auto"/>
              </w:rPr>
            </w:pPr>
          </w:p>
        </w:tc>
        <w:tc>
          <w:tcPr>
            <w:tcW w:w="94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(372)</w:t>
            </w:r>
          </w:p>
        </w:tc>
      </w:tr>
      <w:tr>
        <w:trPr>
          <w:trHeight w:val="149"/>
        </w:trPr>
        <w:tc>
          <w:tcPr>
            <w:tcW w:w="20" w:type="dxa"/>
            <w:vAlign w:val="bottom"/>
          </w:tcPr>
          <w:p>
            <w:pPr>
              <w:spacing w:after="0"/>
              <w:rPr>
                <w:sz w:val="12"/>
                <w:szCs w:val="12"/>
                <w:color w:val="auto"/>
              </w:rPr>
            </w:pPr>
          </w:p>
        </w:tc>
        <w:tc>
          <w:tcPr>
            <w:tcW w:w="3620" w:type="dxa"/>
            <w:vAlign w:val="bottom"/>
          </w:tcPr>
          <w:p>
            <w:pPr>
              <w:ind w:left="200"/>
              <w:spacing w:after="0" w:line="149" w:lineRule="exact"/>
              <w:rPr>
                <w:sz w:val="20"/>
                <w:szCs w:val="20"/>
                <w:color w:val="auto"/>
              </w:rPr>
            </w:pPr>
            <w:r>
              <w:rPr>
                <w:rFonts w:ascii="Arial" w:cs="Arial" w:eastAsia="Arial" w:hAnsi="Arial"/>
                <w:sz w:val="14"/>
                <w:szCs w:val="14"/>
                <w:color w:val="auto"/>
              </w:rPr>
              <w:t>Acquisitions, net of cash acquired</w:t>
            </w:r>
          </w:p>
        </w:tc>
        <w:tc>
          <w:tcPr>
            <w:tcW w:w="980" w:type="dxa"/>
            <w:vAlign w:val="bottom"/>
          </w:tcPr>
          <w:p>
            <w:pPr>
              <w:spacing w:after="0"/>
              <w:rPr>
                <w:sz w:val="12"/>
                <w:szCs w:val="12"/>
                <w:color w:val="auto"/>
              </w:rPr>
            </w:pPr>
          </w:p>
        </w:tc>
        <w:tc>
          <w:tcPr>
            <w:tcW w:w="6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5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5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7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(183)</w:t>
            </w:r>
          </w:p>
        </w:tc>
        <w:tc>
          <w:tcPr>
            <w:tcW w:w="280" w:type="dxa"/>
            <w:vAlign w:val="bottom"/>
          </w:tcPr>
          <w:p>
            <w:pPr>
              <w:spacing w:after="0"/>
              <w:rPr>
                <w:sz w:val="12"/>
                <w:szCs w:val="12"/>
                <w:color w:val="auto"/>
              </w:rPr>
            </w:pPr>
          </w:p>
        </w:tc>
        <w:tc>
          <w:tcPr>
            <w:tcW w:w="9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(183)</w:t>
            </w:r>
          </w:p>
        </w:tc>
      </w:tr>
      <w:tr>
        <w:trPr>
          <w:trHeight w:val="149"/>
        </w:trPr>
        <w:tc>
          <w:tcPr>
            <w:tcW w:w="20" w:type="dxa"/>
            <w:vAlign w:val="bottom"/>
          </w:tcPr>
          <w:p>
            <w:pPr>
              <w:spacing w:after="0"/>
              <w:rPr>
                <w:sz w:val="12"/>
                <w:szCs w:val="12"/>
                <w:color w:val="auto"/>
              </w:rPr>
            </w:pPr>
          </w:p>
        </w:tc>
        <w:tc>
          <w:tcPr>
            <w:tcW w:w="36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Proceeds from sales of investments</w:t>
            </w:r>
          </w:p>
        </w:tc>
        <w:tc>
          <w:tcPr>
            <w:tcW w:w="98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spacing w:after="0"/>
              <w:rPr>
                <w:sz w:val="12"/>
                <w:szCs w:val="12"/>
                <w:color w:val="auto"/>
              </w:rPr>
            </w:pPr>
          </w:p>
        </w:tc>
        <w:tc>
          <w:tcPr>
            <w:tcW w:w="52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21</w:t>
            </w:r>
          </w:p>
        </w:tc>
        <w:tc>
          <w:tcPr>
            <w:tcW w:w="280" w:type="dxa"/>
            <w:vAlign w:val="bottom"/>
            <w:shd w:val="clear" w:color="auto" w:fill="E5E5E5"/>
          </w:tcPr>
          <w:p>
            <w:pPr>
              <w:spacing w:after="0"/>
              <w:rPr>
                <w:sz w:val="12"/>
                <w:szCs w:val="12"/>
                <w:color w:val="auto"/>
              </w:rPr>
            </w:pPr>
          </w:p>
        </w:tc>
        <w:tc>
          <w:tcPr>
            <w:tcW w:w="94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21</w:t>
            </w:r>
          </w:p>
        </w:tc>
      </w:tr>
      <w:tr>
        <w:trPr>
          <w:trHeight w:val="149"/>
        </w:trPr>
        <w:tc>
          <w:tcPr>
            <w:tcW w:w="20" w:type="dxa"/>
            <w:vAlign w:val="bottom"/>
          </w:tcPr>
          <w:p>
            <w:pPr>
              <w:spacing w:after="0"/>
              <w:rPr>
                <w:sz w:val="12"/>
                <w:szCs w:val="12"/>
                <w:color w:val="auto"/>
              </w:rPr>
            </w:pPr>
          </w:p>
        </w:tc>
        <w:tc>
          <w:tcPr>
            <w:tcW w:w="3620" w:type="dxa"/>
            <w:vAlign w:val="bottom"/>
          </w:tcPr>
          <w:p>
            <w:pPr>
              <w:ind w:left="200"/>
              <w:spacing w:after="0" w:line="149" w:lineRule="exact"/>
              <w:rPr>
                <w:sz w:val="20"/>
                <w:szCs w:val="20"/>
                <w:color w:val="auto"/>
              </w:rPr>
            </w:pPr>
            <w:r>
              <w:rPr>
                <w:rFonts w:ascii="Arial" w:cs="Arial" w:eastAsia="Arial" w:hAnsi="Arial"/>
                <w:sz w:val="14"/>
                <w:szCs w:val="14"/>
                <w:color w:val="auto"/>
              </w:rPr>
              <w:t>Purchases of investments</w:t>
            </w:r>
          </w:p>
        </w:tc>
        <w:tc>
          <w:tcPr>
            <w:tcW w:w="980" w:type="dxa"/>
            <w:vAlign w:val="bottom"/>
          </w:tcPr>
          <w:p>
            <w:pPr>
              <w:spacing w:after="0"/>
              <w:rPr>
                <w:sz w:val="12"/>
                <w:szCs w:val="12"/>
                <w:color w:val="auto"/>
              </w:rPr>
            </w:pPr>
          </w:p>
        </w:tc>
        <w:tc>
          <w:tcPr>
            <w:tcW w:w="6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5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5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7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(54)</w:t>
            </w:r>
          </w:p>
        </w:tc>
        <w:tc>
          <w:tcPr>
            <w:tcW w:w="280" w:type="dxa"/>
            <w:vAlign w:val="bottom"/>
          </w:tcPr>
          <w:p>
            <w:pPr>
              <w:spacing w:after="0"/>
              <w:rPr>
                <w:sz w:val="12"/>
                <w:szCs w:val="12"/>
                <w:color w:val="auto"/>
              </w:rPr>
            </w:pPr>
          </w:p>
        </w:tc>
        <w:tc>
          <w:tcPr>
            <w:tcW w:w="9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(54)</w:t>
            </w:r>
          </w:p>
        </w:tc>
      </w:tr>
      <w:tr>
        <w:trPr>
          <w:trHeight w:val="149"/>
        </w:trPr>
        <w:tc>
          <w:tcPr>
            <w:tcW w:w="20" w:type="dxa"/>
            <w:vAlign w:val="bottom"/>
          </w:tcPr>
          <w:p>
            <w:pPr>
              <w:spacing w:after="0"/>
              <w:rPr>
                <w:sz w:val="12"/>
                <w:szCs w:val="12"/>
                <w:color w:val="auto"/>
              </w:rPr>
            </w:pPr>
          </w:p>
        </w:tc>
        <w:tc>
          <w:tcPr>
            <w:tcW w:w="362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Other</w:t>
            </w:r>
          </w:p>
        </w:tc>
        <w:tc>
          <w:tcPr>
            <w:tcW w:w="980" w:type="dxa"/>
            <w:vAlign w:val="bottom"/>
            <w:tcBorders>
              <w:bottom w:val="single" w:sz="8" w:color="auto"/>
            </w:tcBorders>
            <w:shd w:val="clear" w:color="auto" w:fill="E5E5E5"/>
          </w:tcPr>
          <w:p>
            <w:pPr>
              <w:spacing w:after="0"/>
              <w:rPr>
                <w:sz w:val="12"/>
                <w:szCs w:val="12"/>
                <w:color w:val="auto"/>
              </w:rPr>
            </w:pPr>
          </w:p>
        </w:tc>
        <w:tc>
          <w:tcPr>
            <w:tcW w:w="640" w:type="dxa"/>
            <w:vAlign w:val="bottom"/>
            <w:tcBorders>
              <w:bottom w:val="single" w:sz="8" w:color="auto"/>
            </w:tcBorders>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E5E5E5"/>
          </w:tcPr>
          <w:p>
            <w:pPr>
              <w:spacing w:after="0"/>
              <w:rPr>
                <w:sz w:val="12"/>
                <w:szCs w:val="12"/>
                <w:color w:val="auto"/>
              </w:rPr>
            </w:pPr>
          </w:p>
        </w:tc>
        <w:tc>
          <w:tcPr>
            <w:tcW w:w="520" w:type="dxa"/>
            <w:vAlign w:val="bottom"/>
            <w:tcBorders>
              <w:bottom w:val="single" w:sz="8" w:color="auto"/>
            </w:tcBorders>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E5E5E5"/>
          </w:tcPr>
          <w:p>
            <w:pPr>
              <w:spacing w:after="0"/>
              <w:rPr>
                <w:sz w:val="12"/>
                <w:szCs w:val="12"/>
                <w:color w:val="auto"/>
              </w:rPr>
            </w:pPr>
          </w:p>
        </w:tc>
        <w:tc>
          <w:tcPr>
            <w:tcW w:w="78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149</w:t>
            </w:r>
          </w:p>
        </w:tc>
        <w:tc>
          <w:tcPr>
            <w:tcW w:w="280" w:type="dxa"/>
            <w:vAlign w:val="bottom"/>
            <w:tcBorders>
              <w:bottom w:val="single" w:sz="8" w:color="auto"/>
            </w:tcBorders>
            <w:shd w:val="clear" w:color="auto" w:fill="E5E5E5"/>
          </w:tcPr>
          <w:p>
            <w:pPr>
              <w:spacing w:after="0"/>
              <w:rPr>
                <w:sz w:val="12"/>
                <w:szCs w:val="12"/>
                <w:color w:val="auto"/>
              </w:rPr>
            </w:pPr>
          </w:p>
        </w:tc>
        <w:tc>
          <w:tcPr>
            <w:tcW w:w="94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149</w:t>
            </w:r>
          </w:p>
        </w:tc>
      </w:tr>
      <w:tr>
        <w:trPr>
          <w:trHeight w:val="142"/>
        </w:trPr>
        <w:tc>
          <w:tcPr>
            <w:tcW w:w="20" w:type="dxa"/>
            <w:vAlign w:val="bottom"/>
          </w:tcPr>
          <w:p>
            <w:pPr>
              <w:spacing w:after="0"/>
              <w:rPr>
                <w:sz w:val="12"/>
                <w:szCs w:val="12"/>
                <w:color w:val="auto"/>
              </w:rPr>
            </w:pPr>
          </w:p>
        </w:tc>
        <w:tc>
          <w:tcPr>
            <w:tcW w:w="36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Net cash provided by (used in) investing activities</w:t>
            </w:r>
          </w:p>
        </w:tc>
        <w:tc>
          <w:tcPr>
            <w:tcW w:w="9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1,265</w:t>
            </w:r>
          </w:p>
        </w:tc>
        <w:tc>
          <w:tcPr>
            <w:tcW w:w="3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137</w:t>
            </w: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141</w:t>
            </w:r>
          </w:p>
        </w:tc>
        <w:tc>
          <w:tcPr>
            <w:tcW w:w="3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236</w:t>
            </w: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(5,647)</w:t>
            </w: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(3,868)</w:t>
            </w:r>
          </w:p>
        </w:tc>
      </w:tr>
      <w:tr>
        <w:trPr>
          <w:trHeight w:val="142"/>
        </w:trPr>
        <w:tc>
          <w:tcPr>
            <w:tcW w:w="20" w:type="dxa"/>
            <w:vAlign w:val="bottom"/>
          </w:tcPr>
          <w:p>
            <w:pPr>
              <w:spacing w:after="0"/>
              <w:rPr>
                <w:sz w:val="12"/>
                <w:szCs w:val="12"/>
                <w:color w:val="auto"/>
              </w:rPr>
            </w:pPr>
          </w:p>
        </w:tc>
        <w:tc>
          <w:tcPr>
            <w:tcW w:w="3620" w:type="dxa"/>
            <w:vAlign w:val="bottom"/>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Financing Activities</w:t>
            </w:r>
          </w:p>
        </w:tc>
        <w:tc>
          <w:tcPr>
            <w:tcW w:w="980" w:type="dxa"/>
            <w:vAlign w:val="bottom"/>
            <w:shd w:val="clear" w:color="auto" w:fill="E5E5E5"/>
          </w:tcPr>
          <w:p>
            <w:pPr>
              <w:spacing w:after="0"/>
              <w:rPr>
                <w:sz w:val="12"/>
                <w:szCs w:val="12"/>
                <w:color w:val="auto"/>
              </w:rPr>
            </w:pPr>
          </w:p>
        </w:tc>
        <w:tc>
          <w:tcPr>
            <w:tcW w:w="64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740" w:type="dxa"/>
            <w:vAlign w:val="bottom"/>
            <w:shd w:val="clear" w:color="auto" w:fill="E5E5E5"/>
          </w:tcPr>
          <w:p>
            <w:pPr>
              <w:spacing w:after="0"/>
              <w:rPr>
                <w:sz w:val="12"/>
                <w:szCs w:val="12"/>
                <w:color w:val="auto"/>
              </w:rPr>
            </w:pPr>
          </w:p>
        </w:tc>
        <w:tc>
          <w:tcPr>
            <w:tcW w:w="38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940" w:type="dxa"/>
            <w:vAlign w:val="bottom"/>
            <w:shd w:val="clear" w:color="auto" w:fill="E5E5E5"/>
          </w:tcPr>
          <w:p>
            <w:pPr>
              <w:spacing w:after="0"/>
              <w:rPr>
                <w:sz w:val="12"/>
                <w:szCs w:val="12"/>
                <w:color w:val="auto"/>
              </w:rPr>
            </w:pPr>
          </w:p>
        </w:tc>
        <w:tc>
          <w:tcPr>
            <w:tcW w:w="32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200"/>
              <w:spacing w:after="0" w:line="149" w:lineRule="exact"/>
              <w:rPr>
                <w:sz w:val="20"/>
                <w:szCs w:val="20"/>
                <w:color w:val="auto"/>
              </w:rPr>
            </w:pPr>
            <w:r>
              <w:rPr>
                <w:rFonts w:ascii="Arial" w:cs="Arial" w:eastAsia="Arial" w:hAnsi="Arial"/>
                <w:sz w:val="14"/>
                <w:szCs w:val="14"/>
                <w:color w:val="auto"/>
              </w:rPr>
              <w:t>Proceeds from borrowings</w:t>
            </w:r>
          </w:p>
        </w:tc>
        <w:tc>
          <w:tcPr>
            <w:tcW w:w="980" w:type="dxa"/>
            <w:vAlign w:val="bottom"/>
          </w:tcPr>
          <w:p>
            <w:pPr>
              <w:spacing w:after="0"/>
              <w:rPr>
                <w:sz w:val="12"/>
                <w:szCs w:val="12"/>
                <w:color w:val="auto"/>
              </w:rPr>
            </w:pPr>
          </w:p>
        </w:tc>
        <w:tc>
          <w:tcPr>
            <w:tcW w:w="6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2,394</w:t>
            </w:r>
          </w:p>
        </w:tc>
        <w:tc>
          <w:tcPr>
            <w:tcW w:w="300" w:type="dxa"/>
            <w:vAlign w:val="bottom"/>
          </w:tcPr>
          <w:p>
            <w:pPr>
              <w:spacing w:after="0"/>
              <w:rPr>
                <w:sz w:val="12"/>
                <w:szCs w:val="12"/>
                <w:color w:val="auto"/>
              </w:rPr>
            </w:pPr>
          </w:p>
        </w:tc>
        <w:tc>
          <w:tcPr>
            <w:tcW w:w="5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5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7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26</w:t>
            </w:r>
          </w:p>
        </w:tc>
        <w:tc>
          <w:tcPr>
            <w:tcW w:w="280" w:type="dxa"/>
            <w:vAlign w:val="bottom"/>
          </w:tcPr>
          <w:p>
            <w:pPr>
              <w:spacing w:after="0"/>
              <w:rPr>
                <w:sz w:val="12"/>
                <w:szCs w:val="12"/>
                <w:color w:val="auto"/>
              </w:rPr>
            </w:pPr>
          </w:p>
        </w:tc>
        <w:tc>
          <w:tcPr>
            <w:tcW w:w="9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2,420</w:t>
            </w:r>
          </w:p>
        </w:tc>
      </w:tr>
      <w:tr>
        <w:trPr>
          <w:trHeight w:val="149"/>
        </w:trPr>
        <w:tc>
          <w:tcPr>
            <w:tcW w:w="20" w:type="dxa"/>
            <w:vAlign w:val="bottom"/>
          </w:tcPr>
          <w:p>
            <w:pPr>
              <w:spacing w:after="0"/>
              <w:rPr>
                <w:sz w:val="12"/>
                <w:szCs w:val="12"/>
                <w:color w:val="auto"/>
              </w:rPr>
            </w:pPr>
          </w:p>
        </w:tc>
        <w:tc>
          <w:tcPr>
            <w:tcW w:w="36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Repurchases and repayments of debt</w:t>
            </w:r>
          </w:p>
        </w:tc>
        <w:tc>
          <w:tcPr>
            <w:tcW w:w="98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(600)</w:t>
            </w:r>
          </w:p>
        </w:tc>
        <w:tc>
          <w:tcPr>
            <w:tcW w:w="300" w:type="dxa"/>
            <w:vAlign w:val="bottom"/>
            <w:shd w:val="clear" w:color="auto" w:fill="E5E5E5"/>
          </w:tcPr>
          <w:p>
            <w:pPr>
              <w:spacing w:after="0"/>
              <w:rPr>
                <w:sz w:val="12"/>
                <w:szCs w:val="12"/>
                <w:color w:val="auto"/>
              </w:rPr>
            </w:pPr>
          </w:p>
        </w:tc>
        <w:tc>
          <w:tcPr>
            <w:tcW w:w="52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(13)</w:t>
            </w:r>
          </w:p>
        </w:tc>
        <w:tc>
          <w:tcPr>
            <w:tcW w:w="34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(36)</w:t>
            </w:r>
          </w:p>
        </w:tc>
        <w:tc>
          <w:tcPr>
            <w:tcW w:w="280" w:type="dxa"/>
            <w:vAlign w:val="bottom"/>
            <w:shd w:val="clear" w:color="auto" w:fill="E5E5E5"/>
          </w:tcPr>
          <w:p>
            <w:pPr>
              <w:spacing w:after="0"/>
              <w:rPr>
                <w:sz w:val="12"/>
                <w:szCs w:val="12"/>
                <w:color w:val="auto"/>
              </w:rPr>
            </w:pPr>
          </w:p>
        </w:tc>
        <w:tc>
          <w:tcPr>
            <w:tcW w:w="94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(649)</w:t>
            </w:r>
          </w:p>
        </w:tc>
      </w:tr>
      <w:tr>
        <w:trPr>
          <w:trHeight w:val="149"/>
        </w:trPr>
        <w:tc>
          <w:tcPr>
            <w:tcW w:w="20" w:type="dxa"/>
            <w:vAlign w:val="bottom"/>
          </w:tcPr>
          <w:p>
            <w:pPr>
              <w:spacing w:after="0"/>
              <w:rPr>
                <w:sz w:val="12"/>
                <w:szCs w:val="12"/>
                <w:color w:val="auto"/>
              </w:rPr>
            </w:pPr>
          </w:p>
        </w:tc>
        <w:tc>
          <w:tcPr>
            <w:tcW w:w="3620" w:type="dxa"/>
            <w:vAlign w:val="bottom"/>
          </w:tcPr>
          <w:p>
            <w:pPr>
              <w:ind w:left="200"/>
              <w:spacing w:after="0" w:line="149" w:lineRule="exact"/>
              <w:rPr>
                <w:sz w:val="20"/>
                <w:szCs w:val="20"/>
                <w:color w:val="auto"/>
              </w:rPr>
            </w:pPr>
            <w:r>
              <w:rPr>
                <w:rFonts w:ascii="Arial" w:cs="Arial" w:eastAsia="Arial" w:hAnsi="Arial"/>
                <w:sz w:val="14"/>
                <w:szCs w:val="14"/>
                <w:color w:val="auto"/>
              </w:rPr>
              <w:t>Repurchases and retirements of common stock</w:t>
            </w:r>
          </w:p>
        </w:tc>
        <w:tc>
          <w:tcPr>
            <w:tcW w:w="980" w:type="dxa"/>
            <w:vAlign w:val="bottom"/>
          </w:tcPr>
          <w:p>
            <w:pPr>
              <w:spacing w:after="0"/>
              <w:rPr>
                <w:sz w:val="12"/>
                <w:szCs w:val="12"/>
                <w:color w:val="auto"/>
              </w:rPr>
            </w:pPr>
          </w:p>
        </w:tc>
        <w:tc>
          <w:tcPr>
            <w:tcW w:w="6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(892)</w:t>
            </w:r>
          </w:p>
        </w:tc>
        <w:tc>
          <w:tcPr>
            <w:tcW w:w="300" w:type="dxa"/>
            <w:vAlign w:val="bottom"/>
          </w:tcPr>
          <w:p>
            <w:pPr>
              <w:spacing w:after="0"/>
              <w:rPr>
                <w:sz w:val="12"/>
                <w:szCs w:val="12"/>
                <w:color w:val="auto"/>
              </w:rPr>
            </w:pPr>
          </w:p>
        </w:tc>
        <w:tc>
          <w:tcPr>
            <w:tcW w:w="5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5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7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9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(892)</w:t>
            </w:r>
          </w:p>
        </w:tc>
      </w:tr>
      <w:tr>
        <w:trPr>
          <w:trHeight w:val="149"/>
        </w:trPr>
        <w:tc>
          <w:tcPr>
            <w:tcW w:w="20" w:type="dxa"/>
            <w:vAlign w:val="bottom"/>
          </w:tcPr>
          <w:p>
            <w:pPr>
              <w:spacing w:after="0"/>
              <w:rPr>
                <w:sz w:val="12"/>
                <w:szCs w:val="12"/>
                <w:color w:val="auto"/>
              </w:rPr>
            </w:pPr>
          </w:p>
        </w:tc>
        <w:tc>
          <w:tcPr>
            <w:tcW w:w="36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Dividends paid</w:t>
            </w:r>
          </w:p>
        </w:tc>
        <w:tc>
          <w:tcPr>
            <w:tcW w:w="98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(800)</w:t>
            </w:r>
          </w:p>
        </w:tc>
        <w:tc>
          <w:tcPr>
            <w:tcW w:w="300" w:type="dxa"/>
            <w:vAlign w:val="bottom"/>
            <w:shd w:val="clear" w:color="auto" w:fill="E5E5E5"/>
          </w:tcPr>
          <w:p>
            <w:pPr>
              <w:spacing w:after="0"/>
              <w:rPr>
                <w:sz w:val="12"/>
                <w:szCs w:val="12"/>
                <w:color w:val="auto"/>
              </w:rPr>
            </w:pPr>
          </w:p>
        </w:tc>
        <w:tc>
          <w:tcPr>
            <w:tcW w:w="52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94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(800)</w:t>
            </w:r>
          </w:p>
        </w:tc>
      </w:tr>
      <w:tr>
        <w:trPr>
          <w:trHeight w:val="149"/>
        </w:trPr>
        <w:tc>
          <w:tcPr>
            <w:tcW w:w="20" w:type="dxa"/>
            <w:vAlign w:val="bottom"/>
          </w:tcPr>
          <w:p>
            <w:pPr>
              <w:spacing w:after="0"/>
              <w:rPr>
                <w:sz w:val="12"/>
                <w:szCs w:val="12"/>
                <w:color w:val="auto"/>
              </w:rPr>
            </w:pPr>
          </w:p>
        </w:tc>
        <w:tc>
          <w:tcPr>
            <w:tcW w:w="3620" w:type="dxa"/>
            <w:vAlign w:val="bottom"/>
          </w:tcPr>
          <w:p>
            <w:pPr>
              <w:ind w:left="200"/>
              <w:spacing w:after="0" w:line="149" w:lineRule="exact"/>
              <w:rPr>
                <w:sz w:val="20"/>
                <w:szCs w:val="20"/>
                <w:color w:val="auto"/>
              </w:rPr>
            </w:pPr>
            <w:r>
              <w:rPr>
                <w:rFonts w:ascii="Arial" w:cs="Arial" w:eastAsia="Arial" w:hAnsi="Arial"/>
                <w:sz w:val="14"/>
                <w:szCs w:val="14"/>
                <w:color w:val="auto"/>
              </w:rPr>
              <w:t>Distributions (to) from noncontrolling interests</w:t>
            </w:r>
          </w:p>
        </w:tc>
        <w:tc>
          <w:tcPr>
            <w:tcW w:w="980" w:type="dxa"/>
            <w:vAlign w:val="bottom"/>
          </w:tcPr>
          <w:p>
            <w:pPr>
              <w:spacing w:after="0"/>
              <w:rPr>
                <w:sz w:val="12"/>
                <w:szCs w:val="12"/>
                <w:color w:val="auto"/>
              </w:rPr>
            </w:pPr>
          </w:p>
        </w:tc>
        <w:tc>
          <w:tcPr>
            <w:tcW w:w="6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5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5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7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(48)</w:t>
            </w:r>
          </w:p>
        </w:tc>
        <w:tc>
          <w:tcPr>
            <w:tcW w:w="280" w:type="dxa"/>
            <w:vAlign w:val="bottom"/>
          </w:tcPr>
          <w:p>
            <w:pPr>
              <w:spacing w:after="0"/>
              <w:rPr>
                <w:sz w:val="12"/>
                <w:szCs w:val="12"/>
                <w:color w:val="auto"/>
              </w:rPr>
            </w:pPr>
          </w:p>
        </w:tc>
        <w:tc>
          <w:tcPr>
            <w:tcW w:w="9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(48)</w:t>
            </w:r>
          </w:p>
        </w:tc>
      </w:tr>
      <w:tr>
        <w:trPr>
          <w:trHeight w:val="149"/>
        </w:trPr>
        <w:tc>
          <w:tcPr>
            <w:tcW w:w="20" w:type="dxa"/>
            <w:vAlign w:val="bottom"/>
          </w:tcPr>
          <w:p>
            <w:pPr>
              <w:spacing w:after="0"/>
              <w:rPr>
                <w:sz w:val="12"/>
                <w:szCs w:val="12"/>
                <w:color w:val="auto"/>
              </w:rPr>
            </w:pPr>
          </w:p>
        </w:tc>
        <w:tc>
          <w:tcPr>
            <w:tcW w:w="362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Other</w:t>
            </w:r>
          </w:p>
        </w:tc>
        <w:tc>
          <w:tcPr>
            <w:tcW w:w="980" w:type="dxa"/>
            <w:vAlign w:val="bottom"/>
            <w:tcBorders>
              <w:bottom w:val="single" w:sz="8" w:color="auto"/>
            </w:tcBorders>
            <w:shd w:val="clear" w:color="auto" w:fill="E5E5E5"/>
          </w:tcPr>
          <w:p>
            <w:pPr>
              <w:spacing w:after="0"/>
              <w:rPr>
                <w:sz w:val="12"/>
                <w:szCs w:val="12"/>
                <w:color w:val="auto"/>
              </w:rPr>
            </w:pPr>
          </w:p>
        </w:tc>
        <w:tc>
          <w:tcPr>
            <w:tcW w:w="640" w:type="dxa"/>
            <w:vAlign w:val="bottom"/>
            <w:tcBorders>
              <w:bottom w:val="single" w:sz="8" w:color="auto"/>
            </w:tcBorders>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(47)</w:t>
            </w:r>
          </w:p>
        </w:tc>
        <w:tc>
          <w:tcPr>
            <w:tcW w:w="300" w:type="dxa"/>
            <w:vAlign w:val="bottom"/>
            <w:tcBorders>
              <w:bottom w:val="single" w:sz="8" w:color="auto"/>
            </w:tcBorders>
            <w:shd w:val="clear" w:color="auto" w:fill="E5E5E5"/>
          </w:tcPr>
          <w:p>
            <w:pPr>
              <w:spacing w:after="0"/>
              <w:rPr>
                <w:sz w:val="12"/>
                <w:szCs w:val="12"/>
                <w:color w:val="auto"/>
              </w:rPr>
            </w:pPr>
          </w:p>
        </w:tc>
        <w:tc>
          <w:tcPr>
            <w:tcW w:w="520" w:type="dxa"/>
            <w:vAlign w:val="bottom"/>
            <w:tcBorders>
              <w:bottom w:val="single" w:sz="8" w:color="auto"/>
            </w:tcBorders>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E5E5E5"/>
          </w:tcPr>
          <w:p>
            <w:pPr>
              <w:spacing w:after="0"/>
              <w:rPr>
                <w:sz w:val="12"/>
                <w:szCs w:val="12"/>
                <w:color w:val="auto"/>
              </w:rPr>
            </w:pPr>
          </w:p>
        </w:tc>
        <w:tc>
          <w:tcPr>
            <w:tcW w:w="78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23</w:t>
            </w:r>
          </w:p>
        </w:tc>
        <w:tc>
          <w:tcPr>
            <w:tcW w:w="280" w:type="dxa"/>
            <w:vAlign w:val="bottom"/>
            <w:tcBorders>
              <w:bottom w:val="single" w:sz="8" w:color="auto"/>
            </w:tcBorders>
            <w:shd w:val="clear" w:color="auto" w:fill="E5E5E5"/>
          </w:tcPr>
          <w:p>
            <w:pPr>
              <w:spacing w:after="0"/>
              <w:rPr>
                <w:sz w:val="12"/>
                <w:szCs w:val="12"/>
                <w:color w:val="auto"/>
              </w:rPr>
            </w:pPr>
          </w:p>
        </w:tc>
        <w:tc>
          <w:tcPr>
            <w:tcW w:w="94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(24)</w:t>
            </w:r>
          </w:p>
        </w:tc>
      </w:tr>
      <w:tr>
        <w:trPr>
          <w:trHeight w:val="142"/>
        </w:trPr>
        <w:tc>
          <w:tcPr>
            <w:tcW w:w="20" w:type="dxa"/>
            <w:vAlign w:val="bottom"/>
          </w:tcPr>
          <w:p>
            <w:pPr>
              <w:spacing w:after="0"/>
              <w:rPr>
                <w:sz w:val="12"/>
                <w:szCs w:val="12"/>
                <w:color w:val="auto"/>
              </w:rPr>
            </w:pPr>
          </w:p>
        </w:tc>
        <w:tc>
          <w:tcPr>
            <w:tcW w:w="36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9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55</w:t>
            </w:r>
          </w:p>
        </w:tc>
        <w:tc>
          <w:tcPr>
            <w:tcW w:w="3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(13)</w:t>
            </w: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(35)</w:t>
            </w: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7</w:t>
            </w:r>
          </w:p>
        </w:tc>
      </w:tr>
      <w:tr>
        <w:trPr>
          <w:trHeight w:val="142"/>
        </w:trPr>
        <w:tc>
          <w:tcPr>
            <w:tcW w:w="20" w:type="dxa"/>
            <w:vAlign w:val="bottom"/>
          </w:tcPr>
          <w:p>
            <w:pPr>
              <w:spacing w:after="0"/>
              <w:rPr>
                <w:sz w:val="12"/>
                <w:szCs w:val="12"/>
                <w:color w:val="auto"/>
              </w:rPr>
            </w:pPr>
          </w:p>
        </w:tc>
        <w:tc>
          <w:tcPr>
            <w:tcW w:w="362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Increase (decrease) in cash and cash equivalents</w:t>
            </w:r>
          </w:p>
        </w:tc>
        <w:tc>
          <w:tcPr>
            <w:tcW w:w="98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spacing w:after="0"/>
              <w:rPr>
                <w:sz w:val="12"/>
                <w:szCs w:val="12"/>
                <w:color w:val="auto"/>
              </w:rPr>
            </w:pPr>
          </w:p>
        </w:tc>
        <w:tc>
          <w:tcPr>
            <w:tcW w:w="520" w:type="dxa"/>
            <w:vAlign w:val="bottom"/>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w:t>
            </w:r>
          </w:p>
        </w:tc>
        <w:tc>
          <w:tcPr>
            <w:tcW w:w="38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3,871</w:t>
            </w:r>
          </w:p>
        </w:tc>
        <w:tc>
          <w:tcPr>
            <w:tcW w:w="280" w:type="dxa"/>
            <w:vAlign w:val="bottom"/>
            <w:shd w:val="clear" w:color="auto" w:fill="E5E5E5"/>
          </w:tcPr>
          <w:p>
            <w:pPr>
              <w:spacing w:after="0"/>
              <w:rPr>
                <w:sz w:val="12"/>
                <w:szCs w:val="12"/>
                <w:color w:val="auto"/>
              </w:rPr>
            </w:pPr>
          </w:p>
        </w:tc>
        <w:tc>
          <w:tcPr>
            <w:tcW w:w="940" w:type="dxa"/>
            <w:vAlign w:val="bottom"/>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3,871</w:t>
            </w:r>
          </w:p>
        </w:tc>
      </w:tr>
      <w:tr>
        <w:trPr>
          <w:trHeight w:val="149"/>
        </w:trPr>
        <w:tc>
          <w:tcPr>
            <w:tcW w:w="20" w:type="dxa"/>
            <w:vAlign w:val="bottom"/>
          </w:tcPr>
          <w:p>
            <w:pPr>
              <w:spacing w:after="0"/>
              <w:rPr>
                <w:sz w:val="12"/>
                <w:szCs w:val="12"/>
                <w:color w:val="auto"/>
              </w:rPr>
            </w:pPr>
          </w:p>
        </w:tc>
        <w:tc>
          <w:tcPr>
            <w:tcW w:w="36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9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671</w:t>
            </w: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671</w:t>
            </w:r>
          </w:p>
        </w:tc>
      </w:tr>
      <w:tr>
        <w:trPr>
          <w:trHeight w:val="149"/>
        </w:trPr>
        <w:tc>
          <w:tcPr>
            <w:tcW w:w="20" w:type="dxa"/>
            <w:vAlign w:val="bottom"/>
          </w:tcPr>
          <w:p>
            <w:pPr>
              <w:spacing w:after="0"/>
              <w:rPr>
                <w:sz w:val="12"/>
                <w:szCs w:val="12"/>
                <w:color w:val="auto"/>
              </w:rPr>
            </w:pPr>
          </w:p>
        </w:tc>
        <w:tc>
          <w:tcPr>
            <w:tcW w:w="3620" w:type="dxa"/>
            <w:vAlign w:val="bottom"/>
            <w:tcBorders>
              <w:bottom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Cash and cash equivalents, end of period</w:t>
            </w:r>
          </w:p>
        </w:tc>
        <w:tc>
          <w:tcPr>
            <w:tcW w:w="980" w:type="dxa"/>
            <w:vAlign w:val="bottom"/>
            <w:tcBorders>
              <w:bottom w:val="single" w:sz="8" w:color="auto"/>
            </w:tcBorders>
            <w:shd w:val="clear" w:color="auto" w:fill="E5E5E5"/>
          </w:tcPr>
          <w:p>
            <w:pPr>
              <w:ind w:left="900"/>
              <w:spacing w:after="0" w:line="142" w:lineRule="exact"/>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auto"/>
            </w:tcBorders>
            <w:shd w:val="clear" w:color="auto" w:fill="E5E5E5"/>
          </w:tcPr>
          <w:p>
            <w:pPr>
              <w:jc w:val="right"/>
              <w:ind w:right="192"/>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shd w:val="clear" w:color="auto" w:fill="E5E5E5"/>
          </w:tcPr>
          <w:p>
            <w:pPr>
              <w:ind w:left="200"/>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shd w:val="clear" w:color="auto" w:fill="E5E5E5"/>
          </w:tcPr>
          <w:p>
            <w:pPr>
              <w:jc w:val="right"/>
              <w:ind w:right="19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shd w:val="clear" w:color="auto" w:fill="E5E5E5"/>
          </w:tcPr>
          <w:p>
            <w:pPr>
              <w:ind w:left="200"/>
              <w:spacing w:after="0" w:line="142"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shd w:val="clear" w:color="auto" w:fill="E5E5E5"/>
          </w:tcPr>
          <w:p>
            <w:pPr>
              <w:ind w:left="220"/>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shd w:val="clear" w:color="auto" w:fill="E5E5E5"/>
          </w:tcPr>
          <w:p>
            <w:pPr>
              <w:ind w:left="220"/>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b w:val="1"/>
                <w:bCs w:val="1"/>
                <w:color w:val="auto"/>
              </w:rPr>
              <w:t>4,542</w:t>
            </w:r>
          </w:p>
        </w:tc>
        <w:tc>
          <w:tcPr>
            <w:tcW w:w="28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shd w:val="clear" w:color="auto" w:fill="E5E5E5"/>
          </w:tcPr>
          <w:p>
            <w:pPr>
              <w:ind w:left="220"/>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b w:val="1"/>
                <w:bCs w:val="1"/>
                <w:color w:val="auto"/>
              </w:rPr>
              <w:t>4,542</w:t>
            </w: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right="940"/>
        <w:spacing w:after="0" w:line="261"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8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a leading provider of entertainment, information and communications products and services. On January 28, 2011, we closed our transaction with General Electric Company (“GE”) in which we acquired control of the businesses of NBC Universal, Inc. (now named NBCUniversal Media, LLC (“NBCUniversal”)). As a result of the NBCUniversal transaction, we now present five reportable segments: Cable Communications (previously our Cable segment), Cable Networks, Broadcast Television, Filmed Entertainment and Theme Parks. The operations of our national programming networks (previously presented in our Programming segment), our regional sports and news networks (previously presented in our Cable segment) and our contributed Comcast Interactive Media businesses (previously presented in Corporate and Other) are presented within the Cable Networks segment. The Cable Networks, Broadcast Television, Filmed Entertainment and Theme Parks segments comprise the NBCUniversal businesses and are referred to as the “NBCUniversal segments.” The businesses of Comcast Interactive Media that were not contributed to NBCUniversal are included in our Cable Communications segment. Additional information about the transaction is discussed below under the heading “NBCUniversal Transaction.”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Cable Communications segment is one of the nation’s leading providers of video, high-speed Internet and phone services (“cable services”) to residential and business customers. As of September 30, 2011, our cable systems served approximately 22.4 million video customers, 17.8 million high-speed Internet customers and 9.2 million phone customers and passed more than 52 million homes and businesses in 39 states and the District of Columbia. The results of our cable system operations are reported in our Cable Communications segment, which represented approximately 68% of our consolidated revenue and 84% of our consolidated operating income before depreciation and amortization during the nine months ended September 30, 2011.</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NBCUniversal is a leading media and entertainment company that develops, produces and distributes entertainment, news and information, sports, and other content for global audiences. Our Cable Networks segment consists primarily of our national cable networks, our regional sports and news networks, our international cable networks, our cable television production studio, and certain digital media properties, which consist primarily of brand-aligned and other websites.</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Broadcast Television segment consists primarily of the NBC network and its owned NBC affiliated local television stations, the Telemundo network and its owned Telemundo affiliated local television stations, our broadcast television production operations, and related digital media properties, which consist primarily of brand-aligned websites.</w:t>
      </w:r>
    </w:p>
    <w:p>
      <w:pPr>
        <w:spacing w:after="0" w:line="46" w:lineRule="exact"/>
        <w:rPr>
          <w:sz w:val="20"/>
          <w:szCs w:val="20"/>
          <w:color w:val="auto"/>
        </w:rPr>
      </w:pPr>
    </w:p>
    <w:p>
      <w:pPr>
        <w:jc w:val="both"/>
        <w:ind w:right="20"/>
        <w:spacing w:after="0" w:line="325" w:lineRule="auto"/>
        <w:rPr>
          <w:sz w:val="20"/>
          <w:szCs w:val="20"/>
          <w:color w:val="auto"/>
        </w:rPr>
      </w:pPr>
      <w:r>
        <w:rPr>
          <w:rFonts w:ascii="Arial" w:cs="Arial" w:eastAsia="Arial" w:hAnsi="Arial"/>
          <w:sz w:val="16"/>
          <w:szCs w:val="16"/>
          <w:color w:val="auto"/>
        </w:rPr>
        <w:t>Our Filmed Entertainment segment consists of the operations of Universal Pictures, which produces, acquires, markets and distributes filmed entertainment and stage plays worldwide in various media formats for theatrical, home entertainment, television and other distribution platforms.</w:t>
      </w:r>
    </w:p>
    <w:p>
      <w:pPr>
        <w:spacing w:after="0" w:line="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Theme Parks segment consists primarily of our Universal theme parks in Orlando and Hollywood, our Wet ‘n Wild water park, and fees from intellectual property licenses and other services from third parties that own and operate Universal Studios Japan and Universal Studios Singapore. Through June 30, 2011, NBCUniversal held a 50% equity interest in, and received special and other fees from, Universal City Development Partners, Ltd. (“UCDP”), which owns Universal Studios Florida and Universal’s Islands of Adventure in Orlando, Florida. On July 1, 2011, NBCUniversal completed its acquisition of the remaining 50% equity interest in UCDP that it did not already own for $1 billion. As a result, UCDP is now a wholly owned consolidated subsidiary of NBCUniversal, and the operating results of UCDP are consolidated with our results following the acquisition date.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Developments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more significant developments in our businesses during the nine months ended September 30, 2011:</w:t>
      </w:r>
    </w:p>
    <w:p>
      <w:pPr>
        <w:spacing w:after="0" w:line="77" w:lineRule="exact"/>
        <w:rPr>
          <w:sz w:val="20"/>
          <w:szCs w:val="20"/>
          <w:color w:val="auto"/>
        </w:rPr>
      </w:pPr>
    </w:p>
    <w:p>
      <w:pPr>
        <w:ind w:left="1020" w:right="1260" w:hanging="215"/>
        <w:spacing w:after="0" w:line="268"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close of the NBCUniversal transaction on January 28, 2011; see “NBCUniversal Transaction” below for additional information</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NBCUniversal’s acquisition of the remaining 50% interest in UCDP for $1 billion on July 1, 2011</w:t>
      </w:r>
    </w:p>
    <w:p>
      <w:pPr>
        <w:spacing w:after="0" w:line="76" w:lineRule="exact"/>
        <w:rPr>
          <w:rFonts w:ascii="Arial" w:cs="Arial" w:eastAsia="Arial" w:hAnsi="Arial"/>
          <w:sz w:val="18"/>
          <w:szCs w:val="18"/>
          <w:color w:val="auto"/>
        </w:rPr>
      </w:pPr>
    </w:p>
    <w:p>
      <w:pPr>
        <w:jc w:val="both"/>
        <w:ind w:left="1020" w:right="1240" w:hanging="215"/>
        <w:spacing w:after="0" w:line="259"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in consolidated revenue of 44.6% to $40.8 billion and an increase in consolidated operating income of 30.8% to $7.8 billion; the NBCUniversal acquired businesses contributed $10.1 billion to revenue, $1.6 billion to operating income before depreciation and amortization and $952 million to operating income</w:t>
      </w:r>
    </w:p>
    <w:p>
      <w:pPr>
        <w:spacing w:after="0" w:line="45"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in Cable Communications segment revenue of 5.5% to $27.8 billion and an increase in Cable Communications segment operating income before depreciation and amortization of 7.1% to $11.3 billion</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addition of 823,000 high-speed Internet customers and 586,000 phone customers; and a decrease of 443,000 video customers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in Cable Communications business services revenue of 43.3% to $1.3 billion</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in Cable Communications segment capital expenditures of 4.1% to $3.5 billion</w:t>
      </w:r>
    </w:p>
    <w:p>
      <w:pPr>
        <w:spacing w:after="0" w:line="76"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repurchase of 73 million shares of our Class A Special common stock under our share repurchase authorization for $1.7 billion</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payment of $881 million in dividends</w:t>
      </w:r>
    </w:p>
    <w:p>
      <w:pPr>
        <w:spacing w:after="0" w:line="76" w:lineRule="exact"/>
        <w:rPr>
          <w:rFonts w:ascii="Arial" w:cs="Arial" w:eastAsia="Arial" w:hAnsi="Arial"/>
          <w:sz w:val="18"/>
          <w:szCs w:val="18"/>
          <w:color w:val="auto"/>
        </w:rPr>
      </w:pPr>
    </w:p>
    <w:p>
      <w:pPr>
        <w:jc w:val="both"/>
        <w:ind w:left="1020" w:right="1260" w:hanging="215"/>
        <w:spacing w:after="0" w:line="259"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acceptance by the International Olympic Committee of NBCUniversal’s bid of $4.38 billion in the aggregate for the U.S. broadcast rights for the 2014 Sochi Olympic Games, 2016 Rio de Janeiro Olympic Games, 2018 Pyeongchang Olympic Games and 2020 Summer Olympic Games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Transaction</w:t>
      </w:r>
    </w:p>
    <w:p>
      <w:pPr>
        <w:spacing w:after="0" w:line="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January 28, 2011, we closed our transaction with GE to form a new company named NBCUniversal, LLC (“NBCUniversal Holdings”). We now control and own 51% of NBCUniversal Holdings and GE owns the remaining 49%. As part of the NBCUniversal transaction, GE contributed the businesses of NBCUniversal, which is now a wholly owned subsidiary of NBCUniversal Holdings. The NBCUniversal contributed businesses include its national cable programming networks, the NBC network and its owned NBC affiliated local television stations, the Telemundo network and its owned Telemundo affiliated local television stations, Universal Pictures, the Universal Studios Hollywood theme park, and other related assets. We contributed our national cable programming networks, our regional sports and news networks, certain of our Internet businesses, including DailyCandy and Fandango, and other related assets (the “Comcast Content Business”). In addition to contributing the Comcast Content Business, we made a cash payment to GE of $6.2 billion, which included various transaction-related costs. We expect to receive tax benefits related to the transaction and have agreed to share with GE certain of these future tax benefits as they are realized.</w:t>
      </w:r>
    </w:p>
    <w:p>
      <w:pPr>
        <w:spacing w:after="0" w:line="246"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In connection with the NBCUniversal transaction, during 2010 NBCUniversal issued $9.1 billion of senior debt securities with maturities ranging from 2014 to 2041 and repaid approximately $1.7 billion of existing debt. Prior to the close, NBCUniversal made a cash distribution of approximately $7.4 billion to GE.</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incurred significant transaction costs directly related to the NBCUniversal transaction. The incremental expenses related to legal, accounting and valuation services and investment banking fees are reflected in operating costs and expenses. We also incurred certain financing costs and other shared costs with GE associated with NBCUniversal debt facilities that were entered into in December 2009 and with the issuance of NBCUniversal’s senior notes in 2010, which are included in other income (expense), net and interest expense.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addition, during the three and nine months ended September 30, 2011, NBCUniversal incurred transaction-related costs associated with severance and other related compensation charges, which are included in operating costs and expenses.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transaction costs and transaction-related costs included in our consolidated statement of income.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40" w:type="dxa"/>
            <w:vAlign w:val="bottom"/>
            <w:gridSpan w:val="3"/>
          </w:tcPr>
          <w:p>
            <w:pPr>
              <w:jc w:val="right"/>
              <w:ind w:right="475"/>
              <w:spacing w:after="0"/>
              <w:rPr>
                <w:sz w:val="20"/>
                <w:szCs w:val="20"/>
                <w:color w:val="auto"/>
              </w:rPr>
            </w:pPr>
            <w:r>
              <w:rPr>
                <w:rFonts w:ascii="Arial" w:cs="Arial" w:eastAsia="Arial" w:hAnsi="Arial"/>
                <w:sz w:val="14"/>
                <w:szCs w:val="14"/>
                <w:color w:val="auto"/>
                <w:w w:val="96"/>
              </w:rPr>
              <w:t>Three Months Ended</w:t>
            </w:r>
          </w:p>
        </w:tc>
        <w:tc>
          <w:tcPr>
            <w:tcW w:w="400" w:type="dxa"/>
            <w:vAlign w:val="bottom"/>
          </w:tcPr>
          <w:p>
            <w:pPr>
              <w:spacing w:after="0"/>
              <w:rPr>
                <w:sz w:val="14"/>
                <w:szCs w:val="14"/>
                <w:color w:val="auto"/>
              </w:rPr>
            </w:pPr>
          </w:p>
        </w:tc>
        <w:tc>
          <w:tcPr>
            <w:tcW w:w="1640" w:type="dxa"/>
            <w:vAlign w:val="bottom"/>
            <w:gridSpan w:val="3"/>
          </w:tcPr>
          <w:p>
            <w:pPr>
              <w:jc w:val="right"/>
              <w:ind w:right="295"/>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69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6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7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94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ind w:left="20"/>
              <w:spacing w:after="0" w:line="142" w:lineRule="exact"/>
              <w:rPr>
                <w:sz w:val="20"/>
                <w:szCs w:val="20"/>
                <w:color w:val="auto"/>
              </w:rPr>
            </w:pPr>
            <w:r>
              <w:rPr>
                <w:rFonts w:ascii="Arial" w:cs="Arial" w:eastAsia="Arial" w:hAnsi="Arial"/>
                <w:sz w:val="14"/>
                <w:szCs w:val="14"/>
                <w:color w:val="auto"/>
              </w:rPr>
              <w:t>2011</w:t>
            </w:r>
          </w:p>
        </w:tc>
        <w:tc>
          <w:tcPr>
            <w:tcW w:w="400" w:type="dxa"/>
            <w:vAlign w:val="bottom"/>
          </w:tcPr>
          <w:p>
            <w:pPr>
              <w:spacing w:after="0"/>
              <w:rPr>
                <w:sz w:val="12"/>
                <w:szCs w:val="12"/>
                <w:color w:val="auto"/>
              </w:rPr>
            </w:pPr>
          </w:p>
        </w:tc>
        <w:tc>
          <w:tcPr>
            <w:tcW w:w="720" w:type="dxa"/>
            <w:vAlign w:val="bottom"/>
          </w:tcPr>
          <w:p>
            <w:pPr>
              <w:jc w:val="right"/>
              <w:ind w:right="355"/>
              <w:spacing w:after="0" w:line="142" w:lineRule="exact"/>
              <w:rPr>
                <w:sz w:val="20"/>
                <w:szCs w:val="20"/>
                <w:color w:val="auto"/>
              </w:rPr>
            </w:pPr>
            <w:r>
              <w:rPr>
                <w:rFonts w:ascii="Arial" w:cs="Arial" w:eastAsia="Arial" w:hAnsi="Arial"/>
                <w:sz w:val="14"/>
                <w:szCs w:val="14"/>
                <w:color w:val="auto"/>
                <w:w w:val="83"/>
              </w:rPr>
              <w:t>2010</w:t>
            </w:r>
          </w:p>
        </w:tc>
        <w:tc>
          <w:tcPr>
            <w:tcW w:w="400" w:type="dxa"/>
            <w:vAlign w:val="bottom"/>
          </w:tcPr>
          <w:p>
            <w:pPr>
              <w:spacing w:after="0"/>
              <w:rPr>
                <w:sz w:val="12"/>
                <w:szCs w:val="12"/>
                <w:color w:val="auto"/>
              </w:rPr>
            </w:pPr>
          </w:p>
        </w:tc>
        <w:tc>
          <w:tcPr>
            <w:tcW w:w="720" w:type="dxa"/>
            <w:vAlign w:val="bottom"/>
          </w:tcPr>
          <w:p>
            <w:pPr>
              <w:jc w:val="right"/>
              <w:ind w:right="359"/>
              <w:spacing w:after="0" w:line="142" w:lineRule="exact"/>
              <w:rPr>
                <w:sz w:val="20"/>
                <w:szCs w:val="20"/>
                <w:color w:val="auto"/>
              </w:rPr>
            </w:pPr>
            <w:r>
              <w:rPr>
                <w:rFonts w:ascii="Arial" w:cs="Arial" w:eastAsia="Arial" w:hAnsi="Arial"/>
                <w:sz w:val="14"/>
                <w:szCs w:val="14"/>
                <w:color w:val="auto"/>
                <w:w w:val="83"/>
              </w:rPr>
              <w:t>2011</w:t>
            </w:r>
          </w:p>
        </w:tc>
        <w:tc>
          <w:tcPr>
            <w:tcW w:w="400" w:type="dxa"/>
            <w:vAlign w:val="bottom"/>
          </w:tcPr>
          <w:p>
            <w:pPr>
              <w:spacing w:after="0"/>
              <w:rPr>
                <w:sz w:val="12"/>
                <w:szCs w:val="12"/>
                <w:color w:val="auto"/>
              </w:rPr>
            </w:pPr>
          </w:p>
        </w:tc>
        <w:tc>
          <w:tcPr>
            <w:tcW w:w="520" w:type="dxa"/>
            <w:vAlign w:val="bottom"/>
          </w:tcPr>
          <w:p>
            <w:pPr>
              <w:jc w:val="right"/>
              <w:ind w:right="135"/>
              <w:spacing w:after="0" w:line="142" w:lineRule="exact"/>
              <w:rPr>
                <w:sz w:val="20"/>
                <w:szCs w:val="20"/>
                <w:color w:val="auto"/>
              </w:rPr>
            </w:pPr>
            <w:r>
              <w:rPr>
                <w:rFonts w:ascii="Arial" w:cs="Arial" w:eastAsia="Arial" w:hAnsi="Arial"/>
                <w:sz w:val="14"/>
                <w:szCs w:val="14"/>
                <w:color w:val="auto"/>
                <w:w w:val="89"/>
              </w:rPr>
              <w:t>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Operating costs and expenses</w:t>
            </w:r>
          </w:p>
        </w:tc>
        <w:tc>
          <w:tcPr>
            <w:tcW w:w="60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Arial" w:cs="Arial" w:eastAsia="Arial" w:hAnsi="Arial"/>
                <w:sz w:val="18"/>
                <w:szCs w:val="18"/>
                <w:color w:val="auto"/>
              </w:rPr>
              <w:t>Transaction costs</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24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15"/>
              <w:spacing w:after="0"/>
              <w:rPr>
                <w:sz w:val="20"/>
                <w:szCs w:val="20"/>
                <w:color w:val="auto"/>
              </w:rPr>
            </w:pPr>
            <w:r>
              <w:rPr>
                <w:rFonts w:ascii="Arial" w:cs="Arial" w:eastAsia="Arial" w:hAnsi="Arial"/>
                <w:sz w:val="18"/>
                <w:szCs w:val="18"/>
                <w:color w:val="auto"/>
              </w:rPr>
              <w:t>21</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19"/>
              <w:spacing w:after="0"/>
              <w:rPr>
                <w:sz w:val="20"/>
                <w:szCs w:val="20"/>
                <w:color w:val="auto"/>
              </w:rPr>
            </w:pPr>
            <w:r>
              <w:rPr>
                <w:rFonts w:ascii="Arial" w:cs="Arial" w:eastAsia="Arial" w:hAnsi="Arial"/>
                <w:sz w:val="18"/>
                <w:szCs w:val="18"/>
                <w:color w:val="auto"/>
              </w:rPr>
              <w:t>63</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5"/>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Transaction-related costs</w:t>
            </w:r>
          </w:p>
        </w:tc>
        <w:tc>
          <w:tcPr>
            <w:tcW w:w="6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rPr>
              <w:t>14</w:t>
            </w:r>
          </w:p>
        </w:tc>
        <w:tc>
          <w:tcPr>
            <w:tcW w:w="4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219"/>
              <w:spacing w:after="0"/>
              <w:rPr>
                <w:sz w:val="20"/>
                <w:szCs w:val="20"/>
                <w:color w:val="auto"/>
              </w:rPr>
            </w:pPr>
            <w:r>
              <w:rPr>
                <w:rFonts w:ascii="Arial" w:cs="Arial" w:eastAsia="Arial" w:hAnsi="Arial"/>
                <w:sz w:val="18"/>
                <w:szCs w:val="18"/>
                <w:color w:val="auto"/>
              </w:rPr>
              <w:t>64</w:t>
            </w:r>
          </w:p>
        </w:tc>
        <w:tc>
          <w:tcPr>
            <w:tcW w:w="4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Total operating costs and expenses</w:t>
            </w:r>
          </w:p>
        </w:tc>
        <w:tc>
          <w:tcPr>
            <w:tcW w:w="600" w:type="dxa"/>
            <w:vAlign w:val="bottom"/>
          </w:tcPr>
          <w:p>
            <w:pPr>
              <w:spacing w:after="0"/>
              <w:rPr>
                <w:sz w:val="18"/>
                <w:szCs w:val="18"/>
                <w:color w:val="auto"/>
              </w:rPr>
            </w:pPr>
          </w:p>
        </w:tc>
        <w:tc>
          <w:tcPr>
            <w:tcW w:w="720" w:type="dxa"/>
            <w:vAlign w:val="bottom"/>
          </w:tcPr>
          <w:p>
            <w:pPr>
              <w:ind w:left="240"/>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8"/>
                <w:szCs w:val="18"/>
                <w:color w:val="auto"/>
              </w:rPr>
            </w:pPr>
          </w:p>
        </w:tc>
        <w:tc>
          <w:tcPr>
            <w:tcW w:w="720" w:type="dxa"/>
            <w:vAlign w:val="bottom"/>
          </w:tcPr>
          <w:p>
            <w:pPr>
              <w:jc w:val="right"/>
              <w:ind w:right="215"/>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Arial" w:cs="Arial" w:eastAsia="Arial" w:hAnsi="Arial"/>
                <w:sz w:val="18"/>
                <w:szCs w:val="18"/>
                <w:color w:val="auto"/>
              </w:rPr>
              <w:t>127</w:t>
            </w:r>
          </w:p>
        </w:tc>
        <w:tc>
          <w:tcPr>
            <w:tcW w:w="400" w:type="dxa"/>
            <w:vAlign w:val="bottom"/>
          </w:tcPr>
          <w:p>
            <w:pPr>
              <w:spacing w:after="0"/>
              <w:rPr>
                <w:sz w:val="18"/>
                <w:szCs w:val="18"/>
                <w:color w:val="auto"/>
              </w:rPr>
            </w:pPr>
          </w:p>
        </w:tc>
        <w:tc>
          <w:tcPr>
            <w:tcW w:w="520" w:type="dxa"/>
            <w:vAlign w:val="bottom"/>
          </w:tcPr>
          <w:p>
            <w:pPr>
              <w:jc w:val="right"/>
              <w:ind w:right="15"/>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E5E5E5"/>
          </w:tcPr>
          <w:p>
            <w:pPr>
              <w:spacing w:after="0"/>
              <w:rPr>
                <w:sz w:val="20"/>
                <w:szCs w:val="20"/>
                <w:color w:val="auto"/>
              </w:rPr>
            </w:pPr>
            <w:r>
              <w:rPr>
                <w:rFonts w:ascii="Arial" w:cs="Arial" w:eastAsia="Arial" w:hAnsi="Arial"/>
                <w:sz w:val="18"/>
                <w:szCs w:val="18"/>
                <w:color w:val="auto"/>
              </w:rPr>
              <w:t>Other expense</w:t>
            </w:r>
          </w:p>
        </w:tc>
        <w:tc>
          <w:tcPr>
            <w:tcW w:w="600" w:type="dxa"/>
            <w:vAlign w:val="bottom"/>
            <w:shd w:val="clear" w:color="auto" w:fill="E5E5E5"/>
          </w:tcPr>
          <w:p>
            <w:pPr>
              <w:spacing w:after="0"/>
              <w:rPr>
                <w:sz w:val="18"/>
                <w:szCs w:val="18"/>
                <w:color w:val="auto"/>
              </w:rPr>
            </w:pPr>
          </w:p>
        </w:tc>
        <w:tc>
          <w:tcPr>
            <w:tcW w:w="72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15"/>
              <w:spacing w:after="0"/>
              <w:rPr>
                <w:sz w:val="20"/>
                <w:szCs w:val="20"/>
                <w:color w:val="auto"/>
              </w:rPr>
            </w:pPr>
            <w:r>
              <w:rPr>
                <w:rFonts w:ascii="Arial" w:cs="Arial" w:eastAsia="Arial" w:hAnsi="Arial"/>
                <w:sz w:val="18"/>
                <w:szCs w:val="18"/>
                <w:color w:val="auto"/>
              </w:rPr>
              <w:t>43</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19"/>
              <w:spacing w:after="0"/>
              <w:rPr>
                <w:sz w:val="20"/>
                <w:szCs w:val="20"/>
                <w:color w:val="auto"/>
              </w:rPr>
            </w:pPr>
            <w:r>
              <w:rPr>
                <w:rFonts w:ascii="Arial" w:cs="Arial" w:eastAsia="Arial" w:hAnsi="Arial"/>
                <w:sz w:val="18"/>
                <w:szCs w:val="18"/>
                <w:color w:val="auto"/>
              </w:rPr>
              <w:t>16</w:t>
            </w:r>
          </w:p>
        </w:tc>
        <w:tc>
          <w:tcPr>
            <w:tcW w:w="4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6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2</w:t>
            </w: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14</w:t>
            </w: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b w:val="1"/>
                <w:bCs w:val="1"/>
                <w:color w:val="auto"/>
              </w:rPr>
              <w:t>66</w:t>
            </w: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219"/>
              <w:spacing w:after="0"/>
              <w:rPr>
                <w:sz w:val="20"/>
                <w:szCs w:val="20"/>
                <w:color w:val="auto"/>
              </w:rPr>
            </w:pPr>
            <w:r>
              <w:rPr>
                <w:rFonts w:ascii="Arial" w:cs="Arial" w:eastAsia="Arial" w:hAnsi="Arial"/>
                <w:sz w:val="18"/>
                <w:szCs w:val="18"/>
                <w:b w:val="1"/>
                <w:bCs w:val="1"/>
                <w:color w:val="auto"/>
              </w:rPr>
              <w:t>143</w:t>
            </w: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154</w:t>
            </w: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Because we now control NBCUniversal Holdings, we have applied acquisition accounting to the NBCUniversal contributed businesses and their results of operations are included in our consolidated results of operations following the acquisition date. The net assets of the NBCUniversal contributed businesses were recorded at their estimated fair value. In valuing acquired assets and liabilities, fair value estimates are based on, but are not limited to, future expected cash flows, market rate assumptions for contractual obligations, actuarial assumptions for benefit plans and appropriate discount rates. The Comcast Content Business continues at its historical or carry-over basis. The acquisition adjustments significantly impact depreciation and amortization expense and also impact the amortization of film and television costs, which is included in operating costs and expenses.</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80" w:type="dxa"/>
            <w:vAlign w:val="bottom"/>
            <w:gridSpan w:val="3"/>
          </w:tcPr>
          <w:p>
            <w:pPr>
              <w:jc w:val="right"/>
              <w:ind w:right="354"/>
              <w:spacing w:after="0"/>
              <w:rPr>
                <w:sz w:val="20"/>
                <w:szCs w:val="20"/>
                <w:color w:val="auto"/>
              </w:rPr>
            </w:pPr>
            <w:r>
              <w:rPr>
                <w:rFonts w:ascii="Arial" w:cs="Arial" w:eastAsia="Arial" w:hAnsi="Arial"/>
                <w:sz w:val="14"/>
                <w:szCs w:val="14"/>
                <w:color w:val="auto"/>
                <w:w w:val="93"/>
              </w:rPr>
              <w:t>Three Months Ended</w:t>
            </w:r>
          </w:p>
        </w:tc>
        <w:tc>
          <w:tcPr>
            <w:tcW w:w="1100" w:type="dxa"/>
            <w:vAlign w:val="bottom"/>
          </w:tcPr>
          <w:p>
            <w:pPr>
              <w:jc w:val="right"/>
              <w:ind w:right="315"/>
              <w:spacing w:after="0"/>
              <w:rPr>
                <w:sz w:val="20"/>
                <w:szCs w:val="20"/>
                <w:color w:val="auto"/>
              </w:rPr>
            </w:pPr>
            <w:r>
              <w:rPr>
                <w:rFonts w:ascii="Arial" w:cs="Arial" w:eastAsia="Arial" w:hAnsi="Arial"/>
                <w:sz w:val="14"/>
                <w:szCs w:val="14"/>
                <w:color w:val="auto"/>
              </w:rPr>
              <w:t>Increase/</w:t>
            </w:r>
          </w:p>
        </w:tc>
        <w:tc>
          <w:tcPr>
            <w:tcW w:w="280" w:type="dxa"/>
            <w:vAlign w:val="bottom"/>
          </w:tcPr>
          <w:p>
            <w:pPr>
              <w:spacing w:after="0"/>
              <w:rPr>
                <w:sz w:val="14"/>
                <w:szCs w:val="14"/>
                <w:color w:val="auto"/>
              </w:rPr>
            </w:pPr>
          </w:p>
        </w:tc>
        <w:tc>
          <w:tcPr>
            <w:tcW w:w="1700" w:type="dxa"/>
            <w:vAlign w:val="bottom"/>
            <w:gridSpan w:val="3"/>
          </w:tcPr>
          <w:p>
            <w:pPr>
              <w:jc w:val="right"/>
              <w:ind w:right="374"/>
              <w:spacing w:after="0"/>
              <w:rPr>
                <w:sz w:val="20"/>
                <w:szCs w:val="20"/>
                <w:color w:val="auto"/>
              </w:rPr>
            </w:pPr>
            <w:r>
              <w:rPr>
                <w:rFonts w:ascii="Arial" w:cs="Arial" w:eastAsia="Arial" w:hAnsi="Arial"/>
                <w:sz w:val="14"/>
                <w:szCs w:val="14"/>
                <w:color w:val="auto"/>
                <w:w w:val="99"/>
              </w:rPr>
              <w:t>Nine Months Ended</w:t>
            </w:r>
          </w:p>
        </w:tc>
        <w:tc>
          <w:tcPr>
            <w:tcW w:w="1000" w:type="dxa"/>
            <w:vAlign w:val="bottom"/>
          </w:tcPr>
          <w:p>
            <w:pPr>
              <w:jc w:val="right"/>
              <w:ind w:right="195"/>
              <w:spacing w:after="0"/>
              <w:rPr>
                <w:sz w:val="20"/>
                <w:szCs w:val="20"/>
                <w:color w:val="auto"/>
              </w:rPr>
            </w:pPr>
            <w:r>
              <w:rPr>
                <w:rFonts w:ascii="Arial" w:cs="Arial" w:eastAsia="Arial" w:hAnsi="Arial"/>
                <w:sz w:val="14"/>
                <w:szCs w:val="14"/>
                <w:color w:val="auto"/>
              </w:rPr>
              <w:t>Increase/</w:t>
            </w:r>
          </w:p>
        </w:tc>
      </w:tr>
      <w:tr>
        <w:trPr>
          <w:trHeight w:val="159"/>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right"/>
              <w:ind w:right="554"/>
              <w:spacing w:after="0" w:line="159" w:lineRule="exact"/>
              <w:rPr>
                <w:sz w:val="20"/>
                <w:szCs w:val="20"/>
                <w:color w:val="auto"/>
              </w:rPr>
            </w:pPr>
            <w:r>
              <w:rPr>
                <w:rFonts w:ascii="Arial" w:cs="Arial" w:eastAsia="Arial" w:hAnsi="Arial"/>
                <w:sz w:val="14"/>
                <w:szCs w:val="14"/>
                <w:color w:val="auto"/>
              </w:rPr>
              <w:t>September 30</w:t>
            </w:r>
          </w:p>
        </w:tc>
        <w:tc>
          <w:tcPr>
            <w:tcW w:w="1100" w:type="dxa"/>
            <w:vAlign w:val="bottom"/>
            <w:tcBorders>
              <w:bottom w:val="single" w:sz="8" w:color="auto"/>
            </w:tcBorders>
          </w:tcPr>
          <w:p>
            <w:pPr>
              <w:jc w:val="right"/>
              <w:ind w:right="255"/>
              <w:spacing w:after="0" w:line="159" w:lineRule="exact"/>
              <w:rPr>
                <w:sz w:val="20"/>
                <w:szCs w:val="20"/>
                <w:color w:val="auto"/>
              </w:rPr>
            </w:pPr>
            <w:r>
              <w:rPr>
                <w:rFonts w:ascii="Arial" w:cs="Arial" w:eastAsia="Arial" w:hAnsi="Arial"/>
                <w:sz w:val="14"/>
                <w:szCs w:val="14"/>
                <w:color w:val="auto"/>
              </w:rPr>
              <w:t>(Decrease)</w:t>
            </w:r>
          </w:p>
        </w:tc>
        <w:tc>
          <w:tcPr>
            <w:tcW w:w="2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jc w:val="right"/>
              <w:ind w:right="554"/>
              <w:spacing w:after="0" w:line="159" w:lineRule="exact"/>
              <w:rPr>
                <w:sz w:val="20"/>
                <w:szCs w:val="20"/>
                <w:color w:val="auto"/>
              </w:rPr>
            </w:pPr>
            <w:r>
              <w:rPr>
                <w:rFonts w:ascii="Arial" w:cs="Arial" w:eastAsia="Arial" w:hAnsi="Arial"/>
                <w:sz w:val="14"/>
                <w:szCs w:val="14"/>
                <w:color w:val="auto"/>
              </w:rPr>
              <w:t>September 30</w:t>
            </w:r>
          </w:p>
        </w:tc>
        <w:tc>
          <w:tcPr>
            <w:tcW w:w="1000" w:type="dxa"/>
            <w:vAlign w:val="bottom"/>
            <w:tcBorders>
              <w:bottom w:val="single" w:sz="8" w:color="auto"/>
            </w:tcBorders>
          </w:tcPr>
          <w:p>
            <w:pPr>
              <w:jc w:val="right"/>
              <w:ind w:right="155"/>
              <w:spacing w:after="0" w:line="159" w:lineRule="exact"/>
              <w:rPr>
                <w:sz w:val="20"/>
                <w:szCs w:val="20"/>
                <w:color w:val="auto"/>
              </w:rPr>
            </w:pPr>
            <w:r>
              <w:rPr>
                <w:rFonts w:ascii="Arial" w:cs="Arial" w:eastAsia="Arial" w:hAnsi="Arial"/>
                <w:sz w:val="14"/>
                <w:szCs w:val="14"/>
                <w:color w:val="auto"/>
              </w:rPr>
              <w:t>(Decrease)</w:t>
            </w:r>
          </w:p>
        </w:tc>
      </w:tr>
      <w:tr>
        <w:trPr>
          <w:trHeight w:val="237"/>
        </w:trPr>
        <w:tc>
          <w:tcPr>
            <w:tcW w:w="52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20"/>
                <w:szCs w:val="20"/>
                <w:color w:val="auto"/>
              </w:rPr>
            </w:pPr>
          </w:p>
        </w:tc>
        <w:tc>
          <w:tcPr>
            <w:tcW w:w="720" w:type="dxa"/>
            <w:vAlign w:val="bottom"/>
          </w:tcPr>
          <w:p>
            <w:pPr>
              <w:jc w:val="right"/>
              <w:ind w:right="297"/>
              <w:spacing w:after="0"/>
              <w:rPr>
                <w:sz w:val="20"/>
                <w:szCs w:val="20"/>
                <w:color w:val="auto"/>
              </w:rPr>
            </w:pPr>
            <w:r>
              <w:rPr>
                <w:rFonts w:ascii="Arial" w:cs="Arial" w:eastAsia="Arial" w:hAnsi="Arial"/>
                <w:sz w:val="14"/>
                <w:szCs w:val="14"/>
                <w:color w:val="auto"/>
              </w:rPr>
              <w:t>2011</w:t>
            </w:r>
          </w:p>
        </w:tc>
        <w:tc>
          <w:tcPr>
            <w:tcW w:w="280" w:type="dxa"/>
            <w:vAlign w:val="bottom"/>
          </w:tcPr>
          <w:p>
            <w:pPr>
              <w:spacing w:after="0"/>
              <w:rPr>
                <w:sz w:val="20"/>
                <w:szCs w:val="20"/>
                <w:color w:val="auto"/>
              </w:rPr>
            </w:pPr>
          </w:p>
        </w:tc>
        <w:tc>
          <w:tcPr>
            <w:tcW w:w="680" w:type="dxa"/>
            <w:vAlign w:val="bottom"/>
          </w:tcPr>
          <w:p>
            <w:pPr>
              <w:jc w:val="right"/>
              <w:ind w:right="294"/>
              <w:spacing w:after="0"/>
              <w:rPr>
                <w:sz w:val="20"/>
                <w:szCs w:val="20"/>
                <w:color w:val="auto"/>
              </w:rPr>
            </w:pPr>
            <w:r>
              <w:rPr>
                <w:rFonts w:ascii="Arial" w:cs="Arial" w:eastAsia="Arial" w:hAnsi="Arial"/>
                <w:sz w:val="14"/>
                <w:szCs w:val="14"/>
                <w:color w:val="auto"/>
                <w:w w:val="89"/>
              </w:rPr>
              <w:t>2010</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317"/>
              <w:spacing w:after="0"/>
              <w:rPr>
                <w:sz w:val="20"/>
                <w:szCs w:val="20"/>
                <w:color w:val="auto"/>
              </w:rPr>
            </w:pPr>
            <w:r>
              <w:rPr>
                <w:rFonts w:ascii="Arial" w:cs="Arial" w:eastAsia="Arial" w:hAnsi="Arial"/>
                <w:sz w:val="14"/>
                <w:szCs w:val="14"/>
                <w:color w:val="auto"/>
                <w:w w:val="96"/>
              </w:rPr>
              <w:t>2011</w:t>
            </w:r>
          </w:p>
        </w:tc>
        <w:tc>
          <w:tcPr>
            <w:tcW w:w="260" w:type="dxa"/>
            <w:vAlign w:val="bottom"/>
          </w:tcPr>
          <w:p>
            <w:pPr>
              <w:spacing w:after="0"/>
              <w:rPr>
                <w:sz w:val="20"/>
                <w:szCs w:val="20"/>
                <w:color w:val="auto"/>
              </w:rPr>
            </w:pPr>
          </w:p>
        </w:tc>
        <w:tc>
          <w:tcPr>
            <w:tcW w:w="720" w:type="dxa"/>
            <w:vAlign w:val="bottom"/>
          </w:tcPr>
          <w:p>
            <w:pPr>
              <w:jc w:val="right"/>
              <w:ind w:right="294"/>
              <w:spacing w:after="0"/>
              <w:rPr>
                <w:sz w:val="20"/>
                <w:szCs w:val="20"/>
                <w:color w:val="auto"/>
              </w:rPr>
            </w:pPr>
            <w:r>
              <w:rPr>
                <w:rFonts w:ascii="Arial" w:cs="Arial" w:eastAsia="Arial" w:hAnsi="Arial"/>
                <w:sz w:val="14"/>
                <w:szCs w:val="14"/>
                <w:color w:val="auto"/>
              </w:rPr>
              <w:t>2010</w:t>
            </w:r>
          </w:p>
        </w:tc>
        <w:tc>
          <w:tcPr>
            <w:tcW w:w="10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3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w w:val="87"/>
              </w:rPr>
              <w:t>14,339</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w w:val="93"/>
              </w:rPr>
              <w:t>9,489</w:t>
            </w:r>
          </w:p>
        </w:tc>
        <w:tc>
          <w:tcPr>
            <w:tcW w:w="1100" w:type="dxa"/>
            <w:vAlign w:val="bottom"/>
            <w:tcBorders>
              <w:top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51.1%</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w w:val="83"/>
              </w:rPr>
              <w:t>40,800</w:t>
            </w:r>
          </w:p>
        </w:tc>
        <w:tc>
          <w:tcPr>
            <w:tcW w:w="2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w w:val="87"/>
              </w:rPr>
              <w:t>28,216</w:t>
            </w:r>
          </w:p>
        </w:tc>
        <w:tc>
          <w:tcPr>
            <w:tcW w:w="10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44.6%</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Costs and Expenses:</w:t>
            </w: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Operating costs and expenses</w:t>
            </w:r>
          </w:p>
        </w:tc>
        <w:tc>
          <w:tcPr>
            <w:tcW w:w="3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9,765</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w w:val="93"/>
              </w:rPr>
              <w:t>5,911</w:t>
            </w:r>
          </w:p>
        </w:tc>
        <w:tc>
          <w:tcPr>
            <w:tcW w:w="110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rPr>
              <w:t>65.2</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w w:val="83"/>
              </w:rPr>
              <w:t>27,359</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w w:val="87"/>
              </w:rPr>
              <w:t>17,336</w:t>
            </w:r>
          </w:p>
        </w:tc>
        <w:tc>
          <w:tcPr>
            <w:tcW w:w="100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57.8</w:t>
            </w: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380" w:type="dxa"/>
            <w:vAlign w:val="bottom"/>
          </w:tcPr>
          <w:p>
            <w:pPr>
              <w:spacing w:after="0"/>
              <w:rPr>
                <w:sz w:val="18"/>
                <w:szCs w:val="18"/>
                <w:color w:val="auto"/>
              </w:rPr>
            </w:pPr>
          </w:p>
        </w:tc>
        <w:tc>
          <w:tcPr>
            <w:tcW w:w="720" w:type="dxa"/>
            <w:vAlign w:val="bottom"/>
          </w:tcPr>
          <w:p>
            <w:pPr>
              <w:jc w:val="right"/>
              <w:ind w:right="137"/>
              <w:spacing w:after="0"/>
              <w:rPr>
                <w:sz w:val="20"/>
                <w:szCs w:val="20"/>
                <w:color w:val="auto"/>
              </w:rPr>
            </w:pPr>
            <w:r>
              <w:rPr>
                <w:rFonts w:ascii="Arial" w:cs="Arial" w:eastAsia="Arial" w:hAnsi="Arial"/>
                <w:sz w:val="18"/>
                <w:szCs w:val="18"/>
                <w:color w:val="auto"/>
              </w:rPr>
              <w:t>1,540</w:t>
            </w:r>
          </w:p>
        </w:tc>
        <w:tc>
          <w:tcPr>
            <w:tcW w:w="280" w:type="dxa"/>
            <w:vAlign w:val="bottom"/>
          </w:tcPr>
          <w:p>
            <w:pPr>
              <w:spacing w:after="0"/>
              <w:rPr>
                <w:sz w:val="18"/>
                <w:szCs w:val="18"/>
                <w:color w:val="auto"/>
              </w:rPr>
            </w:pPr>
          </w:p>
        </w:tc>
        <w:tc>
          <w:tcPr>
            <w:tcW w:w="680" w:type="dxa"/>
            <w:vAlign w:val="bottom"/>
          </w:tcPr>
          <w:p>
            <w:pPr>
              <w:jc w:val="right"/>
              <w:ind w:right="154"/>
              <w:spacing w:after="0"/>
              <w:rPr>
                <w:sz w:val="20"/>
                <w:szCs w:val="20"/>
                <w:color w:val="auto"/>
              </w:rPr>
            </w:pPr>
            <w:r>
              <w:rPr>
                <w:rFonts w:ascii="Arial" w:cs="Arial" w:eastAsia="Arial" w:hAnsi="Arial"/>
                <w:sz w:val="18"/>
                <w:szCs w:val="18"/>
                <w:color w:val="auto"/>
                <w:w w:val="93"/>
              </w:rPr>
              <w:t>1,377</w:t>
            </w:r>
          </w:p>
        </w:tc>
        <w:tc>
          <w:tcPr>
            <w:tcW w:w="1100" w:type="dxa"/>
            <w:vAlign w:val="bottom"/>
          </w:tcPr>
          <w:p>
            <w:pPr>
              <w:jc w:val="right"/>
              <w:ind w:right="255"/>
              <w:spacing w:after="0"/>
              <w:rPr>
                <w:sz w:val="20"/>
                <w:szCs w:val="20"/>
                <w:color w:val="auto"/>
              </w:rPr>
            </w:pPr>
            <w:r>
              <w:rPr>
                <w:rFonts w:ascii="Arial" w:cs="Arial" w:eastAsia="Arial" w:hAnsi="Arial"/>
                <w:sz w:val="18"/>
                <w:szCs w:val="18"/>
                <w:color w:val="auto"/>
              </w:rPr>
              <w:t>11.9</w:t>
            </w:r>
          </w:p>
        </w:tc>
        <w:tc>
          <w:tcPr>
            <w:tcW w:w="280" w:type="dxa"/>
            <w:vAlign w:val="bottom"/>
          </w:tcPr>
          <w:p>
            <w:pPr>
              <w:spacing w:after="0"/>
              <w:rPr>
                <w:sz w:val="18"/>
                <w:szCs w:val="18"/>
                <w:color w:val="auto"/>
              </w:rPr>
            </w:pPr>
          </w:p>
        </w:tc>
        <w:tc>
          <w:tcPr>
            <w:tcW w:w="720" w:type="dxa"/>
            <w:vAlign w:val="bottom"/>
          </w:tcPr>
          <w:p>
            <w:pPr>
              <w:jc w:val="right"/>
              <w:ind w:right="157"/>
              <w:spacing w:after="0"/>
              <w:rPr>
                <w:sz w:val="20"/>
                <w:szCs w:val="20"/>
                <w:color w:val="auto"/>
              </w:rPr>
            </w:pPr>
            <w:r>
              <w:rPr>
                <w:rFonts w:ascii="Arial" w:cs="Arial" w:eastAsia="Arial" w:hAnsi="Arial"/>
                <w:sz w:val="18"/>
                <w:szCs w:val="18"/>
                <w:color w:val="auto"/>
              </w:rPr>
              <w:t>4,504</w:t>
            </w:r>
          </w:p>
        </w:tc>
        <w:tc>
          <w:tcPr>
            <w:tcW w:w="260" w:type="dxa"/>
            <w:vAlign w:val="bottom"/>
          </w:tcPr>
          <w:p>
            <w:pPr>
              <w:spacing w:after="0"/>
              <w:rPr>
                <w:sz w:val="18"/>
                <w:szCs w:val="18"/>
                <w:color w:val="auto"/>
              </w:rPr>
            </w:pPr>
          </w:p>
        </w:tc>
        <w:tc>
          <w:tcPr>
            <w:tcW w:w="720" w:type="dxa"/>
            <w:vAlign w:val="bottom"/>
          </w:tcPr>
          <w:p>
            <w:pPr>
              <w:jc w:val="right"/>
              <w:ind w:right="134"/>
              <w:spacing w:after="0"/>
              <w:rPr>
                <w:sz w:val="20"/>
                <w:szCs w:val="20"/>
                <w:color w:val="auto"/>
              </w:rPr>
            </w:pPr>
            <w:r>
              <w:rPr>
                <w:rFonts w:ascii="Arial" w:cs="Arial" w:eastAsia="Arial" w:hAnsi="Arial"/>
                <w:sz w:val="18"/>
                <w:szCs w:val="18"/>
                <w:color w:val="auto"/>
              </w:rPr>
              <w:t>4,167</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8.1</w:t>
            </w:r>
          </w:p>
        </w:tc>
      </w:tr>
      <w:tr>
        <w:trPr>
          <w:trHeight w:val="216"/>
        </w:trPr>
        <w:tc>
          <w:tcPr>
            <w:tcW w:w="20" w:type="dxa"/>
            <w:vAlign w:val="bottom"/>
          </w:tcPr>
          <w:p>
            <w:pPr>
              <w:spacing w:after="0"/>
              <w:rPr>
                <w:sz w:val="18"/>
                <w:szCs w:val="18"/>
                <w:color w:val="auto"/>
              </w:rPr>
            </w:pPr>
          </w:p>
        </w:tc>
        <w:tc>
          <w:tcPr>
            <w:tcW w:w="52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3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393</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247</w:t>
            </w:r>
          </w:p>
        </w:tc>
        <w:tc>
          <w:tcPr>
            <w:tcW w:w="1100" w:type="dxa"/>
            <w:vAlign w:val="bottom"/>
            <w:tcBorders>
              <w:bottom w:val="single" w:sz="8" w:color="auto"/>
            </w:tcBorders>
            <w:shd w:val="clear" w:color="auto" w:fill="E5E5E5"/>
          </w:tcPr>
          <w:p>
            <w:pPr>
              <w:jc w:val="right"/>
              <w:ind w:right="255"/>
              <w:spacing w:after="0"/>
              <w:rPr>
                <w:sz w:val="20"/>
                <w:szCs w:val="20"/>
                <w:color w:val="auto"/>
              </w:rPr>
            </w:pPr>
            <w:r>
              <w:rPr>
                <w:rFonts w:ascii="Arial" w:cs="Arial" w:eastAsia="Arial" w:hAnsi="Arial"/>
                <w:sz w:val="18"/>
                <w:szCs w:val="18"/>
                <w:color w:val="auto"/>
              </w:rPr>
              <w:t>58.9</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rPr>
              <w:t>1,134</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746</w:t>
            </w:r>
          </w:p>
        </w:tc>
        <w:tc>
          <w:tcPr>
            <w:tcW w:w="100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52.1</w:t>
            </w:r>
          </w:p>
        </w:tc>
      </w:tr>
      <w:tr>
        <w:trPr>
          <w:trHeight w:val="210"/>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380" w:type="dxa"/>
            <w:vAlign w:val="bottom"/>
          </w:tcPr>
          <w:p>
            <w:pPr>
              <w:spacing w:after="0"/>
              <w:rPr>
                <w:sz w:val="18"/>
                <w:szCs w:val="18"/>
                <w:color w:val="auto"/>
              </w:rPr>
            </w:pPr>
          </w:p>
        </w:tc>
        <w:tc>
          <w:tcPr>
            <w:tcW w:w="720" w:type="dxa"/>
            <w:vAlign w:val="bottom"/>
          </w:tcPr>
          <w:p>
            <w:pPr>
              <w:jc w:val="right"/>
              <w:ind w:right="137"/>
              <w:spacing w:after="0"/>
              <w:rPr>
                <w:sz w:val="20"/>
                <w:szCs w:val="20"/>
                <w:color w:val="auto"/>
              </w:rPr>
            </w:pPr>
            <w:r>
              <w:rPr>
                <w:rFonts w:ascii="Arial" w:cs="Arial" w:eastAsia="Arial" w:hAnsi="Arial"/>
                <w:sz w:val="18"/>
                <w:szCs w:val="18"/>
                <w:color w:val="auto"/>
              </w:rPr>
              <w:t>2,641</w:t>
            </w:r>
          </w:p>
        </w:tc>
        <w:tc>
          <w:tcPr>
            <w:tcW w:w="280" w:type="dxa"/>
            <w:vAlign w:val="bottom"/>
          </w:tcPr>
          <w:p>
            <w:pPr>
              <w:spacing w:after="0"/>
              <w:rPr>
                <w:sz w:val="18"/>
                <w:szCs w:val="18"/>
                <w:color w:val="auto"/>
              </w:rPr>
            </w:pPr>
          </w:p>
        </w:tc>
        <w:tc>
          <w:tcPr>
            <w:tcW w:w="680" w:type="dxa"/>
            <w:vAlign w:val="bottom"/>
          </w:tcPr>
          <w:p>
            <w:pPr>
              <w:jc w:val="right"/>
              <w:ind w:right="154"/>
              <w:spacing w:after="0"/>
              <w:rPr>
                <w:sz w:val="20"/>
                <w:szCs w:val="20"/>
                <w:color w:val="auto"/>
              </w:rPr>
            </w:pPr>
            <w:r>
              <w:rPr>
                <w:rFonts w:ascii="Arial" w:cs="Arial" w:eastAsia="Arial" w:hAnsi="Arial"/>
                <w:sz w:val="18"/>
                <w:szCs w:val="18"/>
                <w:color w:val="auto"/>
                <w:w w:val="93"/>
              </w:rPr>
              <w:t>1,954</w:t>
            </w:r>
          </w:p>
        </w:tc>
        <w:tc>
          <w:tcPr>
            <w:tcW w:w="1100" w:type="dxa"/>
            <w:vAlign w:val="bottom"/>
          </w:tcPr>
          <w:p>
            <w:pPr>
              <w:jc w:val="right"/>
              <w:ind w:right="255"/>
              <w:spacing w:after="0"/>
              <w:rPr>
                <w:sz w:val="20"/>
                <w:szCs w:val="20"/>
                <w:color w:val="auto"/>
              </w:rPr>
            </w:pPr>
            <w:r>
              <w:rPr>
                <w:rFonts w:ascii="Arial" w:cs="Arial" w:eastAsia="Arial" w:hAnsi="Arial"/>
                <w:sz w:val="18"/>
                <w:szCs w:val="18"/>
                <w:color w:val="auto"/>
              </w:rPr>
              <w:t>35.1</w:t>
            </w:r>
          </w:p>
        </w:tc>
        <w:tc>
          <w:tcPr>
            <w:tcW w:w="280" w:type="dxa"/>
            <w:vAlign w:val="bottom"/>
          </w:tcPr>
          <w:p>
            <w:pPr>
              <w:spacing w:after="0"/>
              <w:rPr>
                <w:sz w:val="18"/>
                <w:szCs w:val="18"/>
                <w:color w:val="auto"/>
              </w:rPr>
            </w:pPr>
          </w:p>
        </w:tc>
        <w:tc>
          <w:tcPr>
            <w:tcW w:w="720" w:type="dxa"/>
            <w:vAlign w:val="bottom"/>
          </w:tcPr>
          <w:p>
            <w:pPr>
              <w:jc w:val="right"/>
              <w:ind w:right="157"/>
              <w:spacing w:after="0"/>
              <w:rPr>
                <w:sz w:val="20"/>
                <w:szCs w:val="20"/>
                <w:color w:val="auto"/>
              </w:rPr>
            </w:pPr>
            <w:r>
              <w:rPr>
                <w:rFonts w:ascii="Arial" w:cs="Arial" w:eastAsia="Arial" w:hAnsi="Arial"/>
                <w:sz w:val="18"/>
                <w:szCs w:val="18"/>
                <w:color w:val="auto"/>
              </w:rPr>
              <w:t>7,803</w:t>
            </w:r>
          </w:p>
        </w:tc>
        <w:tc>
          <w:tcPr>
            <w:tcW w:w="260" w:type="dxa"/>
            <w:vAlign w:val="bottom"/>
          </w:tcPr>
          <w:p>
            <w:pPr>
              <w:spacing w:after="0"/>
              <w:rPr>
                <w:sz w:val="18"/>
                <w:szCs w:val="18"/>
                <w:color w:val="auto"/>
              </w:rPr>
            </w:pPr>
          </w:p>
        </w:tc>
        <w:tc>
          <w:tcPr>
            <w:tcW w:w="720" w:type="dxa"/>
            <w:vAlign w:val="bottom"/>
          </w:tcPr>
          <w:p>
            <w:pPr>
              <w:jc w:val="right"/>
              <w:ind w:right="134"/>
              <w:spacing w:after="0"/>
              <w:rPr>
                <w:sz w:val="20"/>
                <w:szCs w:val="20"/>
                <w:color w:val="auto"/>
              </w:rPr>
            </w:pPr>
            <w:r>
              <w:rPr>
                <w:rFonts w:ascii="Arial" w:cs="Arial" w:eastAsia="Arial" w:hAnsi="Arial"/>
                <w:sz w:val="18"/>
                <w:szCs w:val="18"/>
                <w:color w:val="auto"/>
              </w:rPr>
              <w:t>5,967</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30.8</w:t>
            </w:r>
          </w:p>
        </w:tc>
      </w:tr>
      <w:tr>
        <w:trPr>
          <w:trHeight w:val="216"/>
        </w:trPr>
        <w:tc>
          <w:tcPr>
            <w:tcW w:w="20" w:type="dxa"/>
            <w:vAlign w:val="bottom"/>
          </w:tcPr>
          <w:p>
            <w:pPr>
              <w:spacing w:after="0"/>
              <w:rPr>
                <w:sz w:val="18"/>
                <w:szCs w:val="18"/>
                <w:color w:val="auto"/>
              </w:rPr>
            </w:pPr>
          </w:p>
        </w:tc>
        <w:tc>
          <w:tcPr>
            <w:tcW w:w="52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income (expense) items, net</w:t>
            </w:r>
          </w:p>
        </w:tc>
        <w:tc>
          <w:tcPr>
            <w:tcW w:w="3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color w:val="auto"/>
              </w:rPr>
              <w:t>(836)</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(500)</w:t>
            </w:r>
          </w:p>
        </w:tc>
        <w:tc>
          <w:tcPr>
            <w:tcW w:w="1100" w:type="dxa"/>
            <w:vAlign w:val="bottom"/>
            <w:tcBorders>
              <w:bottom w:val="single" w:sz="8" w:color="auto"/>
            </w:tcBorders>
            <w:shd w:val="clear" w:color="auto" w:fill="E5E5E5"/>
          </w:tcPr>
          <w:p>
            <w:pPr>
              <w:jc w:val="right"/>
              <w:ind w:right="255"/>
              <w:spacing w:after="0"/>
              <w:rPr>
                <w:sz w:val="20"/>
                <w:szCs w:val="20"/>
                <w:color w:val="auto"/>
              </w:rPr>
            </w:pPr>
            <w:r>
              <w:rPr>
                <w:rFonts w:ascii="Arial" w:cs="Arial" w:eastAsia="Arial" w:hAnsi="Arial"/>
                <w:sz w:val="18"/>
                <w:szCs w:val="18"/>
                <w:color w:val="auto"/>
              </w:rPr>
              <w:t>66.9</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7"/>
              <w:spacing w:after="0"/>
              <w:rPr>
                <w:sz w:val="20"/>
                <w:szCs w:val="20"/>
                <w:color w:val="auto"/>
              </w:rPr>
            </w:pPr>
            <w:r>
              <w:rPr>
                <w:rFonts w:ascii="Arial" w:cs="Arial" w:eastAsia="Arial" w:hAnsi="Arial"/>
                <w:sz w:val="18"/>
                <w:szCs w:val="18"/>
                <w:color w:val="auto"/>
                <w:w w:val="91"/>
              </w:rPr>
              <w:t>(1,982)</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w w:val="91"/>
              </w:rPr>
              <w:t>(1,569)</w:t>
            </w:r>
          </w:p>
        </w:tc>
        <w:tc>
          <w:tcPr>
            <w:tcW w:w="100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26.3</w:t>
            </w:r>
          </w:p>
        </w:tc>
      </w:tr>
      <w:tr>
        <w:trPr>
          <w:trHeight w:val="210"/>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80" w:type="dxa"/>
            <w:vAlign w:val="bottom"/>
          </w:tcPr>
          <w:p>
            <w:pPr>
              <w:spacing w:after="0"/>
              <w:rPr>
                <w:sz w:val="18"/>
                <w:szCs w:val="18"/>
                <w:color w:val="auto"/>
              </w:rPr>
            </w:pPr>
          </w:p>
        </w:tc>
        <w:tc>
          <w:tcPr>
            <w:tcW w:w="720" w:type="dxa"/>
            <w:vAlign w:val="bottom"/>
          </w:tcPr>
          <w:p>
            <w:pPr>
              <w:jc w:val="right"/>
              <w:ind w:right="137"/>
              <w:spacing w:after="0"/>
              <w:rPr>
                <w:sz w:val="20"/>
                <w:szCs w:val="20"/>
                <w:color w:val="auto"/>
              </w:rPr>
            </w:pPr>
            <w:r>
              <w:rPr>
                <w:rFonts w:ascii="Arial" w:cs="Arial" w:eastAsia="Arial" w:hAnsi="Arial"/>
                <w:sz w:val="18"/>
                <w:szCs w:val="18"/>
                <w:color w:val="auto"/>
              </w:rPr>
              <w:t>1,805</w:t>
            </w:r>
          </w:p>
        </w:tc>
        <w:tc>
          <w:tcPr>
            <w:tcW w:w="280" w:type="dxa"/>
            <w:vAlign w:val="bottom"/>
          </w:tcPr>
          <w:p>
            <w:pPr>
              <w:spacing w:after="0"/>
              <w:rPr>
                <w:sz w:val="18"/>
                <w:szCs w:val="18"/>
                <w:color w:val="auto"/>
              </w:rPr>
            </w:pPr>
          </w:p>
        </w:tc>
        <w:tc>
          <w:tcPr>
            <w:tcW w:w="680" w:type="dxa"/>
            <w:vAlign w:val="bottom"/>
          </w:tcPr>
          <w:p>
            <w:pPr>
              <w:jc w:val="right"/>
              <w:ind w:right="154"/>
              <w:spacing w:after="0"/>
              <w:rPr>
                <w:sz w:val="20"/>
                <w:szCs w:val="20"/>
                <w:color w:val="auto"/>
              </w:rPr>
            </w:pPr>
            <w:r>
              <w:rPr>
                <w:rFonts w:ascii="Arial" w:cs="Arial" w:eastAsia="Arial" w:hAnsi="Arial"/>
                <w:sz w:val="18"/>
                <w:szCs w:val="18"/>
                <w:color w:val="auto"/>
                <w:w w:val="93"/>
              </w:rPr>
              <w:t>1,454</w:t>
            </w:r>
          </w:p>
        </w:tc>
        <w:tc>
          <w:tcPr>
            <w:tcW w:w="1100" w:type="dxa"/>
            <w:vAlign w:val="bottom"/>
          </w:tcPr>
          <w:p>
            <w:pPr>
              <w:jc w:val="right"/>
              <w:ind w:right="255"/>
              <w:spacing w:after="0"/>
              <w:rPr>
                <w:sz w:val="20"/>
                <w:szCs w:val="20"/>
                <w:color w:val="auto"/>
              </w:rPr>
            </w:pPr>
            <w:r>
              <w:rPr>
                <w:rFonts w:ascii="Arial" w:cs="Arial" w:eastAsia="Arial" w:hAnsi="Arial"/>
                <w:sz w:val="18"/>
                <w:szCs w:val="18"/>
                <w:color w:val="auto"/>
              </w:rPr>
              <w:t>24.2</w:t>
            </w:r>
          </w:p>
        </w:tc>
        <w:tc>
          <w:tcPr>
            <w:tcW w:w="280" w:type="dxa"/>
            <w:vAlign w:val="bottom"/>
          </w:tcPr>
          <w:p>
            <w:pPr>
              <w:spacing w:after="0"/>
              <w:rPr>
                <w:sz w:val="18"/>
                <w:szCs w:val="18"/>
                <w:color w:val="auto"/>
              </w:rPr>
            </w:pPr>
          </w:p>
        </w:tc>
        <w:tc>
          <w:tcPr>
            <w:tcW w:w="720" w:type="dxa"/>
            <w:vAlign w:val="bottom"/>
          </w:tcPr>
          <w:p>
            <w:pPr>
              <w:jc w:val="right"/>
              <w:ind w:right="157"/>
              <w:spacing w:after="0"/>
              <w:rPr>
                <w:sz w:val="20"/>
                <w:szCs w:val="20"/>
                <w:color w:val="auto"/>
              </w:rPr>
            </w:pPr>
            <w:r>
              <w:rPr>
                <w:rFonts w:ascii="Arial" w:cs="Arial" w:eastAsia="Arial" w:hAnsi="Arial"/>
                <w:sz w:val="18"/>
                <w:szCs w:val="18"/>
                <w:color w:val="auto"/>
              </w:rPr>
              <w:t>5,821</w:t>
            </w:r>
          </w:p>
        </w:tc>
        <w:tc>
          <w:tcPr>
            <w:tcW w:w="260" w:type="dxa"/>
            <w:vAlign w:val="bottom"/>
          </w:tcPr>
          <w:p>
            <w:pPr>
              <w:spacing w:after="0"/>
              <w:rPr>
                <w:sz w:val="18"/>
                <w:szCs w:val="18"/>
                <w:color w:val="auto"/>
              </w:rPr>
            </w:pPr>
          </w:p>
        </w:tc>
        <w:tc>
          <w:tcPr>
            <w:tcW w:w="720" w:type="dxa"/>
            <w:vAlign w:val="bottom"/>
          </w:tcPr>
          <w:p>
            <w:pPr>
              <w:jc w:val="right"/>
              <w:ind w:right="134"/>
              <w:spacing w:after="0"/>
              <w:rPr>
                <w:sz w:val="20"/>
                <w:szCs w:val="20"/>
                <w:color w:val="auto"/>
              </w:rPr>
            </w:pPr>
            <w:r>
              <w:rPr>
                <w:rFonts w:ascii="Arial" w:cs="Arial" w:eastAsia="Arial" w:hAnsi="Arial"/>
                <w:sz w:val="18"/>
                <w:szCs w:val="18"/>
                <w:color w:val="auto"/>
              </w:rPr>
              <w:t>4,398</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32.4</w:t>
            </w:r>
          </w:p>
        </w:tc>
      </w:tr>
      <w:tr>
        <w:trPr>
          <w:trHeight w:val="216"/>
        </w:trPr>
        <w:tc>
          <w:tcPr>
            <w:tcW w:w="20" w:type="dxa"/>
            <w:vAlign w:val="bottom"/>
          </w:tcPr>
          <w:p>
            <w:pPr>
              <w:spacing w:after="0"/>
              <w:rPr>
                <w:sz w:val="18"/>
                <w:szCs w:val="18"/>
                <w:color w:val="auto"/>
              </w:rPr>
            </w:pPr>
          </w:p>
        </w:tc>
        <w:tc>
          <w:tcPr>
            <w:tcW w:w="52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color w:val="auto"/>
              </w:rPr>
              <w:t>(639)</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(584)</w:t>
            </w:r>
          </w:p>
        </w:tc>
        <w:tc>
          <w:tcPr>
            <w:tcW w:w="1100" w:type="dxa"/>
            <w:vAlign w:val="bottom"/>
            <w:tcBorders>
              <w:bottom w:val="single" w:sz="8" w:color="auto"/>
            </w:tcBorders>
            <w:shd w:val="clear" w:color="auto" w:fill="E5E5E5"/>
          </w:tcPr>
          <w:p>
            <w:pPr>
              <w:jc w:val="right"/>
              <w:ind w:right="255"/>
              <w:spacing w:after="0"/>
              <w:rPr>
                <w:sz w:val="20"/>
                <w:szCs w:val="20"/>
                <w:color w:val="auto"/>
              </w:rPr>
            </w:pPr>
            <w:r>
              <w:rPr>
                <w:rFonts w:ascii="Arial" w:cs="Arial" w:eastAsia="Arial" w:hAnsi="Arial"/>
                <w:sz w:val="18"/>
                <w:szCs w:val="18"/>
                <w:color w:val="auto"/>
              </w:rPr>
              <w:t>9.4</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7"/>
              <w:spacing w:after="0"/>
              <w:rPr>
                <w:sz w:val="20"/>
                <w:szCs w:val="20"/>
                <w:color w:val="auto"/>
              </w:rPr>
            </w:pPr>
            <w:r>
              <w:rPr>
                <w:rFonts w:ascii="Arial" w:cs="Arial" w:eastAsia="Arial" w:hAnsi="Arial"/>
                <w:sz w:val="18"/>
                <w:szCs w:val="18"/>
                <w:color w:val="auto"/>
                <w:w w:val="91"/>
              </w:rPr>
              <w:t>(2,249)</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w w:val="91"/>
              </w:rPr>
              <w:t>(1,763)</w:t>
            </w:r>
          </w:p>
        </w:tc>
        <w:tc>
          <w:tcPr>
            <w:tcW w:w="100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27.6</w:t>
            </w:r>
          </w:p>
        </w:tc>
      </w:tr>
      <w:tr>
        <w:trPr>
          <w:trHeight w:val="210"/>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Net income from consolidated operations</w:t>
            </w:r>
          </w:p>
        </w:tc>
        <w:tc>
          <w:tcPr>
            <w:tcW w:w="380" w:type="dxa"/>
            <w:vAlign w:val="bottom"/>
          </w:tcPr>
          <w:p>
            <w:pPr>
              <w:spacing w:after="0"/>
              <w:rPr>
                <w:sz w:val="18"/>
                <w:szCs w:val="18"/>
                <w:color w:val="auto"/>
              </w:rPr>
            </w:pPr>
          </w:p>
        </w:tc>
        <w:tc>
          <w:tcPr>
            <w:tcW w:w="720" w:type="dxa"/>
            <w:vAlign w:val="bottom"/>
          </w:tcPr>
          <w:p>
            <w:pPr>
              <w:jc w:val="right"/>
              <w:ind w:right="137"/>
              <w:spacing w:after="0"/>
              <w:rPr>
                <w:sz w:val="20"/>
                <w:szCs w:val="20"/>
                <w:color w:val="auto"/>
              </w:rPr>
            </w:pPr>
            <w:r>
              <w:rPr>
                <w:rFonts w:ascii="Arial" w:cs="Arial" w:eastAsia="Arial" w:hAnsi="Arial"/>
                <w:sz w:val="18"/>
                <w:szCs w:val="18"/>
                <w:color w:val="auto"/>
              </w:rPr>
              <w:t>1,166</w:t>
            </w:r>
          </w:p>
        </w:tc>
        <w:tc>
          <w:tcPr>
            <w:tcW w:w="280" w:type="dxa"/>
            <w:vAlign w:val="bottom"/>
          </w:tcPr>
          <w:p>
            <w:pPr>
              <w:spacing w:after="0"/>
              <w:rPr>
                <w:sz w:val="18"/>
                <w:szCs w:val="18"/>
                <w:color w:val="auto"/>
              </w:rPr>
            </w:pPr>
          </w:p>
        </w:tc>
        <w:tc>
          <w:tcPr>
            <w:tcW w:w="680" w:type="dxa"/>
            <w:vAlign w:val="bottom"/>
          </w:tcPr>
          <w:p>
            <w:pPr>
              <w:jc w:val="right"/>
              <w:ind w:right="154"/>
              <w:spacing w:after="0"/>
              <w:rPr>
                <w:sz w:val="20"/>
                <w:szCs w:val="20"/>
                <w:color w:val="auto"/>
              </w:rPr>
            </w:pPr>
            <w:r>
              <w:rPr>
                <w:rFonts w:ascii="Arial" w:cs="Arial" w:eastAsia="Arial" w:hAnsi="Arial"/>
                <w:sz w:val="18"/>
                <w:szCs w:val="18"/>
                <w:color w:val="auto"/>
              </w:rPr>
              <w:t>870</w:t>
            </w:r>
          </w:p>
        </w:tc>
        <w:tc>
          <w:tcPr>
            <w:tcW w:w="1100" w:type="dxa"/>
            <w:vAlign w:val="bottom"/>
          </w:tcPr>
          <w:p>
            <w:pPr>
              <w:jc w:val="right"/>
              <w:ind w:right="255"/>
              <w:spacing w:after="0"/>
              <w:rPr>
                <w:sz w:val="20"/>
                <w:szCs w:val="20"/>
                <w:color w:val="auto"/>
              </w:rPr>
            </w:pPr>
            <w:r>
              <w:rPr>
                <w:rFonts w:ascii="Arial" w:cs="Arial" w:eastAsia="Arial" w:hAnsi="Arial"/>
                <w:sz w:val="18"/>
                <w:szCs w:val="18"/>
                <w:color w:val="auto"/>
              </w:rPr>
              <w:t>34.1</w:t>
            </w:r>
          </w:p>
        </w:tc>
        <w:tc>
          <w:tcPr>
            <w:tcW w:w="280" w:type="dxa"/>
            <w:vAlign w:val="bottom"/>
          </w:tcPr>
          <w:p>
            <w:pPr>
              <w:spacing w:after="0"/>
              <w:rPr>
                <w:sz w:val="18"/>
                <w:szCs w:val="18"/>
                <w:color w:val="auto"/>
              </w:rPr>
            </w:pPr>
          </w:p>
        </w:tc>
        <w:tc>
          <w:tcPr>
            <w:tcW w:w="720" w:type="dxa"/>
            <w:vAlign w:val="bottom"/>
          </w:tcPr>
          <w:p>
            <w:pPr>
              <w:jc w:val="right"/>
              <w:ind w:right="157"/>
              <w:spacing w:after="0"/>
              <w:rPr>
                <w:sz w:val="20"/>
                <w:szCs w:val="20"/>
                <w:color w:val="auto"/>
              </w:rPr>
            </w:pPr>
            <w:r>
              <w:rPr>
                <w:rFonts w:ascii="Arial" w:cs="Arial" w:eastAsia="Arial" w:hAnsi="Arial"/>
                <w:sz w:val="18"/>
                <w:szCs w:val="18"/>
                <w:color w:val="auto"/>
              </w:rPr>
              <w:t>3,572</w:t>
            </w:r>
          </w:p>
        </w:tc>
        <w:tc>
          <w:tcPr>
            <w:tcW w:w="260" w:type="dxa"/>
            <w:vAlign w:val="bottom"/>
          </w:tcPr>
          <w:p>
            <w:pPr>
              <w:spacing w:after="0"/>
              <w:rPr>
                <w:sz w:val="18"/>
                <w:szCs w:val="18"/>
                <w:color w:val="auto"/>
              </w:rPr>
            </w:pPr>
          </w:p>
        </w:tc>
        <w:tc>
          <w:tcPr>
            <w:tcW w:w="720" w:type="dxa"/>
            <w:vAlign w:val="bottom"/>
          </w:tcPr>
          <w:p>
            <w:pPr>
              <w:jc w:val="right"/>
              <w:ind w:right="134"/>
              <w:spacing w:after="0"/>
              <w:rPr>
                <w:sz w:val="20"/>
                <w:szCs w:val="20"/>
                <w:color w:val="auto"/>
              </w:rPr>
            </w:pPr>
            <w:r>
              <w:rPr>
                <w:rFonts w:ascii="Arial" w:cs="Arial" w:eastAsia="Arial" w:hAnsi="Arial"/>
                <w:sz w:val="18"/>
                <w:szCs w:val="18"/>
                <w:color w:val="auto"/>
              </w:rPr>
              <w:t>2,635</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35.6</w:t>
            </w:r>
          </w:p>
        </w:tc>
      </w:tr>
      <w:tr>
        <w:trPr>
          <w:trHeight w:val="216"/>
        </w:trPr>
        <w:tc>
          <w:tcPr>
            <w:tcW w:w="20" w:type="dxa"/>
            <w:vAlign w:val="bottom"/>
          </w:tcPr>
          <w:p>
            <w:pPr>
              <w:spacing w:after="0"/>
              <w:rPr>
                <w:sz w:val="18"/>
                <w:szCs w:val="18"/>
                <w:color w:val="auto"/>
              </w:rPr>
            </w:pPr>
          </w:p>
        </w:tc>
        <w:tc>
          <w:tcPr>
            <w:tcW w:w="52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3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color w:val="auto"/>
              </w:rPr>
              <w:t>(258)</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(3)</w:t>
            </w:r>
          </w:p>
        </w:tc>
        <w:tc>
          <w:tcPr>
            <w:tcW w:w="1100" w:type="dxa"/>
            <w:vAlign w:val="bottom"/>
            <w:tcBorders>
              <w:bottom w:val="single" w:sz="8" w:color="auto"/>
            </w:tcBorders>
            <w:shd w:val="clear" w:color="auto" w:fill="E5E5E5"/>
          </w:tcPr>
          <w:p>
            <w:pPr>
              <w:jc w:val="right"/>
              <w:ind w:right="255"/>
              <w:spacing w:after="0"/>
              <w:rPr>
                <w:sz w:val="20"/>
                <w:szCs w:val="20"/>
                <w:color w:val="auto"/>
              </w:rPr>
            </w:pPr>
            <w:r>
              <w:rPr>
                <w:rFonts w:ascii="Arial" w:cs="Arial" w:eastAsia="Arial" w:hAnsi="Arial"/>
                <w:sz w:val="18"/>
                <w:szCs w:val="18"/>
                <w:color w:val="auto"/>
              </w:rPr>
              <w:t>NM</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7"/>
              <w:spacing w:after="0"/>
              <w:rPr>
                <w:sz w:val="20"/>
                <w:szCs w:val="20"/>
                <w:color w:val="auto"/>
              </w:rPr>
            </w:pPr>
            <w:r>
              <w:rPr>
                <w:rFonts w:ascii="Arial" w:cs="Arial" w:eastAsia="Arial" w:hAnsi="Arial"/>
                <w:sz w:val="18"/>
                <w:szCs w:val="18"/>
                <w:color w:val="auto"/>
              </w:rPr>
              <w:t>(699)</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(18)</w:t>
            </w:r>
          </w:p>
        </w:tc>
        <w:tc>
          <w:tcPr>
            <w:tcW w:w="100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NM</w:t>
            </w:r>
          </w:p>
        </w:tc>
      </w:tr>
      <w:tr>
        <w:trPr>
          <w:trHeight w:val="217"/>
        </w:trPr>
        <w:tc>
          <w:tcPr>
            <w:tcW w:w="20" w:type="dxa"/>
            <w:vAlign w:val="bottom"/>
            <w:tcBorders>
              <w:bottom w:val="single" w:sz="8" w:color="auto"/>
            </w:tcBorders>
          </w:tcPr>
          <w:p>
            <w:pPr>
              <w:spacing w:after="0"/>
              <w:rPr>
                <w:sz w:val="18"/>
                <w:szCs w:val="18"/>
                <w:color w:val="auto"/>
              </w:rPr>
            </w:pP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908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867</w:t>
            </w:r>
          </w:p>
        </w:tc>
        <w:tc>
          <w:tcPr>
            <w:tcW w:w="11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4.7%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b w:val="1"/>
                <w:bCs w:val="1"/>
                <w:color w:val="auto"/>
              </w:rPr>
              <w:t>2,873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2,617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w:t>
            </w:r>
          </w:p>
        </w:tc>
      </w:tr>
    </w:tbl>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comparability of our consolidated results of operations was impacted by the NBCUniversal transaction, which closed on January 28, 2011, and the UCDP transaction, which closed on July 1, 2011. NBCUniversal’s and UCDP’s results of operations are included in our consolidated financial statements following their respective acquisition dates.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Cable Communications segment and the NBCUniversal segments accounted for substantially all of the increases in consolidated revenue for the three and nine months ended September 30, 2011 compared to the same periods in 2010. For the three and nine months ended September 30, 2011, $3.8 billion and $10.1 billion, respectively, of the increases were related to the addition of the NBCUniversal contributed businesses. For the three and nine months ended September 30, 2011, $375 million of the increases were related to the consolidation of UCDP. The remaining changes in consolidated revenue related to our other business activities, primarily Comcast Spectacor. Revenue for our Cable Communications and NBCUniversal segments is discussed separately under the heading “Segment Operating Results.”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Costs and Expenses</w:t>
      </w:r>
    </w:p>
    <w:p>
      <w:pPr>
        <w:spacing w:after="0" w:line="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Cable Communications segment and the NBCUniversal segments accounted for substantially all of the increases in consolidated operating costs and expenses for the three and nine months ended September 30, 2011 compared to the same periods in 2010. For the three and nine months ended September 30, 2011, $3.2 billion and $8.5 billion, respectively, of the increases were related to the addition of the NBCUniversal contributed businesses. For the three and nine months ended September 30, 2011, $201 million of the increases were related to the consolidation of UCDP. The remaining changes in consolidated operating costs and expenses related to our other business activities, primarily Comcast Spectacor, and costs associated with the NBCUniversal transaction of $63 million for the nine months ended September 30, 2011. Operating costs and expenses for our Cable Communications and NBCUniversal segments are discussed separately under the heading “Segment Operating Results.”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Depreciation and Amortization</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depreciation and amortization increased primarily as a result of the NBCUniversal and UCDP transactions. For the three and nine months ended September 30, 2011, $297 million and $667 million, respectively, of the increases in consolidated depreciation and amortization were related to the addition of the NBCUniversal contributed businesses and the consolidation of UCDP.</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8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Beginning in the first quarter of 2011, we changed our reportable segments as a result of the close of the NBCUniversal transaction on January 28, 2011. We have recast our segment presentation for the three and nine months ended September 30, 2010 to reflect our current operating segments. Following the acquisition of the 50% equity interest in UCDP that NBCUniversal did not already own, we revised our measure of operating performance for our Theme Parks segment. Operating income (loss) before depreciation and amortization for our Theme Parks segment now includes 100% of the results of operations of UCDP. Prior to this transaction, equity in income (loss) of investees was included in operating income (loss) before depreciation and amortization due to the significance of UCDP to the Theme Parks segment. We have recast our Theme Parks segment performance measure for the nine months ended September 30, 2011 in order to reflect our current segment performance measure.</w:t>
      </w:r>
    </w:p>
    <w:p>
      <w:pPr>
        <w:spacing w:after="0" w:line="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segment operating results are presented based on how we assess operating performance and internally report financial information. We use operating income (loss) before depreciation and amortization, excluding impairment charges related to fixed and intangible assets and gains or losses from the sale of assets, if any, as the measure of profit or loss for our operating segments. This measure eliminates the significant level of noncash depreciation and amortization expense that results from the capital-intensive nature of certain of our businesses and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Because we use operating income (loss) before depreciation and amortization to measure our segment profit or loss, we reconcile it to operating income, the most directly comparable financial measure calculated and presented in accordance with generally accepted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accounting principles in the United States (“GAAP”) in the business segment footnote to our condensed consolidated financial statements (see Note 17 to our condensed consolidated financial statements). This measure should not be considered a substitute for operating income (loss), net income (loss) attributable to Comcast Corporation, net cash provided by operating activities, or other measures of performance or liquidity we have reported in accordance with GAAP.</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 Segment—Results of Operations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gridSpan w:val="3"/>
          </w:tcPr>
          <w:p>
            <w:pPr>
              <w:ind w:left="240"/>
              <w:spacing w:after="0"/>
              <w:rPr>
                <w:sz w:val="20"/>
                <w:szCs w:val="20"/>
                <w:color w:val="auto"/>
              </w:rPr>
            </w:pPr>
            <w:r>
              <w:rPr>
                <w:rFonts w:ascii="Arial" w:cs="Arial" w:eastAsia="Arial" w:hAnsi="Arial"/>
                <w:sz w:val="14"/>
                <w:szCs w:val="14"/>
                <w:color w:val="auto"/>
              </w:rPr>
              <w:t>Three Months Ended</w:t>
            </w:r>
          </w:p>
        </w:tc>
        <w:tc>
          <w:tcPr>
            <w:tcW w:w="440" w:type="dxa"/>
            <w:vAlign w:val="bottom"/>
          </w:tcPr>
          <w:p>
            <w:pPr>
              <w:spacing w:after="0"/>
              <w:rPr>
                <w:sz w:val="14"/>
                <w:szCs w:val="14"/>
                <w:color w:val="auto"/>
              </w:rPr>
            </w:pPr>
          </w:p>
        </w:tc>
        <w:tc>
          <w:tcPr>
            <w:tcW w:w="1140" w:type="dxa"/>
            <w:vAlign w:val="bottom"/>
          </w:tcPr>
          <w:p>
            <w:pPr>
              <w:jc w:val="right"/>
              <w:ind w:right="76"/>
              <w:spacing w:after="0"/>
              <w:rPr>
                <w:sz w:val="20"/>
                <w:szCs w:val="20"/>
                <w:color w:val="auto"/>
              </w:rPr>
            </w:pPr>
            <w:r>
              <w:rPr>
                <w:rFonts w:ascii="Arial" w:cs="Arial" w:eastAsia="Arial" w:hAnsi="Arial"/>
                <w:sz w:val="14"/>
                <w:szCs w:val="14"/>
                <w:color w:val="auto"/>
              </w:rPr>
              <w:t>Increase/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9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7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7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6"/>
              <w:spacing w:after="0" w:line="159" w:lineRule="exact"/>
              <w:rPr>
                <w:sz w:val="20"/>
                <w:szCs w:val="20"/>
                <w:color w:val="auto"/>
              </w:rPr>
            </w:pPr>
            <w:r>
              <w:rPr>
                <w:rFonts w:ascii="Arial" w:cs="Arial" w:eastAsia="Arial" w:hAnsi="Arial"/>
                <w:sz w:val="14"/>
                <w:szCs w:val="14"/>
                <w:color w:val="auto"/>
              </w:rPr>
              <w:t>(Decrease)</w:t>
            </w: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900" w:type="dxa"/>
            <w:vAlign w:val="bottom"/>
            <w:tcBorders>
              <w:bottom w:val="single" w:sz="8" w:color="auto"/>
            </w:tcBorders>
            <w:vMerge w:val="continue"/>
          </w:tcPr>
          <w:p>
            <w:pPr>
              <w:spacing w:after="0"/>
              <w:rPr>
                <w:sz w:val="12"/>
                <w:szCs w:val="12"/>
                <w:color w:val="auto"/>
              </w:rPr>
            </w:pPr>
          </w:p>
        </w:tc>
        <w:tc>
          <w:tcPr>
            <w:tcW w:w="17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color w:val="auto"/>
              </w:rPr>
              <w:t>2011</w:t>
            </w:r>
          </w:p>
        </w:tc>
        <w:tc>
          <w:tcPr>
            <w:tcW w:w="4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color w:val="auto"/>
                <w:w w:val="96"/>
              </w:rPr>
              <w:t>2010</w:t>
            </w:r>
          </w:p>
        </w:tc>
        <w:tc>
          <w:tcPr>
            <w:tcW w:w="4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856"/>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3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9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172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114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Video</w:t>
            </w:r>
          </w:p>
        </w:tc>
        <w:tc>
          <w:tcPr>
            <w:tcW w:w="22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6"/>
              <w:spacing w:after="0"/>
              <w:rPr>
                <w:sz w:val="20"/>
                <w:szCs w:val="20"/>
                <w:color w:val="auto"/>
              </w:rPr>
            </w:pPr>
            <w:r>
              <w:rPr>
                <w:rFonts w:ascii="Arial" w:cs="Arial" w:eastAsia="Arial" w:hAnsi="Arial"/>
                <w:sz w:val="18"/>
                <w:szCs w:val="18"/>
                <w:color w:val="auto"/>
              </w:rPr>
              <w:t>4,892</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4"/>
              <w:spacing w:after="0"/>
              <w:rPr>
                <w:sz w:val="20"/>
                <w:szCs w:val="20"/>
                <w:color w:val="auto"/>
              </w:rPr>
            </w:pPr>
            <w:r>
              <w:rPr>
                <w:rFonts w:ascii="Arial" w:cs="Arial" w:eastAsia="Arial" w:hAnsi="Arial"/>
                <w:sz w:val="18"/>
                <w:szCs w:val="18"/>
                <w:color w:val="auto"/>
              </w:rPr>
              <w:t>4,839</w:t>
            </w: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36"/>
              <w:spacing w:after="0"/>
              <w:rPr>
                <w:sz w:val="20"/>
                <w:szCs w:val="20"/>
                <w:color w:val="auto"/>
              </w:rPr>
            </w:pPr>
            <w:r>
              <w:rPr>
                <w:rFonts w:ascii="Arial" w:cs="Arial" w:eastAsia="Arial" w:hAnsi="Arial"/>
                <w:sz w:val="18"/>
                <w:szCs w:val="18"/>
                <w:color w:val="auto"/>
              </w:rPr>
              <w:t>53</w:t>
            </w: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High-speed Internet</w:t>
            </w:r>
          </w:p>
        </w:tc>
        <w:tc>
          <w:tcPr>
            <w:tcW w:w="172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2,205</w:t>
            </w:r>
          </w:p>
        </w:tc>
        <w:tc>
          <w:tcPr>
            <w:tcW w:w="4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2,009</w:t>
            </w:r>
          </w:p>
        </w:tc>
        <w:tc>
          <w:tcPr>
            <w:tcW w:w="440" w:type="dxa"/>
            <w:vAlign w:val="bottom"/>
            <w:shd w:val="clear" w:color="auto" w:fill="E5E5E5"/>
          </w:tcPr>
          <w:p>
            <w:pPr>
              <w:spacing w:after="0"/>
              <w:rPr>
                <w:sz w:val="18"/>
                <w:szCs w:val="18"/>
                <w:color w:val="auto"/>
              </w:rPr>
            </w:pPr>
          </w:p>
        </w:tc>
        <w:tc>
          <w:tcPr>
            <w:tcW w:w="1140" w:type="dxa"/>
            <w:vAlign w:val="bottom"/>
            <w:shd w:val="clear" w:color="auto" w:fill="E5E5E5"/>
          </w:tcPr>
          <w:p>
            <w:pPr>
              <w:jc w:val="right"/>
              <w:ind w:right="536"/>
              <w:spacing w:after="0"/>
              <w:rPr>
                <w:sz w:val="20"/>
                <w:szCs w:val="20"/>
                <w:color w:val="auto"/>
              </w:rPr>
            </w:pPr>
            <w:r>
              <w:rPr>
                <w:rFonts w:ascii="Arial" w:cs="Arial" w:eastAsia="Arial" w:hAnsi="Arial"/>
                <w:sz w:val="18"/>
                <w:szCs w:val="18"/>
                <w:color w:val="auto"/>
              </w:rPr>
              <w:t>196</w:t>
            </w:r>
          </w:p>
        </w:tc>
        <w:tc>
          <w:tcPr>
            <w:tcW w:w="7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Phone</w:t>
            </w: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ind w:right="116"/>
              <w:spacing w:after="0"/>
              <w:rPr>
                <w:sz w:val="20"/>
                <w:szCs w:val="20"/>
                <w:color w:val="auto"/>
              </w:rPr>
            </w:pPr>
            <w:r>
              <w:rPr>
                <w:rFonts w:ascii="Arial" w:cs="Arial" w:eastAsia="Arial" w:hAnsi="Arial"/>
                <w:sz w:val="18"/>
                <w:szCs w:val="18"/>
                <w:color w:val="auto"/>
              </w:rPr>
              <w:t>883</w:t>
            </w:r>
          </w:p>
        </w:tc>
        <w:tc>
          <w:tcPr>
            <w:tcW w:w="420" w:type="dxa"/>
            <w:vAlign w:val="bottom"/>
          </w:tcPr>
          <w:p>
            <w:pPr>
              <w:spacing w:after="0"/>
              <w:rPr>
                <w:sz w:val="18"/>
                <w:szCs w:val="18"/>
                <w:color w:val="auto"/>
              </w:rPr>
            </w:pPr>
          </w:p>
        </w:tc>
        <w:tc>
          <w:tcPr>
            <w:tcW w:w="760" w:type="dxa"/>
            <w:vAlign w:val="bottom"/>
          </w:tcPr>
          <w:p>
            <w:pPr>
              <w:jc w:val="right"/>
              <w:ind w:right="134"/>
              <w:spacing w:after="0"/>
              <w:rPr>
                <w:sz w:val="20"/>
                <w:szCs w:val="20"/>
                <w:color w:val="auto"/>
              </w:rPr>
            </w:pPr>
            <w:r>
              <w:rPr>
                <w:rFonts w:ascii="Arial" w:cs="Arial" w:eastAsia="Arial" w:hAnsi="Arial"/>
                <w:sz w:val="18"/>
                <w:szCs w:val="18"/>
                <w:color w:val="auto"/>
              </w:rPr>
              <w:t>829</w:t>
            </w:r>
          </w:p>
        </w:tc>
        <w:tc>
          <w:tcPr>
            <w:tcW w:w="440" w:type="dxa"/>
            <w:vAlign w:val="bottom"/>
          </w:tcPr>
          <w:p>
            <w:pPr>
              <w:spacing w:after="0"/>
              <w:rPr>
                <w:sz w:val="18"/>
                <w:szCs w:val="18"/>
                <w:color w:val="auto"/>
              </w:rPr>
            </w:pPr>
          </w:p>
        </w:tc>
        <w:tc>
          <w:tcPr>
            <w:tcW w:w="1140" w:type="dxa"/>
            <w:vAlign w:val="bottom"/>
          </w:tcPr>
          <w:p>
            <w:pPr>
              <w:jc w:val="right"/>
              <w:ind w:right="536"/>
              <w:spacing w:after="0"/>
              <w:rPr>
                <w:sz w:val="20"/>
                <w:szCs w:val="20"/>
                <w:color w:val="auto"/>
              </w:rPr>
            </w:pPr>
            <w:r>
              <w:rPr>
                <w:rFonts w:ascii="Arial" w:cs="Arial" w:eastAsia="Arial" w:hAnsi="Arial"/>
                <w:sz w:val="18"/>
                <w:szCs w:val="18"/>
                <w:color w:val="auto"/>
              </w:rPr>
              <w:t>54</w:t>
            </w:r>
          </w:p>
        </w:tc>
        <w:tc>
          <w:tcPr>
            <w:tcW w:w="760" w:type="dxa"/>
            <w:vAlign w:val="bottom"/>
          </w:tcPr>
          <w:p>
            <w:pPr>
              <w:jc w:val="right"/>
              <w:ind w:right="134"/>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Advertising</w:t>
            </w:r>
          </w:p>
        </w:tc>
        <w:tc>
          <w:tcPr>
            <w:tcW w:w="172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492</w:t>
            </w:r>
          </w:p>
        </w:tc>
        <w:tc>
          <w:tcPr>
            <w:tcW w:w="4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512</w:t>
            </w:r>
          </w:p>
        </w:tc>
        <w:tc>
          <w:tcPr>
            <w:tcW w:w="440" w:type="dxa"/>
            <w:vAlign w:val="bottom"/>
            <w:shd w:val="clear" w:color="auto" w:fill="E5E5E5"/>
          </w:tcPr>
          <w:p>
            <w:pPr>
              <w:spacing w:after="0"/>
              <w:rPr>
                <w:sz w:val="18"/>
                <w:szCs w:val="18"/>
                <w:color w:val="auto"/>
              </w:rPr>
            </w:pPr>
          </w:p>
        </w:tc>
        <w:tc>
          <w:tcPr>
            <w:tcW w:w="1140" w:type="dxa"/>
            <w:vAlign w:val="bottom"/>
            <w:shd w:val="clear" w:color="auto" w:fill="E5E5E5"/>
          </w:tcPr>
          <w:p>
            <w:pPr>
              <w:jc w:val="right"/>
              <w:ind w:right="476"/>
              <w:spacing w:after="0"/>
              <w:rPr>
                <w:sz w:val="20"/>
                <w:szCs w:val="20"/>
                <w:color w:val="auto"/>
              </w:rPr>
            </w:pPr>
            <w:r>
              <w:rPr>
                <w:rFonts w:ascii="Arial" w:cs="Arial" w:eastAsia="Arial" w:hAnsi="Arial"/>
                <w:sz w:val="18"/>
                <w:szCs w:val="18"/>
                <w:color w:val="auto"/>
              </w:rPr>
              <w:t>(20)</w:t>
            </w:r>
          </w:p>
        </w:tc>
        <w:tc>
          <w:tcPr>
            <w:tcW w:w="76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Business services</w:t>
            </w: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ind w:right="116"/>
              <w:spacing w:after="0"/>
              <w:rPr>
                <w:sz w:val="20"/>
                <w:szCs w:val="20"/>
                <w:color w:val="auto"/>
              </w:rPr>
            </w:pPr>
            <w:r>
              <w:rPr>
                <w:rFonts w:ascii="Arial" w:cs="Arial" w:eastAsia="Arial" w:hAnsi="Arial"/>
                <w:sz w:val="18"/>
                <w:szCs w:val="18"/>
                <w:color w:val="auto"/>
              </w:rPr>
              <w:t>464</w:t>
            </w:r>
          </w:p>
        </w:tc>
        <w:tc>
          <w:tcPr>
            <w:tcW w:w="420" w:type="dxa"/>
            <w:vAlign w:val="bottom"/>
          </w:tcPr>
          <w:p>
            <w:pPr>
              <w:spacing w:after="0"/>
              <w:rPr>
                <w:sz w:val="18"/>
                <w:szCs w:val="18"/>
                <w:color w:val="auto"/>
              </w:rPr>
            </w:pPr>
          </w:p>
        </w:tc>
        <w:tc>
          <w:tcPr>
            <w:tcW w:w="760" w:type="dxa"/>
            <w:vAlign w:val="bottom"/>
          </w:tcPr>
          <w:p>
            <w:pPr>
              <w:jc w:val="right"/>
              <w:ind w:right="134"/>
              <w:spacing w:after="0"/>
              <w:rPr>
                <w:sz w:val="20"/>
                <w:szCs w:val="20"/>
                <w:color w:val="auto"/>
              </w:rPr>
            </w:pPr>
            <w:r>
              <w:rPr>
                <w:rFonts w:ascii="Arial" w:cs="Arial" w:eastAsia="Arial" w:hAnsi="Arial"/>
                <w:sz w:val="18"/>
                <w:szCs w:val="18"/>
                <w:color w:val="auto"/>
              </w:rPr>
              <w:t>334</w:t>
            </w:r>
          </w:p>
        </w:tc>
        <w:tc>
          <w:tcPr>
            <w:tcW w:w="440" w:type="dxa"/>
            <w:vAlign w:val="bottom"/>
          </w:tcPr>
          <w:p>
            <w:pPr>
              <w:spacing w:after="0"/>
              <w:rPr>
                <w:sz w:val="18"/>
                <w:szCs w:val="18"/>
                <w:color w:val="auto"/>
              </w:rPr>
            </w:pPr>
          </w:p>
        </w:tc>
        <w:tc>
          <w:tcPr>
            <w:tcW w:w="1140" w:type="dxa"/>
            <w:vAlign w:val="bottom"/>
          </w:tcPr>
          <w:p>
            <w:pPr>
              <w:jc w:val="right"/>
              <w:ind w:right="536"/>
              <w:spacing w:after="0"/>
              <w:rPr>
                <w:sz w:val="20"/>
                <w:szCs w:val="20"/>
                <w:color w:val="auto"/>
              </w:rPr>
            </w:pPr>
            <w:r>
              <w:rPr>
                <w:rFonts w:ascii="Arial" w:cs="Arial" w:eastAsia="Arial" w:hAnsi="Arial"/>
                <w:sz w:val="18"/>
                <w:szCs w:val="18"/>
                <w:color w:val="auto"/>
              </w:rPr>
              <w:t>130</w:t>
            </w:r>
          </w:p>
        </w:tc>
        <w:tc>
          <w:tcPr>
            <w:tcW w:w="760" w:type="dxa"/>
            <w:vAlign w:val="bottom"/>
          </w:tcPr>
          <w:p>
            <w:pPr>
              <w:jc w:val="right"/>
              <w:ind w:right="134"/>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1720" w:type="dxa"/>
            <w:vAlign w:val="bottom"/>
            <w:tcBorders>
              <w:bottom w:val="single" w:sz="8" w:color="auto"/>
            </w:tcBorders>
            <w:shd w:val="clear" w:color="auto" w:fill="E5E5E5"/>
          </w:tcPr>
          <w:p>
            <w:pPr>
              <w:spacing w:after="0"/>
              <w:rPr>
                <w:sz w:val="18"/>
                <w:szCs w:val="18"/>
                <w:color w:val="auto"/>
              </w:rPr>
            </w:pPr>
          </w:p>
        </w:tc>
        <w:tc>
          <w:tcPr>
            <w:tcW w:w="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rPr>
              <w:t>395</w:t>
            </w:r>
          </w:p>
        </w:tc>
        <w:tc>
          <w:tcPr>
            <w:tcW w:w="4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362</w:t>
            </w:r>
          </w:p>
        </w:tc>
        <w:tc>
          <w:tcPr>
            <w:tcW w:w="440" w:type="dxa"/>
            <w:vAlign w:val="bottom"/>
            <w:tcBorders>
              <w:bottom w:val="single" w:sz="8" w:color="auto"/>
            </w:tcBorders>
            <w:shd w:val="clear" w:color="auto" w:fill="E5E5E5"/>
          </w:tcPr>
          <w:p>
            <w:pPr>
              <w:spacing w:after="0"/>
              <w:rPr>
                <w:sz w:val="18"/>
                <w:szCs w:val="18"/>
                <w:color w:val="auto"/>
              </w:rPr>
            </w:pPr>
          </w:p>
        </w:tc>
        <w:tc>
          <w:tcPr>
            <w:tcW w:w="1140" w:type="dxa"/>
            <w:vAlign w:val="bottom"/>
            <w:tcBorders>
              <w:bottom w:val="single" w:sz="8" w:color="auto"/>
            </w:tcBorders>
            <w:shd w:val="clear" w:color="auto" w:fill="E5E5E5"/>
          </w:tcPr>
          <w:p>
            <w:pPr>
              <w:jc w:val="right"/>
              <w:ind w:right="536"/>
              <w:spacing w:after="0"/>
              <w:rPr>
                <w:sz w:val="20"/>
                <w:szCs w:val="20"/>
                <w:color w:val="auto"/>
              </w:rPr>
            </w:pPr>
            <w:r>
              <w:rPr>
                <w:rFonts w:ascii="Arial" w:cs="Arial" w:eastAsia="Arial" w:hAnsi="Arial"/>
                <w:sz w:val="18"/>
                <w:szCs w:val="18"/>
                <w:color w:val="auto"/>
              </w:rPr>
              <w:t>33</w:t>
            </w:r>
          </w:p>
        </w:tc>
        <w:tc>
          <w:tcPr>
            <w:tcW w:w="76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0"/>
        </w:trPr>
        <w:tc>
          <w:tcPr>
            <w:tcW w:w="490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ind w:right="116"/>
              <w:spacing w:after="0"/>
              <w:rPr>
                <w:sz w:val="20"/>
                <w:szCs w:val="20"/>
                <w:color w:val="auto"/>
              </w:rPr>
            </w:pPr>
            <w:r>
              <w:rPr>
                <w:rFonts w:ascii="Arial" w:cs="Arial" w:eastAsia="Arial" w:hAnsi="Arial"/>
                <w:sz w:val="18"/>
                <w:szCs w:val="18"/>
                <w:color w:val="auto"/>
              </w:rPr>
              <w:t>9,331</w:t>
            </w:r>
          </w:p>
        </w:tc>
        <w:tc>
          <w:tcPr>
            <w:tcW w:w="420" w:type="dxa"/>
            <w:vAlign w:val="bottom"/>
          </w:tcPr>
          <w:p>
            <w:pPr>
              <w:spacing w:after="0"/>
              <w:rPr>
                <w:sz w:val="18"/>
                <w:szCs w:val="18"/>
                <w:color w:val="auto"/>
              </w:rPr>
            </w:pPr>
          </w:p>
        </w:tc>
        <w:tc>
          <w:tcPr>
            <w:tcW w:w="760" w:type="dxa"/>
            <w:vAlign w:val="bottom"/>
          </w:tcPr>
          <w:p>
            <w:pPr>
              <w:jc w:val="right"/>
              <w:ind w:right="134"/>
              <w:spacing w:after="0"/>
              <w:rPr>
                <w:sz w:val="20"/>
                <w:szCs w:val="20"/>
                <w:color w:val="auto"/>
              </w:rPr>
            </w:pPr>
            <w:r>
              <w:rPr>
                <w:rFonts w:ascii="Arial" w:cs="Arial" w:eastAsia="Arial" w:hAnsi="Arial"/>
                <w:sz w:val="18"/>
                <w:szCs w:val="18"/>
                <w:color w:val="auto"/>
              </w:rPr>
              <w:t>8,885</w:t>
            </w:r>
          </w:p>
        </w:tc>
        <w:tc>
          <w:tcPr>
            <w:tcW w:w="440" w:type="dxa"/>
            <w:vAlign w:val="bottom"/>
          </w:tcPr>
          <w:p>
            <w:pPr>
              <w:spacing w:after="0"/>
              <w:rPr>
                <w:sz w:val="18"/>
                <w:szCs w:val="18"/>
                <w:color w:val="auto"/>
              </w:rPr>
            </w:pPr>
          </w:p>
        </w:tc>
        <w:tc>
          <w:tcPr>
            <w:tcW w:w="1140" w:type="dxa"/>
            <w:vAlign w:val="bottom"/>
          </w:tcPr>
          <w:p>
            <w:pPr>
              <w:jc w:val="right"/>
              <w:ind w:right="536"/>
              <w:spacing w:after="0"/>
              <w:rPr>
                <w:sz w:val="20"/>
                <w:szCs w:val="20"/>
                <w:color w:val="auto"/>
              </w:rPr>
            </w:pPr>
            <w:r>
              <w:rPr>
                <w:rFonts w:ascii="Arial" w:cs="Arial" w:eastAsia="Arial" w:hAnsi="Arial"/>
                <w:sz w:val="18"/>
                <w:szCs w:val="18"/>
                <w:color w:val="auto"/>
              </w:rPr>
              <w:t>446</w:t>
            </w:r>
          </w:p>
        </w:tc>
        <w:tc>
          <w:tcPr>
            <w:tcW w:w="760" w:type="dxa"/>
            <w:vAlign w:val="bottom"/>
          </w:tcPr>
          <w:p>
            <w:pPr>
              <w:jc w:val="right"/>
              <w:ind w:right="134"/>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costs and expenses</w:t>
            </w:r>
          </w:p>
        </w:tc>
        <w:tc>
          <w:tcPr>
            <w:tcW w:w="172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114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Programming</w:t>
            </w: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ind w:right="116"/>
              <w:spacing w:after="0"/>
              <w:rPr>
                <w:sz w:val="20"/>
                <w:szCs w:val="20"/>
                <w:color w:val="auto"/>
              </w:rPr>
            </w:pPr>
            <w:r>
              <w:rPr>
                <w:rFonts w:ascii="Arial" w:cs="Arial" w:eastAsia="Arial" w:hAnsi="Arial"/>
                <w:sz w:val="18"/>
                <w:szCs w:val="18"/>
                <w:color w:val="auto"/>
              </w:rPr>
              <w:t>1,964</w:t>
            </w:r>
          </w:p>
        </w:tc>
        <w:tc>
          <w:tcPr>
            <w:tcW w:w="420" w:type="dxa"/>
            <w:vAlign w:val="bottom"/>
          </w:tcPr>
          <w:p>
            <w:pPr>
              <w:spacing w:after="0"/>
              <w:rPr>
                <w:sz w:val="18"/>
                <w:szCs w:val="18"/>
                <w:color w:val="auto"/>
              </w:rPr>
            </w:pPr>
          </w:p>
        </w:tc>
        <w:tc>
          <w:tcPr>
            <w:tcW w:w="760" w:type="dxa"/>
            <w:vAlign w:val="bottom"/>
          </w:tcPr>
          <w:p>
            <w:pPr>
              <w:jc w:val="right"/>
              <w:ind w:right="134"/>
              <w:spacing w:after="0"/>
              <w:rPr>
                <w:sz w:val="20"/>
                <w:szCs w:val="20"/>
                <w:color w:val="auto"/>
              </w:rPr>
            </w:pPr>
            <w:r>
              <w:rPr>
                <w:rFonts w:ascii="Arial" w:cs="Arial" w:eastAsia="Arial" w:hAnsi="Arial"/>
                <w:sz w:val="18"/>
                <w:szCs w:val="18"/>
                <w:color w:val="auto"/>
              </w:rPr>
              <w:t>1,846</w:t>
            </w:r>
          </w:p>
        </w:tc>
        <w:tc>
          <w:tcPr>
            <w:tcW w:w="440" w:type="dxa"/>
            <w:vAlign w:val="bottom"/>
          </w:tcPr>
          <w:p>
            <w:pPr>
              <w:spacing w:after="0"/>
              <w:rPr>
                <w:sz w:val="18"/>
                <w:szCs w:val="18"/>
                <w:color w:val="auto"/>
              </w:rPr>
            </w:pPr>
          </w:p>
        </w:tc>
        <w:tc>
          <w:tcPr>
            <w:tcW w:w="1140" w:type="dxa"/>
            <w:vAlign w:val="bottom"/>
          </w:tcPr>
          <w:p>
            <w:pPr>
              <w:jc w:val="right"/>
              <w:ind w:right="536"/>
              <w:spacing w:after="0"/>
              <w:rPr>
                <w:sz w:val="20"/>
                <w:szCs w:val="20"/>
                <w:color w:val="auto"/>
              </w:rPr>
            </w:pPr>
            <w:r>
              <w:rPr>
                <w:rFonts w:ascii="Arial" w:cs="Arial" w:eastAsia="Arial" w:hAnsi="Arial"/>
                <w:sz w:val="18"/>
                <w:szCs w:val="18"/>
                <w:color w:val="auto"/>
              </w:rPr>
              <w:t>118</w:t>
            </w:r>
          </w:p>
        </w:tc>
        <w:tc>
          <w:tcPr>
            <w:tcW w:w="760" w:type="dxa"/>
            <w:vAlign w:val="bottom"/>
          </w:tcPr>
          <w:p>
            <w:pPr>
              <w:jc w:val="right"/>
              <w:ind w:right="134"/>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Technical labor</w:t>
            </w:r>
          </w:p>
        </w:tc>
        <w:tc>
          <w:tcPr>
            <w:tcW w:w="172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587</w:t>
            </w:r>
          </w:p>
        </w:tc>
        <w:tc>
          <w:tcPr>
            <w:tcW w:w="4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594</w:t>
            </w:r>
          </w:p>
        </w:tc>
        <w:tc>
          <w:tcPr>
            <w:tcW w:w="440" w:type="dxa"/>
            <w:vAlign w:val="bottom"/>
            <w:shd w:val="clear" w:color="auto" w:fill="E5E5E5"/>
          </w:tcPr>
          <w:p>
            <w:pPr>
              <w:spacing w:after="0"/>
              <w:rPr>
                <w:sz w:val="18"/>
                <w:szCs w:val="18"/>
                <w:color w:val="auto"/>
              </w:rPr>
            </w:pPr>
          </w:p>
        </w:tc>
        <w:tc>
          <w:tcPr>
            <w:tcW w:w="1140" w:type="dxa"/>
            <w:vAlign w:val="bottom"/>
            <w:shd w:val="clear" w:color="auto" w:fill="E5E5E5"/>
          </w:tcPr>
          <w:p>
            <w:pPr>
              <w:jc w:val="right"/>
              <w:ind w:right="476"/>
              <w:spacing w:after="0"/>
              <w:rPr>
                <w:sz w:val="20"/>
                <w:szCs w:val="20"/>
                <w:color w:val="auto"/>
              </w:rPr>
            </w:pPr>
            <w:r>
              <w:rPr>
                <w:rFonts w:ascii="Arial" w:cs="Arial" w:eastAsia="Arial" w:hAnsi="Arial"/>
                <w:sz w:val="18"/>
                <w:szCs w:val="18"/>
                <w:color w:val="auto"/>
              </w:rPr>
              <w:t>(7)</w:t>
            </w:r>
          </w:p>
        </w:tc>
        <w:tc>
          <w:tcPr>
            <w:tcW w:w="76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Customer service</w:t>
            </w: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ind w:right="116"/>
              <w:spacing w:after="0"/>
              <w:rPr>
                <w:sz w:val="20"/>
                <w:szCs w:val="20"/>
                <w:color w:val="auto"/>
              </w:rPr>
            </w:pPr>
            <w:r>
              <w:rPr>
                <w:rFonts w:ascii="Arial" w:cs="Arial" w:eastAsia="Arial" w:hAnsi="Arial"/>
                <w:sz w:val="18"/>
                <w:szCs w:val="18"/>
                <w:color w:val="auto"/>
              </w:rPr>
              <w:t>466</w:t>
            </w:r>
          </w:p>
        </w:tc>
        <w:tc>
          <w:tcPr>
            <w:tcW w:w="420" w:type="dxa"/>
            <w:vAlign w:val="bottom"/>
          </w:tcPr>
          <w:p>
            <w:pPr>
              <w:spacing w:after="0"/>
              <w:rPr>
                <w:sz w:val="18"/>
                <w:szCs w:val="18"/>
                <w:color w:val="auto"/>
              </w:rPr>
            </w:pPr>
          </w:p>
        </w:tc>
        <w:tc>
          <w:tcPr>
            <w:tcW w:w="760" w:type="dxa"/>
            <w:vAlign w:val="bottom"/>
          </w:tcPr>
          <w:p>
            <w:pPr>
              <w:jc w:val="right"/>
              <w:ind w:right="134"/>
              <w:spacing w:after="0"/>
              <w:rPr>
                <w:sz w:val="20"/>
                <w:szCs w:val="20"/>
                <w:color w:val="auto"/>
              </w:rPr>
            </w:pPr>
            <w:r>
              <w:rPr>
                <w:rFonts w:ascii="Arial" w:cs="Arial" w:eastAsia="Arial" w:hAnsi="Arial"/>
                <w:sz w:val="18"/>
                <w:szCs w:val="18"/>
                <w:color w:val="auto"/>
              </w:rPr>
              <w:t>463</w:t>
            </w:r>
          </w:p>
        </w:tc>
        <w:tc>
          <w:tcPr>
            <w:tcW w:w="440" w:type="dxa"/>
            <w:vAlign w:val="bottom"/>
          </w:tcPr>
          <w:p>
            <w:pPr>
              <w:spacing w:after="0"/>
              <w:rPr>
                <w:sz w:val="18"/>
                <w:szCs w:val="18"/>
                <w:color w:val="auto"/>
              </w:rPr>
            </w:pPr>
          </w:p>
        </w:tc>
        <w:tc>
          <w:tcPr>
            <w:tcW w:w="1140" w:type="dxa"/>
            <w:vAlign w:val="bottom"/>
          </w:tcPr>
          <w:p>
            <w:pPr>
              <w:jc w:val="right"/>
              <w:ind w:right="536"/>
              <w:spacing w:after="0"/>
              <w:rPr>
                <w:sz w:val="20"/>
                <w:szCs w:val="20"/>
                <w:color w:val="auto"/>
              </w:rPr>
            </w:pPr>
            <w:r>
              <w:rPr>
                <w:rFonts w:ascii="Arial" w:cs="Arial" w:eastAsia="Arial" w:hAnsi="Arial"/>
                <w:sz w:val="18"/>
                <w:szCs w:val="18"/>
                <w:color w:val="auto"/>
              </w:rPr>
              <w:t>3</w:t>
            </w:r>
          </w:p>
        </w:tc>
        <w:tc>
          <w:tcPr>
            <w:tcW w:w="760" w:type="dxa"/>
            <w:vAlign w:val="bottom"/>
          </w:tcPr>
          <w:p>
            <w:pPr>
              <w:jc w:val="right"/>
              <w:ind w:right="134"/>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Marketing</w:t>
            </w:r>
          </w:p>
        </w:tc>
        <w:tc>
          <w:tcPr>
            <w:tcW w:w="172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650</w:t>
            </w:r>
          </w:p>
        </w:tc>
        <w:tc>
          <w:tcPr>
            <w:tcW w:w="4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587</w:t>
            </w:r>
          </w:p>
        </w:tc>
        <w:tc>
          <w:tcPr>
            <w:tcW w:w="440" w:type="dxa"/>
            <w:vAlign w:val="bottom"/>
            <w:shd w:val="clear" w:color="auto" w:fill="E5E5E5"/>
          </w:tcPr>
          <w:p>
            <w:pPr>
              <w:spacing w:after="0"/>
              <w:rPr>
                <w:sz w:val="18"/>
                <w:szCs w:val="18"/>
                <w:color w:val="auto"/>
              </w:rPr>
            </w:pPr>
          </w:p>
        </w:tc>
        <w:tc>
          <w:tcPr>
            <w:tcW w:w="1140" w:type="dxa"/>
            <w:vAlign w:val="bottom"/>
            <w:shd w:val="clear" w:color="auto" w:fill="E5E5E5"/>
          </w:tcPr>
          <w:p>
            <w:pPr>
              <w:jc w:val="right"/>
              <w:ind w:right="536"/>
              <w:spacing w:after="0"/>
              <w:rPr>
                <w:sz w:val="20"/>
                <w:szCs w:val="20"/>
                <w:color w:val="auto"/>
              </w:rPr>
            </w:pPr>
            <w:r>
              <w:rPr>
                <w:rFonts w:ascii="Arial" w:cs="Arial" w:eastAsia="Arial" w:hAnsi="Arial"/>
                <w:sz w:val="18"/>
                <w:szCs w:val="18"/>
                <w:color w:val="auto"/>
              </w:rPr>
              <w:t>63</w:t>
            </w:r>
          </w:p>
        </w:tc>
        <w:tc>
          <w:tcPr>
            <w:tcW w:w="7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17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1,950</w:t>
            </w: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1,916</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8"/>
                <w:szCs w:val="18"/>
                <w:color w:val="auto"/>
              </w:rPr>
              <w:t>34</w:t>
            </w: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operating costs and expenses</w:t>
            </w:r>
          </w:p>
        </w:tc>
        <w:tc>
          <w:tcPr>
            <w:tcW w:w="1720" w:type="dxa"/>
            <w:vAlign w:val="bottom"/>
            <w:tcBorders>
              <w:bottom w:val="single" w:sz="8" w:color="auto"/>
            </w:tcBorders>
            <w:shd w:val="clear" w:color="auto" w:fill="E5E5E5"/>
          </w:tcPr>
          <w:p>
            <w:pPr>
              <w:spacing w:after="0"/>
              <w:rPr>
                <w:sz w:val="18"/>
                <w:szCs w:val="18"/>
                <w:color w:val="auto"/>
              </w:rPr>
            </w:pPr>
          </w:p>
        </w:tc>
        <w:tc>
          <w:tcPr>
            <w:tcW w:w="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rPr>
              <w:t>5,617</w:t>
            </w:r>
          </w:p>
        </w:tc>
        <w:tc>
          <w:tcPr>
            <w:tcW w:w="4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5,406</w:t>
            </w:r>
          </w:p>
        </w:tc>
        <w:tc>
          <w:tcPr>
            <w:tcW w:w="440" w:type="dxa"/>
            <w:vAlign w:val="bottom"/>
            <w:tcBorders>
              <w:bottom w:val="single" w:sz="8" w:color="auto"/>
            </w:tcBorders>
            <w:shd w:val="clear" w:color="auto" w:fill="E5E5E5"/>
          </w:tcPr>
          <w:p>
            <w:pPr>
              <w:spacing w:after="0"/>
              <w:rPr>
                <w:sz w:val="18"/>
                <w:szCs w:val="18"/>
                <w:color w:val="auto"/>
              </w:rPr>
            </w:pPr>
          </w:p>
        </w:tc>
        <w:tc>
          <w:tcPr>
            <w:tcW w:w="1140" w:type="dxa"/>
            <w:vAlign w:val="bottom"/>
            <w:tcBorders>
              <w:bottom w:val="single" w:sz="8" w:color="auto"/>
            </w:tcBorders>
            <w:shd w:val="clear" w:color="auto" w:fill="E5E5E5"/>
          </w:tcPr>
          <w:p>
            <w:pPr>
              <w:jc w:val="right"/>
              <w:ind w:right="536"/>
              <w:spacing w:after="0"/>
              <w:rPr>
                <w:sz w:val="20"/>
                <w:szCs w:val="20"/>
                <w:color w:val="auto"/>
              </w:rPr>
            </w:pPr>
            <w:r>
              <w:rPr>
                <w:rFonts w:ascii="Arial" w:cs="Arial" w:eastAsia="Arial" w:hAnsi="Arial"/>
                <w:sz w:val="18"/>
                <w:szCs w:val="18"/>
                <w:color w:val="auto"/>
              </w:rPr>
              <w:t>211</w:t>
            </w:r>
          </w:p>
        </w:tc>
        <w:tc>
          <w:tcPr>
            <w:tcW w:w="76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7"/>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22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rPr>
              <w:t>3,714</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3,479</w:t>
            </w: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8"/>
                <w:szCs w:val="18"/>
                <w:b w:val="1"/>
                <w:bCs w:val="1"/>
                <w:color w:val="auto"/>
              </w:rPr>
              <w:t>235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w:t>
            </w:r>
          </w:p>
        </w:tc>
        <w:tc>
          <w:tcPr>
            <w:tcW w:w="0" w:type="dxa"/>
            <w:vAlign w:val="bottom"/>
          </w:tcPr>
          <w:p>
            <w:pPr>
              <w:spacing w:after="0"/>
              <w:rPr>
                <w:sz w:val="1"/>
                <w:szCs w:val="1"/>
                <w:color w:val="auto"/>
              </w:rPr>
            </w:pPr>
          </w:p>
        </w:tc>
      </w:tr>
      <w:tr>
        <w:trPr>
          <w:trHeight w:val="259"/>
        </w:trPr>
        <w:tc>
          <w:tcPr>
            <w:tcW w:w="49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960" w:type="dxa"/>
            <w:vAlign w:val="bottom"/>
            <w:gridSpan w:val="3"/>
          </w:tcPr>
          <w:p>
            <w:pPr>
              <w:ind w:left="240"/>
              <w:spacing w:after="0"/>
              <w:rPr>
                <w:sz w:val="20"/>
                <w:szCs w:val="20"/>
                <w:color w:val="auto"/>
              </w:rPr>
            </w:pPr>
            <w:r>
              <w:rPr>
                <w:rFonts w:ascii="Arial" w:cs="Arial" w:eastAsia="Arial" w:hAnsi="Arial"/>
                <w:sz w:val="14"/>
                <w:szCs w:val="14"/>
                <w:color w:val="auto"/>
              </w:rPr>
              <w:t>Nine Months Ended</w:t>
            </w:r>
          </w:p>
        </w:tc>
        <w:tc>
          <w:tcPr>
            <w:tcW w:w="440" w:type="dxa"/>
            <w:vAlign w:val="bottom"/>
          </w:tcPr>
          <w:p>
            <w:pPr>
              <w:spacing w:after="0"/>
              <w:rPr>
                <w:sz w:val="22"/>
                <w:szCs w:val="22"/>
                <w:color w:val="auto"/>
              </w:rPr>
            </w:pPr>
          </w:p>
        </w:tc>
        <w:tc>
          <w:tcPr>
            <w:tcW w:w="1140" w:type="dxa"/>
            <w:vAlign w:val="bottom"/>
          </w:tcPr>
          <w:p>
            <w:pPr>
              <w:jc w:val="right"/>
              <w:ind w:right="116"/>
              <w:spacing w:after="0"/>
              <w:rPr>
                <w:sz w:val="20"/>
                <w:szCs w:val="20"/>
                <w:color w:val="auto"/>
              </w:rPr>
            </w:pPr>
            <w:r>
              <w:rPr>
                <w:rFonts w:ascii="Arial" w:cs="Arial" w:eastAsia="Arial" w:hAnsi="Arial"/>
                <w:sz w:val="14"/>
                <w:szCs w:val="14"/>
                <w:color w:val="auto"/>
              </w:rPr>
              <w:t>Increase/</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49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7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6"/>
              <w:spacing w:after="0" w:line="159" w:lineRule="exact"/>
              <w:rPr>
                <w:sz w:val="20"/>
                <w:szCs w:val="20"/>
                <w:color w:val="auto"/>
              </w:rPr>
            </w:pPr>
            <w:r>
              <w:rPr>
                <w:rFonts w:ascii="Arial" w:cs="Arial" w:eastAsia="Arial" w:hAnsi="Arial"/>
                <w:sz w:val="14"/>
                <w:szCs w:val="14"/>
                <w:color w:val="auto"/>
              </w:rPr>
              <w:t>(Decrease)</w:t>
            </w: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900" w:type="dxa"/>
            <w:vAlign w:val="bottom"/>
            <w:tcBorders>
              <w:bottom w:val="single" w:sz="8" w:color="auto"/>
            </w:tcBorders>
            <w:vMerge w:val="continue"/>
          </w:tcPr>
          <w:p>
            <w:pPr>
              <w:spacing w:after="0"/>
              <w:rPr>
                <w:sz w:val="12"/>
                <w:szCs w:val="12"/>
                <w:color w:val="auto"/>
              </w:rPr>
            </w:pPr>
          </w:p>
        </w:tc>
        <w:tc>
          <w:tcPr>
            <w:tcW w:w="17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76"/>
              <w:spacing w:after="0" w:line="142" w:lineRule="exact"/>
              <w:rPr>
                <w:sz w:val="20"/>
                <w:szCs w:val="20"/>
                <w:color w:val="auto"/>
              </w:rPr>
            </w:pPr>
            <w:r>
              <w:rPr>
                <w:rFonts w:ascii="Arial" w:cs="Arial" w:eastAsia="Arial" w:hAnsi="Arial"/>
                <w:sz w:val="14"/>
                <w:szCs w:val="14"/>
                <w:color w:val="auto"/>
                <w:w w:val="96"/>
              </w:rPr>
              <w:t>2011</w:t>
            </w:r>
          </w:p>
        </w:tc>
        <w:tc>
          <w:tcPr>
            <w:tcW w:w="4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74"/>
              <w:spacing w:after="0" w:line="142" w:lineRule="exact"/>
              <w:rPr>
                <w:sz w:val="20"/>
                <w:szCs w:val="20"/>
                <w:color w:val="auto"/>
              </w:rPr>
            </w:pPr>
            <w:r>
              <w:rPr>
                <w:rFonts w:ascii="Arial" w:cs="Arial" w:eastAsia="Arial" w:hAnsi="Arial"/>
                <w:sz w:val="14"/>
                <w:szCs w:val="14"/>
                <w:color w:val="auto"/>
                <w:w w:val="89"/>
              </w:rPr>
              <w:t>2010</w:t>
            </w:r>
          </w:p>
        </w:tc>
        <w:tc>
          <w:tcPr>
            <w:tcW w:w="4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876"/>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7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9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172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114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Video</w:t>
            </w:r>
          </w:p>
        </w:tc>
        <w:tc>
          <w:tcPr>
            <w:tcW w:w="22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6"/>
              <w:spacing w:after="0"/>
              <w:rPr>
                <w:sz w:val="20"/>
                <w:szCs w:val="20"/>
                <w:color w:val="auto"/>
              </w:rPr>
            </w:pPr>
            <w:r>
              <w:rPr>
                <w:rFonts w:ascii="Arial" w:cs="Arial" w:eastAsia="Arial" w:hAnsi="Arial"/>
                <w:sz w:val="18"/>
                <w:szCs w:val="18"/>
                <w:color w:val="auto"/>
              </w:rPr>
              <w:t>14,724</w:t>
            </w:r>
          </w:p>
        </w:tc>
        <w:tc>
          <w:tcPr>
            <w:tcW w:w="4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4"/>
              <w:spacing w:after="0"/>
              <w:rPr>
                <w:sz w:val="20"/>
                <w:szCs w:val="20"/>
                <w:color w:val="auto"/>
              </w:rPr>
            </w:pPr>
            <w:r>
              <w:rPr>
                <w:rFonts w:ascii="Arial" w:cs="Arial" w:eastAsia="Arial" w:hAnsi="Arial"/>
                <w:sz w:val="18"/>
                <w:szCs w:val="18"/>
                <w:color w:val="auto"/>
                <w:w w:val="98"/>
              </w:rPr>
              <w:t>14,525</w:t>
            </w:r>
          </w:p>
        </w:tc>
        <w:tc>
          <w:tcPr>
            <w:tcW w:w="4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16"/>
              <w:spacing w:after="0"/>
              <w:rPr>
                <w:sz w:val="20"/>
                <w:szCs w:val="20"/>
                <w:color w:val="auto"/>
              </w:rPr>
            </w:pPr>
            <w:r>
              <w:rPr>
                <w:rFonts w:ascii="Arial" w:cs="Arial" w:eastAsia="Arial" w:hAnsi="Arial"/>
                <w:sz w:val="18"/>
                <w:szCs w:val="18"/>
                <w:color w:val="auto"/>
              </w:rPr>
              <w:t>199</w:t>
            </w: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High-speed Internet</w:t>
            </w:r>
          </w:p>
        </w:tc>
        <w:tc>
          <w:tcPr>
            <w:tcW w:w="172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6,497</w:t>
            </w:r>
          </w:p>
        </w:tc>
        <w:tc>
          <w:tcPr>
            <w:tcW w:w="4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5,926</w:t>
            </w:r>
          </w:p>
        </w:tc>
        <w:tc>
          <w:tcPr>
            <w:tcW w:w="440" w:type="dxa"/>
            <w:vAlign w:val="bottom"/>
            <w:shd w:val="clear" w:color="auto" w:fill="E5E5E5"/>
          </w:tcPr>
          <w:p>
            <w:pPr>
              <w:spacing w:after="0"/>
              <w:rPr>
                <w:sz w:val="18"/>
                <w:szCs w:val="18"/>
                <w:color w:val="auto"/>
              </w:rPr>
            </w:pPr>
          </w:p>
        </w:tc>
        <w:tc>
          <w:tcPr>
            <w:tcW w:w="1140" w:type="dxa"/>
            <w:vAlign w:val="bottom"/>
            <w:shd w:val="clear" w:color="auto" w:fill="E5E5E5"/>
          </w:tcPr>
          <w:p>
            <w:pPr>
              <w:jc w:val="right"/>
              <w:ind w:right="516"/>
              <w:spacing w:after="0"/>
              <w:rPr>
                <w:sz w:val="20"/>
                <w:szCs w:val="20"/>
                <w:color w:val="auto"/>
              </w:rPr>
            </w:pPr>
            <w:r>
              <w:rPr>
                <w:rFonts w:ascii="Arial" w:cs="Arial" w:eastAsia="Arial" w:hAnsi="Arial"/>
                <w:sz w:val="18"/>
                <w:szCs w:val="18"/>
                <w:color w:val="auto"/>
              </w:rPr>
              <w:t>571</w:t>
            </w:r>
          </w:p>
        </w:tc>
        <w:tc>
          <w:tcPr>
            <w:tcW w:w="7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Phone</w:t>
            </w: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ind w:right="116"/>
              <w:spacing w:after="0"/>
              <w:rPr>
                <w:sz w:val="20"/>
                <w:szCs w:val="20"/>
                <w:color w:val="auto"/>
              </w:rPr>
            </w:pPr>
            <w:r>
              <w:rPr>
                <w:rFonts w:ascii="Arial" w:cs="Arial" w:eastAsia="Arial" w:hAnsi="Arial"/>
                <w:sz w:val="18"/>
                <w:szCs w:val="18"/>
                <w:color w:val="auto"/>
              </w:rPr>
              <w:t>2,621</w:t>
            </w:r>
          </w:p>
        </w:tc>
        <w:tc>
          <w:tcPr>
            <w:tcW w:w="420" w:type="dxa"/>
            <w:vAlign w:val="bottom"/>
          </w:tcPr>
          <w:p>
            <w:pPr>
              <w:spacing w:after="0"/>
              <w:rPr>
                <w:sz w:val="18"/>
                <w:szCs w:val="18"/>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2,458</w:t>
            </w:r>
          </w:p>
        </w:tc>
        <w:tc>
          <w:tcPr>
            <w:tcW w:w="440" w:type="dxa"/>
            <w:vAlign w:val="bottom"/>
          </w:tcPr>
          <w:p>
            <w:pPr>
              <w:spacing w:after="0"/>
              <w:rPr>
                <w:sz w:val="18"/>
                <w:szCs w:val="18"/>
                <w:color w:val="auto"/>
              </w:rPr>
            </w:pPr>
          </w:p>
        </w:tc>
        <w:tc>
          <w:tcPr>
            <w:tcW w:w="1140" w:type="dxa"/>
            <w:vAlign w:val="bottom"/>
          </w:tcPr>
          <w:p>
            <w:pPr>
              <w:jc w:val="right"/>
              <w:ind w:right="516"/>
              <w:spacing w:after="0"/>
              <w:rPr>
                <w:sz w:val="20"/>
                <w:szCs w:val="20"/>
                <w:color w:val="auto"/>
              </w:rPr>
            </w:pPr>
            <w:r>
              <w:rPr>
                <w:rFonts w:ascii="Arial" w:cs="Arial" w:eastAsia="Arial" w:hAnsi="Arial"/>
                <w:sz w:val="18"/>
                <w:szCs w:val="18"/>
                <w:color w:val="auto"/>
              </w:rPr>
              <w:t>163</w:t>
            </w:r>
          </w:p>
        </w:tc>
        <w:tc>
          <w:tcPr>
            <w:tcW w:w="760" w:type="dxa"/>
            <w:vAlign w:val="bottom"/>
          </w:tcPr>
          <w:p>
            <w:pPr>
              <w:jc w:val="right"/>
              <w:ind w:right="134"/>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Advertising</w:t>
            </w:r>
          </w:p>
        </w:tc>
        <w:tc>
          <w:tcPr>
            <w:tcW w:w="172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1,459</w:t>
            </w:r>
          </w:p>
        </w:tc>
        <w:tc>
          <w:tcPr>
            <w:tcW w:w="4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1,418</w:t>
            </w:r>
          </w:p>
        </w:tc>
        <w:tc>
          <w:tcPr>
            <w:tcW w:w="440" w:type="dxa"/>
            <w:vAlign w:val="bottom"/>
            <w:shd w:val="clear" w:color="auto" w:fill="E5E5E5"/>
          </w:tcPr>
          <w:p>
            <w:pPr>
              <w:spacing w:after="0"/>
              <w:rPr>
                <w:sz w:val="18"/>
                <w:szCs w:val="18"/>
                <w:color w:val="auto"/>
              </w:rPr>
            </w:pPr>
          </w:p>
        </w:tc>
        <w:tc>
          <w:tcPr>
            <w:tcW w:w="1140" w:type="dxa"/>
            <w:vAlign w:val="bottom"/>
            <w:shd w:val="clear" w:color="auto" w:fill="E5E5E5"/>
          </w:tcPr>
          <w:p>
            <w:pPr>
              <w:jc w:val="right"/>
              <w:ind w:right="516"/>
              <w:spacing w:after="0"/>
              <w:rPr>
                <w:sz w:val="20"/>
                <w:szCs w:val="20"/>
                <w:color w:val="auto"/>
              </w:rPr>
            </w:pPr>
            <w:r>
              <w:rPr>
                <w:rFonts w:ascii="Arial" w:cs="Arial" w:eastAsia="Arial" w:hAnsi="Arial"/>
                <w:sz w:val="18"/>
                <w:szCs w:val="18"/>
                <w:color w:val="auto"/>
              </w:rPr>
              <w:t>41</w:t>
            </w:r>
          </w:p>
        </w:tc>
        <w:tc>
          <w:tcPr>
            <w:tcW w:w="7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Business services</w:t>
            </w: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ind w:right="116"/>
              <w:spacing w:after="0"/>
              <w:rPr>
                <w:sz w:val="20"/>
                <w:szCs w:val="20"/>
                <w:color w:val="auto"/>
              </w:rPr>
            </w:pPr>
            <w:r>
              <w:rPr>
                <w:rFonts w:ascii="Arial" w:cs="Arial" w:eastAsia="Arial" w:hAnsi="Arial"/>
                <w:sz w:val="18"/>
                <w:szCs w:val="18"/>
                <w:color w:val="auto"/>
              </w:rPr>
              <w:t>1,293</w:t>
            </w:r>
          </w:p>
        </w:tc>
        <w:tc>
          <w:tcPr>
            <w:tcW w:w="420" w:type="dxa"/>
            <w:vAlign w:val="bottom"/>
          </w:tcPr>
          <w:p>
            <w:pPr>
              <w:spacing w:after="0"/>
              <w:rPr>
                <w:sz w:val="18"/>
                <w:szCs w:val="18"/>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903</w:t>
            </w:r>
          </w:p>
        </w:tc>
        <w:tc>
          <w:tcPr>
            <w:tcW w:w="440" w:type="dxa"/>
            <w:vAlign w:val="bottom"/>
          </w:tcPr>
          <w:p>
            <w:pPr>
              <w:spacing w:after="0"/>
              <w:rPr>
                <w:sz w:val="18"/>
                <w:szCs w:val="18"/>
                <w:color w:val="auto"/>
              </w:rPr>
            </w:pPr>
          </w:p>
        </w:tc>
        <w:tc>
          <w:tcPr>
            <w:tcW w:w="1140" w:type="dxa"/>
            <w:vAlign w:val="bottom"/>
          </w:tcPr>
          <w:p>
            <w:pPr>
              <w:jc w:val="right"/>
              <w:ind w:right="516"/>
              <w:spacing w:after="0"/>
              <w:rPr>
                <w:sz w:val="20"/>
                <w:szCs w:val="20"/>
                <w:color w:val="auto"/>
              </w:rPr>
            </w:pPr>
            <w:r>
              <w:rPr>
                <w:rFonts w:ascii="Arial" w:cs="Arial" w:eastAsia="Arial" w:hAnsi="Arial"/>
                <w:sz w:val="18"/>
                <w:szCs w:val="18"/>
                <w:color w:val="auto"/>
              </w:rPr>
              <w:t>390</w:t>
            </w:r>
          </w:p>
        </w:tc>
        <w:tc>
          <w:tcPr>
            <w:tcW w:w="760" w:type="dxa"/>
            <w:vAlign w:val="bottom"/>
          </w:tcPr>
          <w:p>
            <w:pPr>
              <w:jc w:val="right"/>
              <w:ind w:right="134"/>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1720" w:type="dxa"/>
            <w:vAlign w:val="bottom"/>
            <w:tcBorders>
              <w:bottom w:val="single" w:sz="8" w:color="auto"/>
            </w:tcBorders>
            <w:shd w:val="clear" w:color="auto" w:fill="E5E5E5"/>
          </w:tcPr>
          <w:p>
            <w:pPr>
              <w:spacing w:after="0"/>
              <w:rPr>
                <w:sz w:val="18"/>
                <w:szCs w:val="18"/>
                <w:color w:val="auto"/>
              </w:rPr>
            </w:pPr>
          </w:p>
        </w:tc>
        <w:tc>
          <w:tcPr>
            <w:tcW w:w="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rPr>
              <w:t>1,162</w:t>
            </w:r>
          </w:p>
        </w:tc>
        <w:tc>
          <w:tcPr>
            <w:tcW w:w="4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rPr>
              <w:t>1,083</w:t>
            </w:r>
          </w:p>
        </w:tc>
        <w:tc>
          <w:tcPr>
            <w:tcW w:w="440" w:type="dxa"/>
            <w:vAlign w:val="bottom"/>
            <w:tcBorders>
              <w:bottom w:val="single" w:sz="8" w:color="auto"/>
            </w:tcBorders>
            <w:shd w:val="clear" w:color="auto" w:fill="E5E5E5"/>
          </w:tcPr>
          <w:p>
            <w:pPr>
              <w:spacing w:after="0"/>
              <w:rPr>
                <w:sz w:val="18"/>
                <w:szCs w:val="18"/>
                <w:color w:val="auto"/>
              </w:rPr>
            </w:pPr>
          </w:p>
        </w:tc>
        <w:tc>
          <w:tcPr>
            <w:tcW w:w="1140" w:type="dxa"/>
            <w:vAlign w:val="bottom"/>
            <w:tcBorders>
              <w:bottom w:val="single" w:sz="8" w:color="auto"/>
            </w:tcBorders>
            <w:shd w:val="clear" w:color="auto" w:fill="E5E5E5"/>
          </w:tcPr>
          <w:p>
            <w:pPr>
              <w:jc w:val="right"/>
              <w:ind w:right="516"/>
              <w:spacing w:after="0"/>
              <w:rPr>
                <w:sz w:val="20"/>
                <w:szCs w:val="20"/>
                <w:color w:val="auto"/>
              </w:rPr>
            </w:pPr>
            <w:r>
              <w:rPr>
                <w:rFonts w:ascii="Arial" w:cs="Arial" w:eastAsia="Arial" w:hAnsi="Arial"/>
                <w:sz w:val="18"/>
                <w:szCs w:val="18"/>
                <w:color w:val="auto"/>
              </w:rPr>
              <w:t>79</w:t>
            </w:r>
          </w:p>
        </w:tc>
        <w:tc>
          <w:tcPr>
            <w:tcW w:w="76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0"/>
        </w:trPr>
        <w:tc>
          <w:tcPr>
            <w:tcW w:w="490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ind w:right="116"/>
              <w:spacing w:after="0"/>
              <w:rPr>
                <w:sz w:val="20"/>
                <w:szCs w:val="20"/>
                <w:color w:val="auto"/>
              </w:rPr>
            </w:pPr>
            <w:r>
              <w:rPr>
                <w:rFonts w:ascii="Arial" w:cs="Arial" w:eastAsia="Arial" w:hAnsi="Arial"/>
                <w:sz w:val="18"/>
                <w:szCs w:val="18"/>
                <w:color w:val="auto"/>
              </w:rPr>
              <w:t>27,756</w:t>
            </w:r>
          </w:p>
        </w:tc>
        <w:tc>
          <w:tcPr>
            <w:tcW w:w="420" w:type="dxa"/>
            <w:vAlign w:val="bottom"/>
          </w:tcPr>
          <w:p>
            <w:pPr>
              <w:spacing w:after="0"/>
              <w:rPr>
                <w:sz w:val="18"/>
                <w:szCs w:val="18"/>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w w:val="98"/>
              </w:rPr>
              <w:t>26,313</w:t>
            </w:r>
          </w:p>
        </w:tc>
        <w:tc>
          <w:tcPr>
            <w:tcW w:w="440" w:type="dxa"/>
            <w:vAlign w:val="bottom"/>
          </w:tcPr>
          <w:p>
            <w:pPr>
              <w:spacing w:after="0"/>
              <w:rPr>
                <w:sz w:val="18"/>
                <w:szCs w:val="18"/>
                <w:color w:val="auto"/>
              </w:rPr>
            </w:pPr>
          </w:p>
        </w:tc>
        <w:tc>
          <w:tcPr>
            <w:tcW w:w="1140" w:type="dxa"/>
            <w:vAlign w:val="bottom"/>
          </w:tcPr>
          <w:p>
            <w:pPr>
              <w:jc w:val="right"/>
              <w:ind w:right="516"/>
              <w:spacing w:after="0"/>
              <w:rPr>
                <w:sz w:val="20"/>
                <w:szCs w:val="20"/>
                <w:color w:val="auto"/>
              </w:rPr>
            </w:pPr>
            <w:r>
              <w:rPr>
                <w:rFonts w:ascii="Arial" w:cs="Arial" w:eastAsia="Arial" w:hAnsi="Arial"/>
                <w:sz w:val="18"/>
                <w:szCs w:val="18"/>
                <w:color w:val="auto"/>
              </w:rPr>
              <w:t>1,443</w:t>
            </w:r>
          </w:p>
        </w:tc>
        <w:tc>
          <w:tcPr>
            <w:tcW w:w="760" w:type="dxa"/>
            <w:vAlign w:val="bottom"/>
          </w:tcPr>
          <w:p>
            <w:pPr>
              <w:jc w:val="right"/>
              <w:ind w:right="134"/>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costs and expenses</w:t>
            </w:r>
          </w:p>
        </w:tc>
        <w:tc>
          <w:tcPr>
            <w:tcW w:w="172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114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Programming</w:t>
            </w: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ind w:right="116"/>
              <w:spacing w:after="0"/>
              <w:rPr>
                <w:sz w:val="20"/>
                <w:szCs w:val="20"/>
                <w:color w:val="auto"/>
              </w:rPr>
            </w:pPr>
            <w:r>
              <w:rPr>
                <w:rFonts w:ascii="Arial" w:cs="Arial" w:eastAsia="Arial" w:hAnsi="Arial"/>
                <w:sz w:val="18"/>
                <w:szCs w:val="18"/>
                <w:color w:val="auto"/>
              </w:rPr>
              <w:t>5,896</w:t>
            </w:r>
          </w:p>
        </w:tc>
        <w:tc>
          <w:tcPr>
            <w:tcW w:w="420" w:type="dxa"/>
            <w:vAlign w:val="bottom"/>
          </w:tcPr>
          <w:p>
            <w:pPr>
              <w:spacing w:after="0"/>
              <w:rPr>
                <w:sz w:val="18"/>
                <w:szCs w:val="18"/>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5,580</w:t>
            </w:r>
          </w:p>
        </w:tc>
        <w:tc>
          <w:tcPr>
            <w:tcW w:w="440" w:type="dxa"/>
            <w:vAlign w:val="bottom"/>
          </w:tcPr>
          <w:p>
            <w:pPr>
              <w:spacing w:after="0"/>
              <w:rPr>
                <w:sz w:val="18"/>
                <w:szCs w:val="18"/>
                <w:color w:val="auto"/>
              </w:rPr>
            </w:pPr>
          </w:p>
        </w:tc>
        <w:tc>
          <w:tcPr>
            <w:tcW w:w="1140" w:type="dxa"/>
            <w:vAlign w:val="bottom"/>
          </w:tcPr>
          <w:p>
            <w:pPr>
              <w:jc w:val="right"/>
              <w:ind w:right="516"/>
              <w:spacing w:after="0"/>
              <w:rPr>
                <w:sz w:val="20"/>
                <w:szCs w:val="20"/>
                <w:color w:val="auto"/>
              </w:rPr>
            </w:pPr>
            <w:r>
              <w:rPr>
                <w:rFonts w:ascii="Arial" w:cs="Arial" w:eastAsia="Arial" w:hAnsi="Arial"/>
                <w:sz w:val="18"/>
                <w:szCs w:val="18"/>
                <w:color w:val="auto"/>
              </w:rPr>
              <w:t>316</w:t>
            </w:r>
          </w:p>
        </w:tc>
        <w:tc>
          <w:tcPr>
            <w:tcW w:w="760" w:type="dxa"/>
            <w:vAlign w:val="bottom"/>
          </w:tcPr>
          <w:p>
            <w:pPr>
              <w:jc w:val="right"/>
              <w:ind w:right="134"/>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Technical labor</w:t>
            </w:r>
          </w:p>
        </w:tc>
        <w:tc>
          <w:tcPr>
            <w:tcW w:w="172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1,729</w:t>
            </w:r>
          </w:p>
        </w:tc>
        <w:tc>
          <w:tcPr>
            <w:tcW w:w="4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1,696</w:t>
            </w:r>
          </w:p>
        </w:tc>
        <w:tc>
          <w:tcPr>
            <w:tcW w:w="440" w:type="dxa"/>
            <w:vAlign w:val="bottom"/>
            <w:shd w:val="clear" w:color="auto" w:fill="E5E5E5"/>
          </w:tcPr>
          <w:p>
            <w:pPr>
              <w:spacing w:after="0"/>
              <w:rPr>
                <w:sz w:val="18"/>
                <w:szCs w:val="18"/>
                <w:color w:val="auto"/>
              </w:rPr>
            </w:pPr>
          </w:p>
        </w:tc>
        <w:tc>
          <w:tcPr>
            <w:tcW w:w="1140" w:type="dxa"/>
            <w:vAlign w:val="bottom"/>
            <w:shd w:val="clear" w:color="auto" w:fill="E5E5E5"/>
          </w:tcPr>
          <w:p>
            <w:pPr>
              <w:jc w:val="right"/>
              <w:ind w:right="516"/>
              <w:spacing w:after="0"/>
              <w:rPr>
                <w:sz w:val="20"/>
                <w:szCs w:val="20"/>
                <w:color w:val="auto"/>
              </w:rPr>
            </w:pPr>
            <w:r>
              <w:rPr>
                <w:rFonts w:ascii="Arial" w:cs="Arial" w:eastAsia="Arial" w:hAnsi="Arial"/>
                <w:sz w:val="18"/>
                <w:szCs w:val="18"/>
                <w:color w:val="auto"/>
              </w:rPr>
              <w:t>33</w:t>
            </w:r>
          </w:p>
        </w:tc>
        <w:tc>
          <w:tcPr>
            <w:tcW w:w="7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Customer service</w:t>
            </w: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ind w:right="116"/>
              <w:spacing w:after="0"/>
              <w:rPr>
                <w:sz w:val="20"/>
                <w:szCs w:val="20"/>
                <w:color w:val="auto"/>
              </w:rPr>
            </w:pPr>
            <w:r>
              <w:rPr>
                <w:rFonts w:ascii="Arial" w:cs="Arial" w:eastAsia="Arial" w:hAnsi="Arial"/>
                <w:sz w:val="18"/>
                <w:szCs w:val="18"/>
                <w:color w:val="auto"/>
              </w:rPr>
              <w:t>1,385</w:t>
            </w:r>
          </w:p>
        </w:tc>
        <w:tc>
          <w:tcPr>
            <w:tcW w:w="420" w:type="dxa"/>
            <w:vAlign w:val="bottom"/>
          </w:tcPr>
          <w:p>
            <w:pPr>
              <w:spacing w:after="0"/>
              <w:rPr>
                <w:sz w:val="18"/>
                <w:szCs w:val="18"/>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1,367</w:t>
            </w:r>
          </w:p>
        </w:tc>
        <w:tc>
          <w:tcPr>
            <w:tcW w:w="440" w:type="dxa"/>
            <w:vAlign w:val="bottom"/>
          </w:tcPr>
          <w:p>
            <w:pPr>
              <w:spacing w:after="0"/>
              <w:rPr>
                <w:sz w:val="18"/>
                <w:szCs w:val="18"/>
                <w:color w:val="auto"/>
              </w:rPr>
            </w:pPr>
          </w:p>
        </w:tc>
        <w:tc>
          <w:tcPr>
            <w:tcW w:w="1140" w:type="dxa"/>
            <w:vAlign w:val="bottom"/>
          </w:tcPr>
          <w:p>
            <w:pPr>
              <w:jc w:val="right"/>
              <w:ind w:right="516"/>
              <w:spacing w:after="0"/>
              <w:rPr>
                <w:sz w:val="20"/>
                <w:szCs w:val="20"/>
                <w:color w:val="auto"/>
              </w:rPr>
            </w:pPr>
            <w:r>
              <w:rPr>
                <w:rFonts w:ascii="Arial" w:cs="Arial" w:eastAsia="Arial" w:hAnsi="Arial"/>
                <w:sz w:val="18"/>
                <w:szCs w:val="18"/>
                <w:color w:val="auto"/>
              </w:rPr>
              <w:t>18</w:t>
            </w:r>
          </w:p>
        </w:tc>
        <w:tc>
          <w:tcPr>
            <w:tcW w:w="760" w:type="dxa"/>
            <w:vAlign w:val="bottom"/>
          </w:tcPr>
          <w:p>
            <w:pPr>
              <w:jc w:val="right"/>
              <w:ind w:right="13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Marketing</w:t>
            </w:r>
          </w:p>
        </w:tc>
        <w:tc>
          <w:tcPr>
            <w:tcW w:w="172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1,826</w:t>
            </w:r>
          </w:p>
        </w:tc>
        <w:tc>
          <w:tcPr>
            <w:tcW w:w="4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1,605</w:t>
            </w:r>
          </w:p>
        </w:tc>
        <w:tc>
          <w:tcPr>
            <w:tcW w:w="440" w:type="dxa"/>
            <w:vAlign w:val="bottom"/>
            <w:shd w:val="clear" w:color="auto" w:fill="E5E5E5"/>
          </w:tcPr>
          <w:p>
            <w:pPr>
              <w:spacing w:after="0"/>
              <w:rPr>
                <w:sz w:val="18"/>
                <w:szCs w:val="18"/>
                <w:color w:val="auto"/>
              </w:rPr>
            </w:pPr>
          </w:p>
        </w:tc>
        <w:tc>
          <w:tcPr>
            <w:tcW w:w="1140" w:type="dxa"/>
            <w:vAlign w:val="bottom"/>
            <w:shd w:val="clear" w:color="auto" w:fill="E5E5E5"/>
          </w:tcPr>
          <w:p>
            <w:pPr>
              <w:jc w:val="right"/>
              <w:ind w:right="516"/>
              <w:spacing w:after="0"/>
              <w:rPr>
                <w:sz w:val="20"/>
                <w:szCs w:val="20"/>
                <w:color w:val="auto"/>
              </w:rPr>
            </w:pPr>
            <w:r>
              <w:rPr>
                <w:rFonts w:ascii="Arial" w:cs="Arial" w:eastAsia="Arial" w:hAnsi="Arial"/>
                <w:sz w:val="18"/>
                <w:szCs w:val="18"/>
                <w:color w:val="auto"/>
              </w:rPr>
              <w:t>221</w:t>
            </w:r>
          </w:p>
        </w:tc>
        <w:tc>
          <w:tcPr>
            <w:tcW w:w="7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17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5,571</w:t>
            </w: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5,466</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8"/>
                <w:szCs w:val="18"/>
                <w:color w:val="auto"/>
              </w:rPr>
              <w:t>105</w:t>
            </w: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operating costs and expenses</w:t>
            </w:r>
          </w:p>
        </w:tc>
        <w:tc>
          <w:tcPr>
            <w:tcW w:w="1720" w:type="dxa"/>
            <w:vAlign w:val="bottom"/>
            <w:tcBorders>
              <w:bottom w:val="single" w:sz="8" w:color="auto"/>
            </w:tcBorders>
            <w:shd w:val="clear" w:color="auto" w:fill="E5E5E5"/>
          </w:tcPr>
          <w:p>
            <w:pPr>
              <w:spacing w:after="0"/>
              <w:rPr>
                <w:sz w:val="18"/>
                <w:szCs w:val="18"/>
                <w:color w:val="auto"/>
              </w:rPr>
            </w:pPr>
          </w:p>
        </w:tc>
        <w:tc>
          <w:tcPr>
            <w:tcW w:w="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rPr>
              <w:t>16,407</w:t>
            </w:r>
          </w:p>
        </w:tc>
        <w:tc>
          <w:tcPr>
            <w:tcW w:w="4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w w:val="98"/>
              </w:rPr>
              <w:t>15,714</w:t>
            </w:r>
          </w:p>
        </w:tc>
        <w:tc>
          <w:tcPr>
            <w:tcW w:w="440" w:type="dxa"/>
            <w:vAlign w:val="bottom"/>
            <w:tcBorders>
              <w:bottom w:val="single" w:sz="8" w:color="auto"/>
            </w:tcBorders>
            <w:shd w:val="clear" w:color="auto" w:fill="E5E5E5"/>
          </w:tcPr>
          <w:p>
            <w:pPr>
              <w:spacing w:after="0"/>
              <w:rPr>
                <w:sz w:val="18"/>
                <w:szCs w:val="18"/>
                <w:color w:val="auto"/>
              </w:rPr>
            </w:pPr>
          </w:p>
        </w:tc>
        <w:tc>
          <w:tcPr>
            <w:tcW w:w="1140" w:type="dxa"/>
            <w:vAlign w:val="bottom"/>
            <w:tcBorders>
              <w:bottom w:val="single" w:sz="8" w:color="auto"/>
            </w:tcBorders>
            <w:shd w:val="clear" w:color="auto" w:fill="E5E5E5"/>
          </w:tcPr>
          <w:p>
            <w:pPr>
              <w:jc w:val="right"/>
              <w:ind w:right="516"/>
              <w:spacing w:after="0"/>
              <w:rPr>
                <w:sz w:val="20"/>
                <w:szCs w:val="20"/>
                <w:color w:val="auto"/>
              </w:rPr>
            </w:pPr>
            <w:r>
              <w:rPr>
                <w:rFonts w:ascii="Arial" w:cs="Arial" w:eastAsia="Arial" w:hAnsi="Arial"/>
                <w:sz w:val="18"/>
                <w:szCs w:val="18"/>
                <w:color w:val="auto"/>
              </w:rPr>
              <w:t>693</w:t>
            </w:r>
          </w:p>
        </w:tc>
        <w:tc>
          <w:tcPr>
            <w:tcW w:w="76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7"/>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22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rPr>
              <w:t>11,349</w:t>
            </w:r>
          </w:p>
        </w:tc>
        <w:tc>
          <w:tcPr>
            <w:tcW w:w="4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b w:val="1"/>
                <w:bCs w:val="1"/>
                <w:color w:val="auto"/>
                <w:w w:val="98"/>
              </w:rPr>
              <w:t>10,599</w:t>
            </w:r>
          </w:p>
        </w:tc>
        <w:tc>
          <w:tcPr>
            <w:tcW w:w="4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8"/>
                <w:szCs w:val="18"/>
                <w:b w:val="1"/>
                <w:bCs w:val="1"/>
                <w:color w:val="auto"/>
              </w:rPr>
              <w:t>750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w:t>
            </w:r>
          </w:p>
        </w:tc>
        <w:tc>
          <w:tcPr>
            <w:tcW w:w="0" w:type="dxa"/>
            <w:vAlign w:val="bottom"/>
          </w:tcPr>
          <w:p>
            <w:pPr>
              <w:spacing w:after="0"/>
              <w:rPr>
                <w:sz w:val="1"/>
                <w:szCs w:val="1"/>
                <w:color w:val="auto"/>
              </w:rPr>
            </w:pPr>
          </w:p>
        </w:tc>
      </w:tr>
      <w:tr>
        <w:trPr>
          <w:trHeight w:val="363"/>
        </w:trPr>
        <w:tc>
          <w:tcPr>
            <w:tcW w:w="4900" w:type="dxa"/>
            <w:vAlign w:val="bottom"/>
          </w:tcPr>
          <w:p>
            <w:pPr>
              <w:spacing w:after="0"/>
              <w:rPr>
                <w:sz w:val="24"/>
                <w:szCs w:val="24"/>
                <w:color w:val="auto"/>
              </w:rPr>
            </w:pPr>
          </w:p>
        </w:tc>
        <w:tc>
          <w:tcPr>
            <w:tcW w:w="1720" w:type="dxa"/>
            <w:vAlign w:val="bottom"/>
          </w:tcPr>
          <w:p>
            <w:pPr>
              <w:jc w:val="right"/>
              <w:ind w:right="712"/>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Customer Metrics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920" w:type="dxa"/>
            <w:vAlign w:val="bottom"/>
            <w:gridSpan w:val="3"/>
          </w:tcPr>
          <w:p>
            <w:pPr>
              <w:ind w:left="940"/>
              <w:spacing w:after="0"/>
              <w:rPr>
                <w:sz w:val="20"/>
                <w:szCs w:val="20"/>
                <w:color w:val="auto"/>
              </w:rPr>
            </w:pPr>
            <w:r>
              <w:rPr>
                <w:rFonts w:ascii="Arial" w:cs="Arial" w:eastAsia="Arial" w:hAnsi="Arial"/>
                <w:sz w:val="14"/>
                <w:szCs w:val="14"/>
                <w:color w:val="auto"/>
              </w:rPr>
              <w:t>Total Customers</w:t>
            </w:r>
          </w:p>
        </w:tc>
        <w:tc>
          <w:tcPr>
            <w:tcW w:w="3540" w:type="dxa"/>
            <w:vAlign w:val="bottom"/>
            <w:gridSpan w:val="2"/>
          </w:tcPr>
          <w:p>
            <w:pPr>
              <w:jc w:val="right"/>
              <w:ind w:right="757"/>
              <w:spacing w:after="0"/>
              <w:rPr>
                <w:sz w:val="20"/>
                <w:szCs w:val="20"/>
                <w:color w:val="auto"/>
              </w:rPr>
            </w:pPr>
            <w:r>
              <w:rPr>
                <w:rFonts w:ascii="Arial" w:cs="Arial" w:eastAsia="Arial" w:hAnsi="Arial"/>
                <w:sz w:val="14"/>
                <w:szCs w:val="14"/>
                <w:color w:val="auto"/>
              </w:rPr>
              <w:t>Net Additional Customers</w:t>
            </w:r>
          </w:p>
        </w:tc>
      </w:tr>
      <w:tr>
        <w:trPr>
          <w:trHeight w:val="131"/>
        </w:trPr>
        <w:tc>
          <w:tcPr>
            <w:tcW w:w="4960" w:type="dxa"/>
            <w:vAlign w:val="bottom"/>
          </w:tcPr>
          <w:p>
            <w:pPr>
              <w:spacing w:after="0"/>
              <w:rPr>
                <w:sz w:val="11"/>
                <w:szCs w:val="11"/>
                <w:color w:val="auto"/>
              </w:rPr>
            </w:pPr>
          </w:p>
        </w:tc>
        <w:tc>
          <w:tcPr>
            <w:tcW w:w="2340" w:type="dxa"/>
            <w:vAlign w:val="bottom"/>
            <w:tcBorders>
              <w:top w:val="single" w:sz="8" w:color="auto"/>
            </w:tcBorders>
            <w:gridSpan w:val="2"/>
          </w:tcPr>
          <w:p>
            <w:pPr>
              <w:jc w:val="right"/>
              <w:ind w:right="477"/>
              <w:spacing w:after="0" w:line="131" w:lineRule="exact"/>
              <w:rPr>
                <w:sz w:val="20"/>
                <w:szCs w:val="20"/>
                <w:color w:val="auto"/>
              </w:rPr>
            </w:pPr>
            <w:r>
              <w:rPr>
                <w:rFonts w:ascii="Arial" w:cs="Arial" w:eastAsia="Arial" w:hAnsi="Arial"/>
                <w:sz w:val="14"/>
                <w:szCs w:val="14"/>
                <w:color w:val="auto"/>
              </w:rPr>
              <w:t>September 30,</w:t>
            </w:r>
          </w:p>
        </w:tc>
        <w:tc>
          <w:tcPr>
            <w:tcW w:w="580" w:type="dxa"/>
            <w:vAlign w:val="bottom"/>
          </w:tcPr>
          <w:p>
            <w:pPr>
              <w:spacing w:after="0"/>
              <w:rPr>
                <w:sz w:val="11"/>
                <w:szCs w:val="11"/>
                <w:color w:val="auto"/>
              </w:rPr>
            </w:pPr>
          </w:p>
        </w:tc>
        <w:tc>
          <w:tcPr>
            <w:tcW w:w="2040" w:type="dxa"/>
            <w:vAlign w:val="bottom"/>
            <w:tcBorders>
              <w:top w:val="single" w:sz="8" w:color="auto"/>
            </w:tcBorders>
          </w:tcPr>
          <w:p>
            <w:pPr>
              <w:jc w:val="right"/>
              <w:ind w:right="282"/>
              <w:spacing w:after="0" w:line="131" w:lineRule="exact"/>
              <w:rPr>
                <w:sz w:val="20"/>
                <w:szCs w:val="20"/>
                <w:color w:val="auto"/>
              </w:rPr>
            </w:pPr>
            <w:r>
              <w:rPr>
                <w:rFonts w:ascii="Arial" w:cs="Arial" w:eastAsia="Arial" w:hAnsi="Arial"/>
                <w:sz w:val="14"/>
                <w:szCs w:val="14"/>
                <w:color w:val="auto"/>
              </w:rPr>
              <w:t>Three Months Ended</w:t>
            </w:r>
          </w:p>
        </w:tc>
        <w:tc>
          <w:tcPr>
            <w:tcW w:w="1500" w:type="dxa"/>
            <w:vAlign w:val="bottom"/>
            <w:tcBorders>
              <w:top w:val="single" w:sz="8" w:color="auto"/>
            </w:tcBorders>
          </w:tcPr>
          <w:p>
            <w:pPr>
              <w:jc w:val="right"/>
              <w:ind w:right="37"/>
              <w:spacing w:after="0" w:line="131" w:lineRule="exact"/>
              <w:rPr>
                <w:sz w:val="20"/>
                <w:szCs w:val="20"/>
                <w:color w:val="auto"/>
              </w:rPr>
            </w:pPr>
            <w:r>
              <w:rPr>
                <w:rFonts w:ascii="Arial" w:cs="Arial" w:eastAsia="Arial" w:hAnsi="Arial"/>
                <w:sz w:val="14"/>
                <w:szCs w:val="14"/>
                <w:color w:val="auto"/>
              </w:rPr>
              <w:t>Nine Months Ended</w:t>
            </w:r>
          </w:p>
        </w:tc>
      </w:tr>
      <w:tr>
        <w:trPr>
          <w:trHeight w:val="159"/>
        </w:trPr>
        <w:tc>
          <w:tcPr>
            <w:tcW w:w="49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thousands)</w:t>
            </w:r>
          </w:p>
        </w:tc>
        <w:tc>
          <w:tcPr>
            <w:tcW w:w="1420" w:type="dxa"/>
            <w:vAlign w:val="bottom"/>
            <w:tcBorders>
              <w:bottom w:val="single" w:sz="8" w:color="auto"/>
            </w:tcBorders>
          </w:tcPr>
          <w:p>
            <w:pPr>
              <w:jc w:val="right"/>
              <w:ind w:right="402"/>
              <w:spacing w:after="0" w:line="159" w:lineRule="exact"/>
              <w:rPr>
                <w:sz w:val="20"/>
                <w:szCs w:val="20"/>
                <w:color w:val="auto"/>
              </w:rPr>
            </w:pPr>
            <w:r>
              <w:rPr>
                <w:rFonts w:ascii="Arial" w:cs="Arial" w:eastAsia="Arial" w:hAnsi="Arial"/>
                <w:sz w:val="14"/>
                <w:szCs w:val="14"/>
                <w:color w:val="auto"/>
              </w:rPr>
              <w:t>2011</w:t>
            </w:r>
          </w:p>
        </w:tc>
        <w:tc>
          <w:tcPr>
            <w:tcW w:w="920" w:type="dxa"/>
            <w:vAlign w:val="bottom"/>
            <w:tcBorders>
              <w:bottom w:val="single" w:sz="8" w:color="auto"/>
            </w:tcBorders>
          </w:tcPr>
          <w:p>
            <w:pPr>
              <w:jc w:val="right"/>
              <w:ind w:right="137"/>
              <w:spacing w:after="0" w:line="159" w:lineRule="exact"/>
              <w:rPr>
                <w:sz w:val="20"/>
                <w:szCs w:val="20"/>
                <w:color w:val="auto"/>
              </w:rPr>
            </w:pPr>
            <w:r>
              <w:rPr>
                <w:rFonts w:ascii="Arial" w:cs="Arial" w:eastAsia="Arial" w:hAnsi="Arial"/>
                <w:sz w:val="14"/>
                <w:szCs w:val="14"/>
                <w:color w:val="auto"/>
              </w:rPr>
              <w:t>2010</w:t>
            </w:r>
          </w:p>
        </w:tc>
        <w:tc>
          <w:tcPr>
            <w:tcW w:w="580" w:type="dxa"/>
            <w:vAlign w:val="bottom"/>
            <w:tcBorders>
              <w:bottom w:val="single" w:sz="8" w:color="E5E5E5"/>
            </w:tcBorders>
          </w:tcPr>
          <w:p>
            <w:pPr>
              <w:spacing w:after="0"/>
              <w:rPr>
                <w:sz w:val="13"/>
                <w:szCs w:val="13"/>
                <w:color w:val="auto"/>
              </w:rPr>
            </w:pPr>
          </w:p>
        </w:tc>
        <w:tc>
          <w:tcPr>
            <w:tcW w:w="3540" w:type="dxa"/>
            <w:vAlign w:val="bottom"/>
            <w:tcBorders>
              <w:bottom w:val="single" w:sz="8" w:color="auto"/>
            </w:tcBorders>
            <w:gridSpan w:val="2"/>
          </w:tcPr>
          <w:p>
            <w:pPr>
              <w:jc w:val="right"/>
              <w:ind w:right="937"/>
              <w:spacing w:after="0" w:line="159" w:lineRule="exact"/>
              <w:rPr>
                <w:sz w:val="20"/>
                <w:szCs w:val="20"/>
                <w:color w:val="auto"/>
              </w:rPr>
            </w:pPr>
            <w:r>
              <w:rPr>
                <w:rFonts w:ascii="Arial" w:cs="Arial" w:eastAsia="Arial" w:hAnsi="Arial"/>
                <w:sz w:val="14"/>
                <w:szCs w:val="14"/>
                <w:color w:val="auto"/>
              </w:rPr>
              <w:t>September 30, 2011</w:t>
            </w:r>
          </w:p>
        </w:tc>
      </w:tr>
      <w:tr>
        <w:trPr>
          <w:trHeight w:val="210"/>
        </w:trPr>
        <w:tc>
          <w:tcPr>
            <w:tcW w:w="4960" w:type="dxa"/>
            <w:vAlign w:val="bottom"/>
            <w:shd w:val="clear" w:color="auto" w:fill="E5E5E5"/>
          </w:tcPr>
          <w:p>
            <w:pPr>
              <w:spacing w:after="0"/>
              <w:rPr>
                <w:sz w:val="20"/>
                <w:szCs w:val="20"/>
                <w:color w:val="auto"/>
              </w:rPr>
            </w:pPr>
            <w:r>
              <w:rPr>
                <w:rFonts w:ascii="Arial" w:cs="Arial" w:eastAsia="Arial" w:hAnsi="Arial"/>
                <w:sz w:val="18"/>
                <w:szCs w:val="18"/>
                <w:color w:val="auto"/>
              </w:rPr>
              <w:t>Video customers</w:t>
            </w:r>
          </w:p>
        </w:tc>
        <w:tc>
          <w:tcPr>
            <w:tcW w:w="1420" w:type="dxa"/>
            <w:vAlign w:val="bottom"/>
            <w:shd w:val="clear" w:color="auto" w:fill="E5E5E5"/>
          </w:tcPr>
          <w:p>
            <w:pPr>
              <w:jc w:val="right"/>
              <w:ind w:right="262"/>
              <w:spacing w:after="0"/>
              <w:rPr>
                <w:sz w:val="20"/>
                <w:szCs w:val="20"/>
                <w:color w:val="auto"/>
              </w:rPr>
            </w:pPr>
            <w:r>
              <w:rPr>
                <w:rFonts w:ascii="Arial" w:cs="Arial" w:eastAsia="Arial" w:hAnsi="Arial"/>
                <w:sz w:val="18"/>
                <w:szCs w:val="18"/>
                <w:color w:val="auto"/>
              </w:rPr>
              <w:t>22,360</w:t>
            </w:r>
          </w:p>
        </w:tc>
        <w:tc>
          <w:tcPr>
            <w:tcW w:w="92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22,937</w:t>
            </w:r>
          </w:p>
        </w:tc>
        <w:tc>
          <w:tcPr>
            <w:tcW w:w="580" w:type="dxa"/>
            <w:vAlign w:val="bottom"/>
            <w:shd w:val="clear" w:color="auto" w:fill="E5E5E5"/>
          </w:tcPr>
          <w:p>
            <w:pPr>
              <w:spacing w:after="0"/>
              <w:rPr>
                <w:sz w:val="18"/>
                <w:szCs w:val="18"/>
                <w:color w:val="auto"/>
              </w:rPr>
            </w:pPr>
          </w:p>
        </w:tc>
        <w:tc>
          <w:tcPr>
            <w:tcW w:w="2040" w:type="dxa"/>
            <w:vAlign w:val="bottom"/>
            <w:shd w:val="clear" w:color="auto" w:fill="E5E5E5"/>
          </w:tcPr>
          <w:p>
            <w:pPr>
              <w:jc w:val="right"/>
              <w:ind w:right="222"/>
              <w:spacing w:after="0"/>
              <w:rPr>
                <w:sz w:val="20"/>
                <w:szCs w:val="20"/>
                <w:color w:val="auto"/>
              </w:rPr>
            </w:pPr>
            <w:r>
              <w:rPr>
                <w:rFonts w:ascii="Arial" w:cs="Arial" w:eastAsia="Arial" w:hAnsi="Arial"/>
                <w:sz w:val="18"/>
                <w:szCs w:val="18"/>
                <w:color w:val="auto"/>
              </w:rPr>
              <w:t>(165)</w:t>
            </w:r>
          </w:p>
        </w:tc>
        <w:tc>
          <w:tcPr>
            <w:tcW w:w="1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(443)</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High-speed Internet customers</w:t>
            </w:r>
          </w:p>
        </w:tc>
        <w:tc>
          <w:tcPr>
            <w:tcW w:w="1420" w:type="dxa"/>
            <w:vAlign w:val="bottom"/>
          </w:tcPr>
          <w:p>
            <w:pPr>
              <w:jc w:val="right"/>
              <w:ind w:right="262"/>
              <w:spacing w:after="0"/>
              <w:rPr>
                <w:sz w:val="20"/>
                <w:szCs w:val="20"/>
                <w:color w:val="auto"/>
              </w:rPr>
            </w:pPr>
            <w:r>
              <w:rPr>
                <w:rFonts w:ascii="Arial" w:cs="Arial" w:eastAsia="Arial" w:hAnsi="Arial"/>
                <w:sz w:val="18"/>
                <w:szCs w:val="18"/>
                <w:color w:val="auto"/>
              </w:rPr>
              <w:t>17,811</w:t>
            </w: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16,696</w:t>
            </w:r>
          </w:p>
        </w:tc>
        <w:tc>
          <w:tcPr>
            <w:tcW w:w="580" w:type="dxa"/>
            <w:vAlign w:val="bottom"/>
          </w:tcPr>
          <w:p>
            <w:pPr>
              <w:spacing w:after="0"/>
              <w:rPr>
                <w:sz w:val="18"/>
                <w:szCs w:val="18"/>
                <w:color w:val="auto"/>
              </w:rPr>
            </w:pPr>
          </w:p>
        </w:tc>
        <w:tc>
          <w:tcPr>
            <w:tcW w:w="2040" w:type="dxa"/>
            <w:vAlign w:val="bottom"/>
          </w:tcPr>
          <w:p>
            <w:pPr>
              <w:jc w:val="right"/>
              <w:ind w:right="282"/>
              <w:spacing w:after="0"/>
              <w:rPr>
                <w:sz w:val="20"/>
                <w:szCs w:val="20"/>
                <w:color w:val="auto"/>
              </w:rPr>
            </w:pPr>
            <w:r>
              <w:rPr>
                <w:rFonts w:ascii="Arial" w:cs="Arial" w:eastAsia="Arial" w:hAnsi="Arial"/>
                <w:sz w:val="18"/>
                <w:szCs w:val="18"/>
                <w:color w:val="auto"/>
              </w:rPr>
              <w:t>261</w:t>
            </w: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823</w:t>
            </w:r>
          </w:p>
        </w:tc>
      </w:tr>
      <w:tr>
        <w:trPr>
          <w:trHeight w:val="216"/>
        </w:trPr>
        <w:tc>
          <w:tcPr>
            <w:tcW w:w="49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Phone customers</w:t>
            </w:r>
          </w:p>
        </w:tc>
        <w:tc>
          <w:tcPr>
            <w:tcW w:w="1420" w:type="dxa"/>
            <w:vAlign w:val="bottom"/>
            <w:tcBorders>
              <w:bottom w:val="single" w:sz="8" w:color="auto"/>
            </w:tcBorders>
            <w:shd w:val="clear" w:color="auto" w:fill="E5E5E5"/>
          </w:tcPr>
          <w:p>
            <w:pPr>
              <w:jc w:val="right"/>
              <w:ind w:right="262"/>
              <w:spacing w:after="0"/>
              <w:rPr>
                <w:sz w:val="20"/>
                <w:szCs w:val="20"/>
                <w:color w:val="auto"/>
              </w:rPr>
            </w:pPr>
            <w:r>
              <w:rPr>
                <w:rFonts w:ascii="Arial" w:cs="Arial" w:eastAsia="Arial" w:hAnsi="Arial"/>
                <w:sz w:val="18"/>
                <w:szCs w:val="18"/>
                <w:color w:val="auto"/>
              </w:rPr>
              <w:t>9,196</w:t>
            </w:r>
          </w:p>
        </w:tc>
        <w:tc>
          <w:tcPr>
            <w:tcW w:w="92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rPr>
              <w:t>8,353</w:t>
            </w:r>
          </w:p>
        </w:tc>
        <w:tc>
          <w:tcPr>
            <w:tcW w:w="580" w:type="dxa"/>
            <w:vAlign w:val="bottom"/>
            <w:shd w:val="clear" w:color="auto" w:fill="E5E5E5"/>
          </w:tcPr>
          <w:p>
            <w:pPr>
              <w:spacing w:after="0"/>
              <w:rPr>
                <w:sz w:val="18"/>
                <w:szCs w:val="18"/>
                <w:color w:val="auto"/>
              </w:rPr>
            </w:pPr>
          </w:p>
        </w:tc>
        <w:tc>
          <w:tcPr>
            <w:tcW w:w="2040" w:type="dxa"/>
            <w:vAlign w:val="bottom"/>
            <w:tcBorders>
              <w:bottom w:val="single" w:sz="8" w:color="auto"/>
            </w:tcBorders>
            <w:shd w:val="clear" w:color="auto" w:fill="E5E5E5"/>
          </w:tcPr>
          <w:p>
            <w:pPr>
              <w:jc w:val="right"/>
              <w:ind w:right="282"/>
              <w:spacing w:after="0"/>
              <w:rPr>
                <w:sz w:val="20"/>
                <w:szCs w:val="20"/>
                <w:color w:val="auto"/>
              </w:rPr>
            </w:pPr>
            <w:r>
              <w:rPr>
                <w:rFonts w:ascii="Arial" w:cs="Arial" w:eastAsia="Arial" w:hAnsi="Arial"/>
                <w:sz w:val="18"/>
                <w:szCs w:val="18"/>
                <w:color w:val="auto"/>
              </w:rPr>
              <w:t>133</w:t>
            </w:r>
          </w:p>
        </w:tc>
        <w:tc>
          <w:tcPr>
            <w:tcW w:w="150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rPr>
              <w:t>586</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Segment—Revenue</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average monthly total revenue per video customer for the three months ended September 30, 2011 increased to approximately $139 from approximately $128 for the three months ended September 30, 2010. Our average monthly total revenue per video customer for the nine months ended September 30, 2011 increased to approximately $137 from approximately $126 for the nine months ended September 30, 2010. The increases in average monthly total revenue per video customer were primarily due to an increased number of residential customers receiving multiple services, rate adjustments and a higher contribution from business services.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w:t>
      </w:r>
    </w:p>
    <w:p>
      <w:pPr>
        <w:spacing w:after="0" w:line="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video revenue increased during the three and nine months ended September 30, 2011 compared to the same periods in 2010 primarily due to rate adjustments and customer upgrades to our digital and advanced services, which consist of high-definition television (“HDTV”) and digital video recorder (“DVR”). During the three and nine months ended September 30, 2011, the number of video customers decreased primarily due to competitive pressures in our service areas and weakness in the economy. We expect further declines in the number of residential video customers during the remainder of 2011 for similar reasons.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High-Speed Internet</w:t>
      </w:r>
    </w:p>
    <w:p>
      <w:pPr>
        <w:spacing w:after="0" w:line="7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high-speed Internet revenue increased during the three and nine months ended September 30, 2011 compared to the same periods in 2010 primarily due to increases in the number of residential customers and rate adjustments.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Phone</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phone revenue increased during the three and nine months ended September 30, 2011 compared to the same periods in 2010 primarily due to increases in the number of residential customers.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advertising revenue decreased during the three months ended September 30, 2011 compared to the same period in 2010 primarily due to lower political advertising revenue in the third quarter of 2011. Our advertising revenue increased during the nine months ended September 30, 2011 compared to the same period in 2010 primarily due to improvements in the overall television advertising market in the first half of 2011.</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Services</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business services revenue increased during the three and nine months ended September 30, 2011 compared to the same periods in 2010 primarily due to increases in the number of customers across all services.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revenue includes revenue generated from franchise and other regulatory fees, our digital media center, commissions from electronic retailing networks, and fees from other services.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Segment—Operating Costs and Expenses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Programming expenses increased during the three and nine months ended September 30, 2011 compared to the same periods in 2010 primarily due to increased rates, additional digital customers and additional programming options offered. Marketing expenses increased during the three and nine months ended September 30, 2011 compared to the same periods in 2010 primarily due to increases in spending associated with the continued expansion of business services and costs associated with the Xfinity brand and competitive marketing.</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Segments—Results of Operations</w:t>
      </w:r>
    </w:p>
    <w:p>
      <w:pPr>
        <w:spacing w:after="0" w:line="8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discussion below compares the NBCUniversal segments’ actual results for the three months ended September 30, 2011 with pro forma combined results for the three months ended September 30, 2010 and pro forma combined results for the nine months ended September 30, 2011 and 2010. Management believes reviewing our operating results by combining actual and pro forma results for the NBCUniversal segments is more useful in identifying trends in, or reaching conclusions regarding, the overall operating performance of these segments. Our pro forma segment information includes adjustments as if the NBCUniversal and UCDP transactions had occurred on January 1, 2010. Our pro forma data is also adjusted for the effects of acquisition accounting and the elimination of costs and expenses directly related to the transactions but does not include adjustments for costs related to integration activities, cost savings or synergies that have been or may be achieved by the combined businesses. Pro forma amounts are not necessarily indicative of what our results would have been had we operated the NBCUniversal contributed businesses or UCDP since January 1, 2010, nor of our future results.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The operating results of the NBCUniversal segments are presented in the table below.</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80" w:type="dxa"/>
            <w:vAlign w:val="bottom"/>
            <w:gridSpan w:val="4"/>
          </w:tcPr>
          <w:p>
            <w:pPr>
              <w:ind w:left="620"/>
              <w:spacing w:after="0"/>
              <w:rPr>
                <w:sz w:val="20"/>
                <w:szCs w:val="20"/>
                <w:color w:val="auto"/>
              </w:rPr>
            </w:pPr>
            <w:r>
              <w:rPr>
                <w:rFonts w:ascii="Arial" w:cs="Arial" w:eastAsia="Arial" w:hAnsi="Arial"/>
                <w:sz w:val="14"/>
                <w:szCs w:val="14"/>
                <w:color w:val="auto"/>
              </w:rPr>
              <w:t>Three Months Ended September 30, 2010</w:t>
            </w:r>
          </w:p>
        </w:tc>
        <w:tc>
          <w:tcPr>
            <w:tcW w:w="2080" w:type="dxa"/>
            <w:vAlign w:val="bottom"/>
            <w:gridSpan w:val="2"/>
            <w:vMerge w:val="restart"/>
          </w:tcPr>
          <w:p>
            <w:pPr>
              <w:jc w:val="center"/>
              <w:spacing w:after="0"/>
              <w:rPr>
                <w:sz w:val="20"/>
                <w:szCs w:val="20"/>
                <w:color w:val="auto"/>
              </w:rPr>
            </w:pPr>
            <w:r>
              <w:rPr>
                <w:rFonts w:ascii="Arial" w:cs="Arial" w:eastAsia="Arial" w:hAnsi="Arial"/>
                <w:sz w:val="14"/>
                <w:szCs w:val="14"/>
                <w:color w:val="auto"/>
                <w:w w:val="88"/>
              </w:rPr>
              <w:t>Pro Forma Combined</w:t>
            </w:r>
          </w:p>
        </w:tc>
        <w:tc>
          <w:tcPr>
            <w:tcW w:w="0" w:type="dxa"/>
            <w:vAlign w:val="bottom"/>
          </w:tcPr>
          <w:p>
            <w:pPr>
              <w:spacing w:after="0"/>
              <w:rPr>
                <w:sz w:val="1"/>
                <w:szCs w:val="1"/>
                <w:color w:val="auto"/>
              </w:rPr>
            </w:pPr>
          </w:p>
        </w:tc>
      </w:tr>
      <w:tr>
        <w:trPr>
          <w:trHeight w:val="115"/>
        </w:trPr>
        <w:tc>
          <w:tcPr>
            <w:tcW w:w="3660" w:type="dxa"/>
            <w:vAlign w:val="bottom"/>
          </w:tcPr>
          <w:p>
            <w:pPr>
              <w:spacing w:after="0"/>
              <w:rPr>
                <w:sz w:val="10"/>
                <w:szCs w:val="10"/>
                <w:color w:val="auto"/>
              </w:rPr>
            </w:pPr>
          </w:p>
        </w:tc>
        <w:tc>
          <w:tcPr>
            <w:tcW w:w="200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84"/>
              </w:rPr>
              <w:t>Actual</w:t>
            </w:r>
            <w:r>
              <w:rPr>
                <w:rFonts w:ascii="Arial" w:cs="Arial" w:eastAsia="Arial" w:hAnsi="Arial"/>
                <w:sz w:val="22"/>
                <w:szCs w:val="22"/>
                <w:color w:val="auto"/>
                <w:w w:val="84"/>
                <w:vertAlign w:val="superscript"/>
              </w:rPr>
              <w:t>(a)</w:t>
            </w:r>
          </w:p>
        </w:tc>
        <w:tc>
          <w:tcPr>
            <w:tcW w:w="1020" w:type="dxa"/>
            <w:vAlign w:val="bottom"/>
            <w:tcBorders>
              <w:top w:val="single" w:sz="8" w:color="auto"/>
            </w:tcBorders>
            <w:vMerge w:val="restart"/>
          </w:tcPr>
          <w:p>
            <w:pPr>
              <w:jc w:val="center"/>
              <w:ind w:left="72"/>
              <w:spacing w:after="0"/>
              <w:rPr>
                <w:sz w:val="20"/>
                <w:szCs w:val="20"/>
                <w:color w:val="auto"/>
              </w:rPr>
            </w:pPr>
            <w:r>
              <w:rPr>
                <w:rFonts w:ascii="Arial" w:cs="Arial" w:eastAsia="Arial" w:hAnsi="Arial"/>
                <w:sz w:val="14"/>
                <w:szCs w:val="14"/>
                <w:color w:val="auto"/>
                <w:w w:val="84"/>
              </w:rPr>
              <w:t>Actual</w:t>
            </w:r>
            <w:r>
              <w:rPr>
                <w:rFonts w:ascii="Arial" w:cs="Arial" w:eastAsia="Arial" w:hAnsi="Arial"/>
                <w:sz w:val="22"/>
                <w:szCs w:val="22"/>
                <w:color w:val="auto"/>
                <w:w w:val="84"/>
                <w:vertAlign w:val="superscript"/>
              </w:rPr>
              <w:t>(a)</w:t>
            </w:r>
          </w:p>
        </w:tc>
        <w:tc>
          <w:tcPr>
            <w:tcW w:w="12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color w:val="auto"/>
                <w:w w:val="85"/>
              </w:rPr>
              <w:t>Pro Forma</w:t>
            </w:r>
            <w:r>
              <w:rPr>
                <w:rFonts w:ascii="Arial" w:cs="Arial" w:eastAsia="Arial" w:hAnsi="Arial"/>
                <w:sz w:val="22"/>
                <w:szCs w:val="22"/>
                <w:color w:val="auto"/>
                <w:w w:val="85"/>
                <w:vertAlign w:val="superscript"/>
              </w:rPr>
              <w:t>(b)</w:t>
            </w:r>
          </w:p>
        </w:tc>
        <w:tc>
          <w:tcPr>
            <w:tcW w:w="106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color w:val="auto"/>
                <w:w w:val="98"/>
              </w:rPr>
              <w:t>Pro Forma</w:t>
            </w:r>
          </w:p>
        </w:tc>
        <w:tc>
          <w:tcPr>
            <w:tcW w:w="360" w:type="dxa"/>
            <w:vAlign w:val="bottom"/>
          </w:tcPr>
          <w:p>
            <w:pPr>
              <w:spacing w:after="0"/>
              <w:rPr>
                <w:sz w:val="10"/>
                <w:szCs w:val="10"/>
                <w:color w:val="auto"/>
              </w:rPr>
            </w:pPr>
          </w:p>
        </w:tc>
        <w:tc>
          <w:tcPr>
            <w:tcW w:w="20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660" w:type="dxa"/>
            <w:vAlign w:val="bottom"/>
          </w:tcPr>
          <w:p>
            <w:pPr>
              <w:spacing w:after="0"/>
              <w:rPr>
                <w:sz w:val="15"/>
                <w:szCs w:val="15"/>
                <w:color w:val="auto"/>
              </w:rPr>
            </w:pPr>
          </w:p>
        </w:tc>
        <w:tc>
          <w:tcPr>
            <w:tcW w:w="2000" w:type="dxa"/>
            <w:vAlign w:val="bottom"/>
            <w:gridSpan w:val="2"/>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420" w:type="dxa"/>
            <w:vAlign w:val="bottom"/>
            <w:gridSpan w:val="2"/>
          </w:tcPr>
          <w:p>
            <w:pPr>
              <w:jc w:val="center"/>
              <w:ind w:right="300"/>
              <w:spacing w:after="0" w:line="176" w:lineRule="exact"/>
              <w:rPr>
                <w:sz w:val="20"/>
                <w:szCs w:val="20"/>
                <w:color w:val="auto"/>
              </w:rPr>
            </w:pPr>
            <w:r>
              <w:rPr>
                <w:rFonts w:ascii="Arial" w:cs="Arial" w:eastAsia="Arial" w:hAnsi="Arial"/>
                <w:sz w:val="13"/>
                <w:szCs w:val="13"/>
                <w:color w:val="auto"/>
                <w:w w:val="90"/>
              </w:rPr>
              <w:t>Combined</w:t>
            </w:r>
            <w:r>
              <w:rPr>
                <w:rFonts w:ascii="Arial" w:cs="Arial" w:eastAsia="Arial" w:hAnsi="Arial"/>
                <w:sz w:val="20"/>
                <w:szCs w:val="20"/>
                <w:color w:val="auto"/>
                <w:w w:val="90"/>
                <w:vertAlign w:val="superscript"/>
              </w:rPr>
              <w:t>(c)</w:t>
            </w:r>
          </w:p>
        </w:tc>
        <w:tc>
          <w:tcPr>
            <w:tcW w:w="2080" w:type="dxa"/>
            <w:vAlign w:val="bottom"/>
            <w:gridSpan w:val="2"/>
          </w:tcPr>
          <w:p>
            <w:pPr>
              <w:jc w:val="center"/>
              <w:spacing w:after="0"/>
              <w:rPr>
                <w:sz w:val="20"/>
                <w:szCs w:val="20"/>
                <w:color w:val="auto"/>
              </w:rPr>
            </w:pPr>
            <w:r>
              <w:rPr>
                <w:rFonts w:ascii="Arial" w:cs="Arial" w:eastAsia="Arial" w:hAnsi="Arial"/>
                <w:sz w:val="14"/>
                <w:szCs w:val="14"/>
                <w:color w:val="auto"/>
                <w:w w:val="83"/>
              </w:rPr>
              <w:t>Increase/(Decrease)</w:t>
            </w:r>
          </w:p>
        </w:tc>
        <w:tc>
          <w:tcPr>
            <w:tcW w:w="0" w:type="dxa"/>
            <w:vAlign w:val="bottom"/>
          </w:tcPr>
          <w:p>
            <w:pPr>
              <w:spacing w:after="0"/>
              <w:rPr>
                <w:sz w:val="1"/>
                <w:szCs w:val="1"/>
                <w:color w:val="auto"/>
              </w:rPr>
            </w:pPr>
          </w:p>
        </w:tc>
      </w:tr>
      <w:tr>
        <w:trPr>
          <w:trHeight w:val="131"/>
        </w:trPr>
        <w:tc>
          <w:tcPr>
            <w:tcW w:w="3660" w:type="dxa"/>
            <w:vAlign w:val="bottom"/>
          </w:tcPr>
          <w:p>
            <w:pPr>
              <w:spacing w:after="0"/>
              <w:rPr>
                <w:sz w:val="11"/>
                <w:szCs w:val="11"/>
                <w:color w:val="auto"/>
              </w:rPr>
            </w:pPr>
          </w:p>
        </w:tc>
        <w:tc>
          <w:tcPr>
            <w:tcW w:w="162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tcBorders>
              <w:top w:val="single" w:sz="8" w:color="auto"/>
            </w:tcBorders>
          </w:tcPr>
          <w:p>
            <w:pPr>
              <w:jc w:val="center"/>
              <w:ind w:left="72"/>
              <w:spacing w:after="0" w:line="131" w:lineRule="exact"/>
              <w:rPr>
                <w:sz w:val="20"/>
                <w:szCs w:val="20"/>
                <w:color w:val="auto"/>
              </w:rPr>
            </w:pPr>
            <w:r>
              <w:rPr>
                <w:rFonts w:ascii="Arial" w:cs="Arial" w:eastAsia="Arial" w:hAnsi="Arial"/>
                <w:sz w:val="14"/>
                <w:szCs w:val="14"/>
                <w:color w:val="auto"/>
                <w:w w:val="86"/>
              </w:rPr>
              <w:t>Comcast</w:t>
            </w:r>
          </w:p>
        </w:tc>
        <w:tc>
          <w:tcPr>
            <w:tcW w:w="12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0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7"/>
              </w:rPr>
              <w:t>Three Months Ended</w:t>
            </w:r>
          </w:p>
        </w:tc>
        <w:tc>
          <w:tcPr>
            <w:tcW w:w="1020" w:type="dxa"/>
            <w:vAlign w:val="bottom"/>
          </w:tcPr>
          <w:p>
            <w:pPr>
              <w:jc w:val="center"/>
              <w:ind w:left="52"/>
              <w:spacing w:after="0" w:line="149" w:lineRule="exact"/>
              <w:rPr>
                <w:sz w:val="20"/>
                <w:szCs w:val="20"/>
                <w:color w:val="auto"/>
              </w:rPr>
            </w:pPr>
            <w:r>
              <w:rPr>
                <w:rFonts w:ascii="Arial" w:cs="Arial" w:eastAsia="Arial" w:hAnsi="Arial"/>
                <w:sz w:val="14"/>
                <w:szCs w:val="14"/>
                <w:color w:val="auto"/>
                <w:w w:val="85"/>
              </w:rPr>
              <w:t>Content</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0"/>
              </w:rPr>
              <w:t>NBCUniversal</w:t>
            </w: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660" w:type="dxa"/>
            <w:vAlign w:val="bottom"/>
          </w:tcPr>
          <w:p>
            <w:pPr>
              <w:spacing w:after="0"/>
              <w:rPr>
                <w:sz w:val="20"/>
                <w:szCs w:val="20"/>
                <w:color w:val="auto"/>
              </w:rPr>
            </w:pPr>
            <w:r>
              <w:rPr>
                <w:rFonts w:ascii="Arial" w:cs="Arial" w:eastAsia="Arial" w:hAnsi="Arial"/>
                <w:sz w:val="14"/>
                <w:szCs w:val="14"/>
                <w:color w:val="auto"/>
              </w:rPr>
              <w:t>(in millions)</w:t>
            </w:r>
          </w:p>
        </w:tc>
        <w:tc>
          <w:tcPr>
            <w:tcW w:w="2000" w:type="dxa"/>
            <w:vAlign w:val="bottom"/>
            <w:gridSpan w:val="2"/>
          </w:tcPr>
          <w:p>
            <w:pPr>
              <w:jc w:val="center"/>
              <w:ind w:right="200"/>
              <w:spacing w:after="0"/>
              <w:rPr>
                <w:sz w:val="20"/>
                <w:szCs w:val="20"/>
                <w:color w:val="auto"/>
              </w:rPr>
            </w:pPr>
            <w:r>
              <w:rPr>
                <w:rFonts w:ascii="Arial" w:cs="Arial" w:eastAsia="Arial" w:hAnsi="Arial"/>
                <w:sz w:val="14"/>
                <w:szCs w:val="14"/>
                <w:color w:val="auto"/>
                <w:w w:val="85"/>
              </w:rPr>
              <w:t>September 30, 2011</w:t>
            </w:r>
          </w:p>
        </w:tc>
        <w:tc>
          <w:tcPr>
            <w:tcW w:w="1020" w:type="dxa"/>
            <w:vAlign w:val="bottom"/>
          </w:tcPr>
          <w:p>
            <w:pPr>
              <w:jc w:val="center"/>
              <w:ind w:left="72"/>
              <w:spacing w:after="0"/>
              <w:rPr>
                <w:sz w:val="20"/>
                <w:szCs w:val="20"/>
                <w:color w:val="auto"/>
              </w:rPr>
            </w:pPr>
            <w:r>
              <w:rPr>
                <w:rFonts w:ascii="Arial" w:cs="Arial" w:eastAsia="Arial" w:hAnsi="Arial"/>
                <w:sz w:val="14"/>
                <w:szCs w:val="14"/>
                <w:color w:val="auto"/>
                <w:w w:val="84"/>
              </w:rPr>
              <w:t>Business</w:t>
            </w:r>
          </w:p>
        </w:tc>
        <w:tc>
          <w:tcPr>
            <w:tcW w:w="1240" w:type="dxa"/>
            <w:vAlign w:val="bottom"/>
          </w:tcPr>
          <w:p>
            <w:pPr>
              <w:jc w:val="center"/>
              <w:spacing w:after="0"/>
              <w:rPr>
                <w:sz w:val="20"/>
                <w:szCs w:val="20"/>
                <w:color w:val="auto"/>
              </w:rPr>
            </w:pPr>
            <w:r>
              <w:rPr>
                <w:rFonts w:ascii="Arial" w:cs="Arial" w:eastAsia="Arial" w:hAnsi="Arial"/>
                <w:sz w:val="14"/>
                <w:szCs w:val="14"/>
                <w:color w:val="auto"/>
                <w:w w:val="83"/>
              </w:rPr>
              <w:t>Businesses</w:t>
            </w: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color w:val="auto"/>
                <w:w w:val="89"/>
              </w:rPr>
              <w:t>Total</w:t>
            </w:r>
          </w:p>
        </w:tc>
        <w:tc>
          <w:tcPr>
            <w:tcW w:w="1000" w:type="dxa"/>
            <w:vAlign w:val="bottom"/>
          </w:tcPr>
          <w:p>
            <w:pPr>
              <w:jc w:val="right"/>
              <w:ind w:right="352"/>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Revenue</w:t>
      </w:r>
    </w:p>
    <w:p>
      <w:pPr>
        <w:sectPr>
          <w:pgSz w:w="11900" w:h="16838" w:orient="portrait"/>
          <w:cols w:equalWidth="0" w:num="1">
            <w:col w:w="11420"/>
          </w:cols>
          <w:pgMar w:left="240" w:top="459" w:right="239" w:bottom="1440" w:gutter="0" w:footer="0" w:header="0"/>
        </w:sectPr>
      </w:pP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Cable Networks</w:t>
            </w:r>
          </w:p>
        </w:tc>
        <w:tc>
          <w:tcPr>
            <w:tcW w:w="6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2,097</w:t>
            </w:r>
          </w:p>
        </w:tc>
      </w:tr>
      <w:tr>
        <w:trPr>
          <w:trHeight w:val="216"/>
        </w:trPr>
        <w:tc>
          <w:tcPr>
            <w:tcW w:w="2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Broadcast Television</w:t>
            </w:r>
          </w:p>
        </w:tc>
        <w:tc>
          <w:tcPr>
            <w:tcW w:w="640" w:type="dxa"/>
            <w:vAlign w:val="bottom"/>
          </w:tcPr>
          <w:p>
            <w:pPr>
              <w:spacing w:after="0"/>
              <w:rPr>
                <w:sz w:val="18"/>
                <w:szCs w:val="18"/>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1,511</w:t>
            </w:r>
          </w:p>
        </w:tc>
      </w:tr>
      <w:tr>
        <w:trPr>
          <w:trHeight w:val="216"/>
        </w:trPr>
        <w:tc>
          <w:tcPr>
            <w:tcW w:w="2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Filmed Entertainment</w:t>
            </w:r>
          </w:p>
        </w:tc>
        <w:tc>
          <w:tcPr>
            <w:tcW w:w="640" w:type="dxa"/>
            <w:vAlign w:val="bottom"/>
          </w:tcPr>
          <w:p>
            <w:pPr>
              <w:spacing w:after="0"/>
              <w:rPr>
                <w:sz w:val="18"/>
                <w:szCs w:val="18"/>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1,096</w:t>
            </w:r>
          </w:p>
        </w:tc>
      </w:tr>
      <w:tr>
        <w:trPr>
          <w:trHeight w:val="216"/>
        </w:trPr>
        <w:tc>
          <w:tcPr>
            <w:tcW w:w="2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Theme Parks</w:t>
            </w:r>
          </w:p>
        </w:tc>
        <w:tc>
          <w:tcPr>
            <w:tcW w:w="640" w:type="dxa"/>
            <w:vAlign w:val="bottom"/>
          </w:tcPr>
          <w:p>
            <w:pPr>
              <w:spacing w:after="0"/>
              <w:rPr>
                <w:sz w:val="18"/>
                <w:szCs w:val="18"/>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580</w:t>
            </w:r>
          </w:p>
        </w:tc>
      </w:tr>
      <w:tr>
        <w:trPr>
          <w:trHeight w:val="222"/>
        </w:trPr>
        <w:tc>
          <w:tcPr>
            <w:tcW w:w="20" w:type="dxa"/>
            <w:vAlign w:val="bottom"/>
          </w:tcPr>
          <w:p>
            <w:pPr>
              <w:spacing w:after="0"/>
              <w:rPr>
                <w:sz w:val="19"/>
                <w:szCs w:val="19"/>
                <w:color w:val="auto"/>
              </w:rPr>
            </w:pPr>
          </w:p>
        </w:tc>
        <w:tc>
          <w:tcPr>
            <w:tcW w:w="37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Headquarters, other and eliminations</w:t>
            </w:r>
          </w:p>
        </w:tc>
        <w:tc>
          <w:tcPr>
            <w:tcW w:w="6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r>
      <w:tr>
        <w:trPr>
          <w:trHeight w:val="219"/>
        </w:trPr>
        <w:tc>
          <w:tcPr>
            <w:tcW w:w="2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revenue</w:t>
            </w:r>
          </w:p>
        </w:tc>
        <w:tc>
          <w:tcPr>
            <w:tcW w:w="6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5,200</w:t>
            </w:r>
          </w:p>
        </w:tc>
      </w:tr>
      <w:tr>
        <w:trPr>
          <w:trHeight w:val="202"/>
        </w:trPr>
        <w:tc>
          <w:tcPr>
            <w:tcW w:w="37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Operating Income Before Depreciation and</w:t>
            </w: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760" w:type="dxa"/>
            <w:vAlign w:val="bottom"/>
          </w:tcPr>
          <w:p>
            <w:pPr>
              <w:ind w:left="200"/>
              <w:spacing w:after="0"/>
              <w:rPr>
                <w:sz w:val="20"/>
                <w:szCs w:val="20"/>
                <w:color w:val="auto"/>
              </w:rPr>
            </w:pPr>
            <w:r>
              <w:rPr>
                <w:rFonts w:ascii="Arial" w:cs="Arial" w:eastAsia="Arial" w:hAnsi="Arial"/>
                <w:sz w:val="18"/>
                <w:szCs w:val="18"/>
                <w:b w:val="1"/>
                <w:bCs w:val="1"/>
                <w:color w:val="auto"/>
              </w:rPr>
              <w:t>Amortization</w:t>
            </w:r>
          </w:p>
        </w:tc>
        <w:tc>
          <w:tcPr>
            <w:tcW w:w="6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Cable Networks</w:t>
            </w:r>
          </w:p>
        </w:tc>
        <w:tc>
          <w:tcPr>
            <w:tcW w:w="6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751</w:t>
            </w:r>
          </w:p>
        </w:tc>
      </w:tr>
      <w:tr>
        <w:trPr>
          <w:trHeight w:val="216"/>
        </w:trPr>
        <w:tc>
          <w:tcPr>
            <w:tcW w:w="2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Broadcast Television</w:t>
            </w: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Filmed Entertainment</w:t>
            </w:r>
          </w:p>
        </w:tc>
        <w:tc>
          <w:tcPr>
            <w:tcW w:w="640" w:type="dxa"/>
            <w:vAlign w:val="bottom"/>
          </w:tcPr>
          <w:p>
            <w:pPr>
              <w:spacing w:after="0"/>
              <w:rPr>
                <w:sz w:val="18"/>
                <w:szCs w:val="18"/>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54</w:t>
            </w:r>
          </w:p>
        </w:tc>
      </w:tr>
      <w:tr>
        <w:trPr>
          <w:trHeight w:val="216"/>
        </w:trPr>
        <w:tc>
          <w:tcPr>
            <w:tcW w:w="2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Theme Parks</w:t>
            </w:r>
          </w:p>
        </w:tc>
        <w:tc>
          <w:tcPr>
            <w:tcW w:w="640" w:type="dxa"/>
            <w:vAlign w:val="bottom"/>
          </w:tcPr>
          <w:p>
            <w:pPr>
              <w:spacing w:after="0"/>
              <w:rPr>
                <w:sz w:val="18"/>
                <w:szCs w:val="18"/>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285</w:t>
            </w:r>
          </w:p>
        </w:tc>
      </w:tr>
      <w:tr>
        <w:trPr>
          <w:trHeight w:val="222"/>
        </w:trPr>
        <w:tc>
          <w:tcPr>
            <w:tcW w:w="20" w:type="dxa"/>
            <w:vAlign w:val="bottom"/>
          </w:tcPr>
          <w:p>
            <w:pPr>
              <w:spacing w:after="0"/>
              <w:rPr>
                <w:sz w:val="19"/>
                <w:szCs w:val="19"/>
                <w:color w:val="auto"/>
              </w:rPr>
            </w:pPr>
          </w:p>
        </w:tc>
        <w:tc>
          <w:tcPr>
            <w:tcW w:w="37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Headquarters, other and eliminations</w:t>
            </w:r>
          </w:p>
        </w:tc>
        <w:tc>
          <w:tcPr>
            <w:tcW w:w="6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r>
      <w:tr>
        <w:trPr>
          <w:trHeight w:val="197"/>
        </w:trPr>
        <w:tc>
          <w:tcPr>
            <w:tcW w:w="20" w:type="dxa"/>
            <w:vAlign w:val="bottom"/>
          </w:tcPr>
          <w:p>
            <w:pPr>
              <w:spacing w:after="0"/>
              <w:rPr>
                <w:sz w:val="17"/>
                <w:szCs w:val="17"/>
                <w:color w:val="auto"/>
              </w:rPr>
            </w:pPr>
          </w:p>
        </w:tc>
        <w:tc>
          <w:tcPr>
            <w:tcW w:w="3760" w:type="dxa"/>
            <w:vAlign w:val="bottom"/>
          </w:tcPr>
          <w:p>
            <w:pPr>
              <w:spacing w:after="0" w:line="197" w:lineRule="exact"/>
              <w:rPr>
                <w:sz w:val="20"/>
                <w:szCs w:val="20"/>
                <w:color w:val="auto"/>
              </w:rPr>
            </w:pPr>
            <w:r>
              <w:rPr>
                <w:rFonts w:ascii="Arial" w:cs="Arial" w:eastAsia="Arial" w:hAnsi="Arial"/>
                <w:sz w:val="18"/>
                <w:szCs w:val="18"/>
                <w:b w:val="1"/>
                <w:bCs w:val="1"/>
                <w:color w:val="auto"/>
                <w:w w:val="91"/>
              </w:rPr>
              <w:t>Total operating income before depreciation and</w:t>
            </w: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7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amortization</w:t>
            </w:r>
          </w:p>
        </w:tc>
        <w:tc>
          <w:tcPr>
            <w:tcW w:w="6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951</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210"/>
        </w:trPr>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670</w:t>
            </w:r>
          </w:p>
        </w:tc>
        <w:tc>
          <w:tcPr>
            <w:tcW w:w="4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2"/>
              <w:spacing w:after="0"/>
              <w:rPr>
                <w:sz w:val="20"/>
                <w:szCs w:val="20"/>
                <w:color w:val="auto"/>
              </w:rPr>
            </w:pPr>
            <w:r>
              <w:rPr>
                <w:rFonts w:ascii="Arial" w:cs="Arial" w:eastAsia="Arial" w:hAnsi="Arial"/>
                <w:sz w:val="18"/>
                <w:szCs w:val="18"/>
                <w:color w:val="auto"/>
              </w:rPr>
              <w:t>1,202</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1,872</w:t>
            </w:r>
          </w:p>
        </w:tc>
      </w:tr>
      <w:tr>
        <w:trPr>
          <w:trHeight w:val="216"/>
        </w:trPr>
        <w:tc>
          <w:tcPr>
            <w:tcW w:w="48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20" w:type="dxa"/>
            <w:vAlign w:val="bottom"/>
          </w:tcPr>
          <w:p>
            <w:pPr>
              <w:jc w:val="right"/>
              <w:ind w:right="172"/>
              <w:spacing w:after="0"/>
              <w:rPr>
                <w:sz w:val="20"/>
                <w:szCs w:val="20"/>
                <w:color w:val="auto"/>
              </w:rPr>
            </w:pPr>
            <w:r>
              <w:rPr>
                <w:rFonts w:ascii="Arial" w:cs="Arial" w:eastAsia="Arial" w:hAnsi="Arial"/>
                <w:sz w:val="18"/>
                <w:szCs w:val="18"/>
                <w:color w:val="auto"/>
              </w:rPr>
              <w:t>1,468</w:t>
            </w:r>
          </w:p>
        </w:tc>
        <w:tc>
          <w:tcPr>
            <w:tcW w:w="36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1,468</w:t>
            </w:r>
          </w:p>
        </w:tc>
      </w:tr>
      <w:tr>
        <w:trPr>
          <w:trHeight w:val="216"/>
        </w:trPr>
        <w:tc>
          <w:tcPr>
            <w:tcW w:w="48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20" w:type="dxa"/>
            <w:vAlign w:val="bottom"/>
          </w:tcPr>
          <w:p>
            <w:pPr>
              <w:jc w:val="right"/>
              <w:ind w:right="172"/>
              <w:spacing w:after="0"/>
              <w:rPr>
                <w:sz w:val="20"/>
                <w:szCs w:val="20"/>
                <w:color w:val="auto"/>
              </w:rPr>
            </w:pPr>
            <w:r>
              <w:rPr>
                <w:rFonts w:ascii="Arial" w:cs="Arial" w:eastAsia="Arial" w:hAnsi="Arial"/>
                <w:sz w:val="18"/>
                <w:szCs w:val="18"/>
                <w:color w:val="auto"/>
              </w:rPr>
              <w:t>1,190</w:t>
            </w:r>
          </w:p>
        </w:tc>
        <w:tc>
          <w:tcPr>
            <w:tcW w:w="36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1,190</w:t>
            </w:r>
          </w:p>
        </w:tc>
      </w:tr>
      <w:tr>
        <w:trPr>
          <w:trHeight w:val="216"/>
        </w:trPr>
        <w:tc>
          <w:tcPr>
            <w:tcW w:w="48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20" w:type="dxa"/>
            <w:vAlign w:val="bottom"/>
          </w:tcPr>
          <w:p>
            <w:pPr>
              <w:jc w:val="right"/>
              <w:ind w:right="172"/>
              <w:spacing w:after="0"/>
              <w:rPr>
                <w:sz w:val="20"/>
                <w:szCs w:val="20"/>
                <w:color w:val="auto"/>
              </w:rPr>
            </w:pPr>
            <w:r>
              <w:rPr>
                <w:rFonts w:ascii="Arial" w:cs="Arial" w:eastAsia="Arial" w:hAnsi="Arial"/>
                <w:sz w:val="18"/>
                <w:szCs w:val="18"/>
                <w:color w:val="auto"/>
              </w:rPr>
              <w:t>531</w:t>
            </w:r>
          </w:p>
        </w:tc>
        <w:tc>
          <w:tcPr>
            <w:tcW w:w="36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531</w:t>
            </w:r>
          </w:p>
        </w:tc>
      </w:tr>
      <w:tr>
        <w:trPr>
          <w:trHeight w:val="223"/>
        </w:trPr>
        <w:tc>
          <w:tcPr>
            <w:tcW w:w="4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(87)</w:t>
            </w: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(87)</w:t>
            </w:r>
          </w:p>
        </w:tc>
      </w:tr>
      <w:tr>
        <w:trPr>
          <w:trHeight w:val="218"/>
        </w:trPr>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670</w:t>
            </w:r>
          </w:p>
        </w:tc>
        <w:tc>
          <w:tcPr>
            <w:tcW w:w="4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4,304</w:t>
            </w:r>
          </w:p>
        </w:tc>
        <w:tc>
          <w:tcPr>
            <w:tcW w:w="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4,974</w:t>
            </w:r>
          </w:p>
        </w:tc>
      </w:tr>
      <w:tr>
        <w:trPr>
          <w:trHeight w:val="640"/>
        </w:trPr>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215</w:t>
            </w:r>
          </w:p>
        </w:tc>
        <w:tc>
          <w:tcPr>
            <w:tcW w:w="4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2"/>
              <w:spacing w:after="0"/>
              <w:rPr>
                <w:sz w:val="20"/>
                <w:szCs w:val="20"/>
                <w:color w:val="auto"/>
              </w:rPr>
            </w:pPr>
            <w:r>
              <w:rPr>
                <w:rFonts w:ascii="Arial" w:cs="Arial" w:eastAsia="Arial" w:hAnsi="Arial"/>
                <w:sz w:val="18"/>
                <w:szCs w:val="18"/>
                <w:color w:val="auto"/>
              </w:rPr>
              <w:t>552</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767</w:t>
            </w:r>
          </w:p>
        </w:tc>
      </w:tr>
      <w:tr>
        <w:trPr>
          <w:trHeight w:val="216"/>
        </w:trPr>
        <w:tc>
          <w:tcPr>
            <w:tcW w:w="48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20" w:type="dxa"/>
            <w:vAlign w:val="bottom"/>
          </w:tcPr>
          <w:p>
            <w:pPr>
              <w:jc w:val="right"/>
              <w:ind w:right="172"/>
              <w:spacing w:after="0"/>
              <w:rPr>
                <w:sz w:val="20"/>
                <w:szCs w:val="20"/>
                <w:color w:val="auto"/>
              </w:rPr>
            </w:pPr>
            <w:r>
              <w:rPr>
                <w:rFonts w:ascii="Arial" w:cs="Arial" w:eastAsia="Arial" w:hAnsi="Arial"/>
                <w:sz w:val="18"/>
                <w:szCs w:val="18"/>
                <w:color w:val="auto"/>
              </w:rPr>
              <w:t>70</w:t>
            </w:r>
          </w:p>
        </w:tc>
        <w:tc>
          <w:tcPr>
            <w:tcW w:w="36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70</w:t>
            </w:r>
          </w:p>
        </w:tc>
      </w:tr>
      <w:tr>
        <w:trPr>
          <w:trHeight w:val="216"/>
        </w:trPr>
        <w:tc>
          <w:tcPr>
            <w:tcW w:w="48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20" w:type="dxa"/>
            <w:vAlign w:val="bottom"/>
          </w:tcPr>
          <w:p>
            <w:pPr>
              <w:jc w:val="right"/>
              <w:ind w:right="172"/>
              <w:spacing w:after="0"/>
              <w:rPr>
                <w:sz w:val="20"/>
                <w:szCs w:val="20"/>
                <w:color w:val="auto"/>
              </w:rPr>
            </w:pPr>
            <w:r>
              <w:rPr>
                <w:rFonts w:ascii="Arial" w:cs="Arial" w:eastAsia="Arial" w:hAnsi="Arial"/>
                <w:sz w:val="18"/>
                <w:szCs w:val="18"/>
                <w:color w:val="auto"/>
              </w:rPr>
              <w:t>66</w:t>
            </w:r>
          </w:p>
        </w:tc>
        <w:tc>
          <w:tcPr>
            <w:tcW w:w="36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66</w:t>
            </w:r>
          </w:p>
        </w:tc>
      </w:tr>
      <w:tr>
        <w:trPr>
          <w:trHeight w:val="216"/>
        </w:trPr>
        <w:tc>
          <w:tcPr>
            <w:tcW w:w="48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20" w:type="dxa"/>
            <w:vAlign w:val="bottom"/>
          </w:tcPr>
          <w:p>
            <w:pPr>
              <w:jc w:val="right"/>
              <w:ind w:right="172"/>
              <w:spacing w:after="0"/>
              <w:rPr>
                <w:sz w:val="20"/>
                <w:szCs w:val="20"/>
                <w:color w:val="auto"/>
              </w:rPr>
            </w:pPr>
            <w:r>
              <w:rPr>
                <w:rFonts w:ascii="Arial" w:cs="Arial" w:eastAsia="Arial" w:hAnsi="Arial"/>
                <w:sz w:val="18"/>
                <w:szCs w:val="18"/>
                <w:color w:val="auto"/>
              </w:rPr>
              <w:t>252</w:t>
            </w:r>
          </w:p>
        </w:tc>
        <w:tc>
          <w:tcPr>
            <w:tcW w:w="36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252</w:t>
            </w:r>
          </w:p>
        </w:tc>
      </w:tr>
      <w:tr>
        <w:trPr>
          <w:trHeight w:val="223"/>
        </w:trPr>
        <w:tc>
          <w:tcPr>
            <w:tcW w:w="4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(107)</w:t>
            </w: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(107)</w:t>
            </w:r>
          </w:p>
        </w:tc>
      </w:tr>
      <w:tr>
        <w:trPr>
          <w:trHeight w:val="434"/>
        </w:trPr>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215</w:t>
            </w:r>
          </w:p>
        </w:tc>
        <w:tc>
          <w:tcPr>
            <w:tcW w:w="4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833</w:t>
            </w:r>
          </w:p>
        </w:tc>
        <w:tc>
          <w:tcPr>
            <w:tcW w:w="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1,048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-1971675</wp:posOffset>
            </wp:positionV>
            <wp:extent cx="72466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-1697355</wp:posOffset>
            </wp:positionV>
            <wp:extent cx="72466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-1423035</wp:posOffset>
            </wp:positionV>
            <wp:extent cx="72466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-985520</wp:posOffset>
            </wp:positionV>
            <wp:extent cx="72466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-711200</wp:posOffset>
            </wp:positionV>
            <wp:extent cx="72466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-436880</wp:posOffset>
            </wp:positionV>
            <wp:extent cx="72466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340" w:type="dxa"/>
        <w:tblCellMar>
          <w:top w:w="0" w:type="dxa"/>
          <w:left w:w="0" w:type="dxa"/>
          <w:bottom w:w="0" w:type="dxa"/>
          <w:right w:w="0" w:type="dxa"/>
        </w:tblCellMar>
      </w:tblPr>
      <w:tr>
        <w:trPr>
          <w:trHeight w:val="210"/>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84"/>
              </w:rPr>
              <w:t>$ 225</w:t>
            </w:r>
          </w:p>
        </w:tc>
        <w:tc>
          <w:tcPr>
            <w:tcW w:w="82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22"/>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43</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2.9</w:t>
            </w:r>
          </w:p>
        </w:tc>
      </w:tr>
    </w:tbl>
    <w:p>
      <w:pPr>
        <w:ind w:left="1520" w:hanging="1011"/>
        <w:spacing w:after="0"/>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(7.8)</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0" w:type="dxa"/>
            <w:vAlign w:val="bottom"/>
          </w:tcPr>
          <w:p>
            <w:pPr>
              <w:spacing w:after="0"/>
              <w:rPr>
                <w:sz w:val="18"/>
                <w:szCs w:val="18"/>
                <w:color w:val="auto"/>
              </w:rPr>
            </w:pPr>
          </w:p>
        </w:tc>
        <w:tc>
          <w:tcPr>
            <w:tcW w:w="700" w:type="dxa"/>
            <w:vAlign w:val="bottom"/>
          </w:tcPr>
          <w:p>
            <w:pPr>
              <w:jc w:val="right"/>
              <w:ind w:right="332"/>
              <w:spacing w:after="0"/>
              <w:rPr>
                <w:sz w:val="20"/>
                <w:szCs w:val="20"/>
                <w:color w:val="auto"/>
              </w:rPr>
            </w:pPr>
            <w:r>
              <w:rPr>
                <w:rFonts w:ascii="Arial" w:cs="Arial" w:eastAsia="Arial" w:hAnsi="Arial"/>
                <w:sz w:val="18"/>
                <w:szCs w:val="18"/>
                <w:color w:val="auto"/>
              </w:rPr>
              <w:t>49</w:t>
            </w: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9.1</w:t>
            </w:r>
          </w:p>
        </w:tc>
      </w:tr>
      <w:tr>
        <w:trPr>
          <w:trHeight w:val="223"/>
        </w:trPr>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3</w:t>
            </w: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4.4</w:t>
            </w:r>
          </w:p>
        </w:tc>
      </w:tr>
      <w:tr>
        <w:trPr>
          <w:trHeight w:val="218"/>
        </w:trPr>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w w:val="86"/>
              </w:rPr>
              <w:t>226</w:t>
            </w: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4.6%</w:t>
            </w:r>
          </w:p>
        </w:tc>
      </w:tr>
      <w:tr>
        <w:trPr>
          <w:trHeight w:val="646"/>
        </w:trPr>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w w:val="99"/>
              </w:rPr>
              <w:t>(16)</w:t>
            </w: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r>
    </w:tbl>
    <w:p>
      <w:pPr>
        <w:ind w:left="1340" w:hanging="831"/>
        <w:spacing w:after="0"/>
        <w:tabs>
          <w:tab w:leader="none" w:pos="1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(109.6)</w:t>
      </w:r>
    </w:p>
    <w:p>
      <w:pPr>
        <w:spacing w:after="0" w:line="9" w:lineRule="exact"/>
        <w:rPr>
          <w:sz w:val="20"/>
          <w:szCs w:val="20"/>
          <w:color w:val="auto"/>
        </w:rPr>
      </w:pPr>
    </w:p>
    <w:p>
      <w:pPr>
        <w:ind w:left="1440" w:hanging="931"/>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(16.9)</w:t>
      </w:r>
    </w:p>
    <w:p>
      <w:pPr>
        <w:spacing w:after="0" w:line="9" w:lineRule="exact"/>
        <w:rPr>
          <w:sz w:val="20"/>
          <w:szCs w:val="20"/>
          <w:color w:val="auto"/>
        </w:rPr>
      </w:pPr>
    </w:p>
    <w:p>
      <w:pPr>
        <w:ind w:left="560"/>
        <w:spacing w:after="0"/>
        <w:tabs>
          <w:tab w:leader="none" w:pos="14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12.6</w:t>
      </w:r>
    </w:p>
    <w:p>
      <w:pPr>
        <w:spacing w:after="0" w:line="9" w:lineRule="exact"/>
        <w:rPr>
          <w:sz w:val="20"/>
          <w:szCs w:val="20"/>
          <w:color w:val="auto"/>
        </w:rPr>
      </w:pPr>
    </w:p>
    <w:p>
      <w:pPr>
        <w:ind w:left="1440" w:hanging="931"/>
        <w:spacing w:after="0"/>
        <w:tabs>
          <w:tab w:leader="none" w:pos="1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13208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6" w:lineRule="exact"/>
        <w:rPr>
          <w:sz w:val="20"/>
          <w:szCs w:val="20"/>
          <w:color w:val="auto"/>
        </w:rPr>
      </w:pPr>
    </w:p>
    <w:p>
      <w:pPr>
        <w:ind w:left="340"/>
        <w:spacing w:after="0"/>
        <w:tabs>
          <w:tab w:leader="none" w:pos="1500" w:val="left"/>
        </w:tabs>
        <w:rPr>
          <w:sz w:val="20"/>
          <w:szCs w:val="20"/>
          <w:color w:val="auto"/>
        </w:rPr>
      </w:pPr>
      <w:r>
        <w:rPr>
          <w:rFonts w:ascii="Arial" w:cs="Arial" w:eastAsia="Arial" w:hAnsi="Arial"/>
          <w:sz w:val="18"/>
          <w:szCs w:val="18"/>
          <w:b w:val="1"/>
          <w:bCs w:val="1"/>
          <w:color w:val="auto"/>
        </w:rPr>
        <w:t>$ (97)</w:t>
      </w:r>
      <w:r>
        <w:rPr>
          <w:sz w:val="20"/>
          <w:szCs w:val="20"/>
          <w:color w:val="auto"/>
        </w:rPr>
        <w:tab/>
      </w:r>
      <w:r>
        <w:rPr>
          <w:rFonts w:ascii="Arial" w:cs="Arial" w:eastAsia="Arial" w:hAnsi="Arial"/>
          <w:sz w:val="16"/>
          <w:szCs w:val="16"/>
          <w:b w:val="1"/>
          <w:bCs w:val="1"/>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32080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20800" cy="17145"/>
                    </a:xfrm>
                    <a:prstGeom prst="rect">
                      <a:avLst/>
                    </a:prstGeom>
                    <a:noFill/>
                  </pic:spPr>
                </pic:pic>
              </a:graphicData>
            </a:graphic>
          </wp:anchor>
        </w:drawing>
      </w:r>
    </w:p>
    <w:p>
      <w:pPr>
        <w:sectPr>
          <w:pgSz w:w="11900" w:h="16838" w:orient="portrait"/>
          <w:cols w:equalWidth="0" w:num="3">
            <w:col w:w="5280" w:space="340"/>
            <w:col w:w="3360" w:space="360"/>
            <w:col w:w="2080"/>
          </w:cols>
          <w:pgMar w:left="240" w:top="459" w:right="2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color w:val="auto"/>
                <w:w w:val="83"/>
              </w:rPr>
              <w:t>2011</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color w:val="auto"/>
              </w:rPr>
              <w:t>2010</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3"/>
            <w:vMerge w:val="restart"/>
          </w:tcPr>
          <w:p>
            <w:pPr>
              <w:jc w:val="right"/>
              <w:ind w:right="214"/>
              <w:spacing w:after="0"/>
              <w:rPr>
                <w:sz w:val="20"/>
                <w:szCs w:val="20"/>
                <w:color w:val="auto"/>
              </w:rPr>
            </w:pPr>
            <w:r>
              <w:rPr>
                <w:rFonts w:ascii="Arial" w:cs="Arial" w:eastAsia="Arial" w:hAnsi="Arial"/>
                <w:sz w:val="14"/>
                <w:szCs w:val="14"/>
                <w:color w:val="auto"/>
              </w:rPr>
              <w:t>Pro Forma Combined</w:t>
            </w:r>
          </w:p>
        </w:tc>
        <w:tc>
          <w:tcPr>
            <w:tcW w:w="0" w:type="dxa"/>
            <w:vAlign w:val="bottom"/>
          </w:tcPr>
          <w:p>
            <w:pPr>
              <w:spacing w:after="0"/>
              <w:rPr>
                <w:sz w:val="1"/>
                <w:szCs w:val="1"/>
                <w:color w:val="auto"/>
              </w:rPr>
            </w:pPr>
          </w:p>
        </w:tc>
      </w:tr>
      <w:tr>
        <w:trPr>
          <w:trHeight w:val="115"/>
        </w:trPr>
        <w:tc>
          <w:tcPr>
            <w:tcW w:w="3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vMerge w:val="restart"/>
          </w:tcPr>
          <w:p>
            <w:pPr>
              <w:jc w:val="center"/>
              <w:ind w:right="197"/>
              <w:spacing w:after="0"/>
              <w:rPr>
                <w:sz w:val="20"/>
                <w:szCs w:val="20"/>
                <w:color w:val="auto"/>
              </w:rPr>
            </w:pPr>
            <w:r>
              <w:rPr>
                <w:rFonts w:ascii="Arial" w:cs="Arial" w:eastAsia="Arial" w:hAnsi="Arial"/>
                <w:sz w:val="14"/>
                <w:szCs w:val="14"/>
                <w:color w:val="auto"/>
                <w:w w:val="84"/>
              </w:rPr>
              <w:t>Actual</w:t>
            </w:r>
            <w:r>
              <w:rPr>
                <w:rFonts w:ascii="Arial" w:cs="Arial" w:eastAsia="Arial" w:hAnsi="Arial"/>
                <w:sz w:val="22"/>
                <w:szCs w:val="22"/>
                <w:color w:val="auto"/>
                <w:w w:val="84"/>
                <w:vertAlign w:val="superscript"/>
              </w:rPr>
              <w:t>(a)</w:t>
            </w:r>
          </w:p>
        </w:tc>
        <w:tc>
          <w:tcPr>
            <w:tcW w:w="1080" w:type="dxa"/>
            <w:vAlign w:val="bottom"/>
            <w:gridSpan w:val="2"/>
            <w:vMerge w:val="restart"/>
          </w:tcPr>
          <w:p>
            <w:pPr>
              <w:jc w:val="center"/>
              <w:spacing w:after="0"/>
              <w:rPr>
                <w:sz w:val="20"/>
                <w:szCs w:val="20"/>
                <w:color w:val="auto"/>
              </w:rPr>
            </w:pPr>
            <w:r>
              <w:rPr>
                <w:rFonts w:ascii="Arial" w:cs="Arial" w:eastAsia="Arial" w:hAnsi="Arial"/>
                <w:sz w:val="14"/>
                <w:szCs w:val="14"/>
                <w:color w:val="auto"/>
                <w:w w:val="83"/>
              </w:rPr>
              <w:t>Pro Forma</w:t>
            </w:r>
            <w:r>
              <w:rPr>
                <w:rFonts w:ascii="Arial" w:cs="Arial" w:eastAsia="Arial" w:hAnsi="Arial"/>
                <w:sz w:val="22"/>
                <w:szCs w:val="22"/>
                <w:color w:val="auto"/>
                <w:w w:val="83"/>
                <w:vertAlign w:val="superscript"/>
              </w:rPr>
              <w:t>(b)</w:t>
            </w:r>
          </w:p>
        </w:tc>
        <w:tc>
          <w:tcPr>
            <w:tcW w:w="180" w:type="dxa"/>
            <w:vAlign w:val="bottom"/>
          </w:tcPr>
          <w:p>
            <w:pPr>
              <w:spacing w:after="0"/>
              <w:rPr>
                <w:sz w:val="10"/>
                <w:szCs w:val="10"/>
                <w:color w:val="auto"/>
              </w:rPr>
            </w:pPr>
          </w:p>
        </w:tc>
        <w:tc>
          <w:tcPr>
            <w:tcW w:w="820" w:type="dxa"/>
            <w:vAlign w:val="bottom"/>
          </w:tcPr>
          <w:p>
            <w:pPr>
              <w:jc w:val="center"/>
              <w:ind w:right="158"/>
              <w:spacing w:after="0" w:line="115" w:lineRule="exact"/>
              <w:rPr>
                <w:sz w:val="20"/>
                <w:szCs w:val="20"/>
                <w:color w:val="auto"/>
              </w:rPr>
            </w:pPr>
            <w:r>
              <w:rPr>
                <w:rFonts w:ascii="Arial" w:cs="Arial" w:eastAsia="Arial" w:hAnsi="Arial"/>
                <w:sz w:val="12"/>
                <w:szCs w:val="12"/>
                <w:color w:val="auto"/>
              </w:rPr>
              <w:t>Pro Forma</w:t>
            </w:r>
          </w:p>
        </w:tc>
        <w:tc>
          <w:tcPr>
            <w:tcW w:w="200" w:type="dxa"/>
            <w:vAlign w:val="bottom"/>
          </w:tcPr>
          <w:p>
            <w:pPr>
              <w:spacing w:after="0"/>
              <w:rPr>
                <w:sz w:val="10"/>
                <w:szCs w:val="10"/>
                <w:color w:val="auto"/>
              </w:rPr>
            </w:pPr>
          </w:p>
        </w:tc>
        <w:tc>
          <w:tcPr>
            <w:tcW w:w="800" w:type="dxa"/>
            <w:vAlign w:val="bottom"/>
            <w:gridSpan w:val="2"/>
            <w:vMerge w:val="restart"/>
          </w:tcPr>
          <w:p>
            <w:pPr>
              <w:ind w:left="180"/>
              <w:spacing w:after="0"/>
              <w:rPr>
                <w:sz w:val="20"/>
                <w:szCs w:val="20"/>
                <w:color w:val="auto"/>
              </w:rPr>
            </w:pPr>
            <w:r>
              <w:rPr>
                <w:rFonts w:ascii="Arial" w:cs="Arial" w:eastAsia="Arial" w:hAnsi="Arial"/>
                <w:sz w:val="14"/>
                <w:szCs w:val="14"/>
                <w:color w:val="auto"/>
              </w:rPr>
              <w:t>Actual</w:t>
            </w:r>
            <w:r>
              <w:rPr>
                <w:rFonts w:ascii="Arial" w:cs="Arial" w:eastAsia="Arial" w:hAnsi="Arial"/>
                <w:sz w:val="22"/>
                <w:szCs w:val="22"/>
                <w:color w:val="auto"/>
                <w:vertAlign w:val="superscript"/>
              </w:rPr>
              <w:t>(a)</w:t>
            </w:r>
          </w:p>
        </w:tc>
        <w:tc>
          <w:tcPr>
            <w:tcW w:w="1120" w:type="dxa"/>
            <w:vAlign w:val="bottom"/>
            <w:gridSpan w:val="2"/>
            <w:vMerge w:val="restart"/>
          </w:tcPr>
          <w:p>
            <w:pPr>
              <w:jc w:val="right"/>
              <w:ind w:right="155"/>
              <w:spacing w:after="0"/>
              <w:rPr>
                <w:sz w:val="20"/>
                <w:szCs w:val="20"/>
                <w:color w:val="auto"/>
              </w:rPr>
            </w:pPr>
            <w:r>
              <w:rPr>
                <w:rFonts w:ascii="Arial" w:cs="Arial" w:eastAsia="Arial" w:hAnsi="Arial"/>
                <w:sz w:val="14"/>
                <w:szCs w:val="14"/>
                <w:color w:val="auto"/>
              </w:rPr>
              <w:t>Pro Forma</w:t>
            </w:r>
            <w:r>
              <w:rPr>
                <w:rFonts w:ascii="Arial" w:cs="Arial" w:eastAsia="Arial" w:hAnsi="Arial"/>
                <w:sz w:val="22"/>
                <w:szCs w:val="22"/>
                <w:color w:val="auto"/>
                <w:vertAlign w:val="superscript"/>
              </w:rPr>
              <w:t>(b)</w:t>
            </w:r>
          </w:p>
        </w:tc>
        <w:tc>
          <w:tcPr>
            <w:tcW w:w="220" w:type="dxa"/>
            <w:vAlign w:val="bottom"/>
          </w:tcPr>
          <w:p>
            <w:pPr>
              <w:spacing w:after="0"/>
              <w:rPr>
                <w:sz w:val="10"/>
                <w:szCs w:val="10"/>
                <w:color w:val="auto"/>
              </w:rPr>
            </w:pPr>
          </w:p>
        </w:tc>
        <w:tc>
          <w:tcPr>
            <w:tcW w:w="800" w:type="dxa"/>
            <w:vAlign w:val="bottom"/>
          </w:tcPr>
          <w:p>
            <w:pPr>
              <w:jc w:val="center"/>
              <w:ind w:right="158"/>
              <w:spacing w:after="0" w:line="115" w:lineRule="exact"/>
              <w:rPr>
                <w:sz w:val="20"/>
                <w:szCs w:val="20"/>
                <w:color w:val="auto"/>
              </w:rPr>
            </w:pPr>
            <w:r>
              <w:rPr>
                <w:rFonts w:ascii="Arial" w:cs="Arial" w:eastAsia="Arial" w:hAnsi="Arial"/>
                <w:sz w:val="12"/>
                <w:szCs w:val="12"/>
                <w:color w:val="auto"/>
                <w:w w:val="98"/>
              </w:rPr>
              <w:t>Pro Forma</w:t>
            </w:r>
          </w:p>
        </w:tc>
        <w:tc>
          <w:tcPr>
            <w:tcW w:w="220" w:type="dxa"/>
            <w:vAlign w:val="bottom"/>
          </w:tcPr>
          <w:p>
            <w:pPr>
              <w:spacing w:after="0"/>
              <w:rPr>
                <w:sz w:val="10"/>
                <w:szCs w:val="10"/>
                <w:color w:val="auto"/>
              </w:rPr>
            </w:pPr>
          </w:p>
        </w:tc>
        <w:tc>
          <w:tcPr>
            <w:tcW w:w="16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0" w:type="dxa"/>
            <w:vAlign w:val="bottom"/>
            <w:gridSpan w:val="3"/>
          </w:tcPr>
          <w:p>
            <w:pPr>
              <w:jc w:val="center"/>
              <w:ind w:right="240"/>
              <w:spacing w:after="0" w:line="176" w:lineRule="exact"/>
              <w:rPr>
                <w:sz w:val="20"/>
                <w:szCs w:val="20"/>
                <w:color w:val="auto"/>
              </w:rPr>
            </w:pPr>
            <w:r>
              <w:rPr>
                <w:rFonts w:ascii="Arial" w:cs="Arial" w:eastAsia="Arial" w:hAnsi="Arial"/>
                <w:sz w:val="13"/>
                <w:szCs w:val="13"/>
                <w:color w:val="auto"/>
                <w:w w:val="90"/>
              </w:rPr>
              <w:t>Combined</w:t>
            </w:r>
            <w:r>
              <w:rPr>
                <w:rFonts w:ascii="Arial" w:cs="Arial" w:eastAsia="Arial" w:hAnsi="Arial"/>
                <w:sz w:val="20"/>
                <w:szCs w:val="20"/>
                <w:color w:val="auto"/>
                <w:w w:val="90"/>
                <w:vertAlign w:val="superscript"/>
              </w:rPr>
              <w:t>(c)</w:t>
            </w:r>
          </w:p>
        </w:tc>
        <w:tc>
          <w:tcPr>
            <w:tcW w:w="80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240" w:type="dxa"/>
            <w:vAlign w:val="bottom"/>
            <w:gridSpan w:val="3"/>
          </w:tcPr>
          <w:p>
            <w:pPr>
              <w:jc w:val="center"/>
              <w:ind w:right="240"/>
              <w:spacing w:after="0" w:line="176" w:lineRule="exact"/>
              <w:rPr>
                <w:sz w:val="20"/>
                <w:szCs w:val="20"/>
                <w:color w:val="auto"/>
              </w:rPr>
            </w:pPr>
            <w:r>
              <w:rPr>
                <w:rFonts w:ascii="Arial" w:cs="Arial" w:eastAsia="Arial" w:hAnsi="Arial"/>
                <w:sz w:val="13"/>
                <w:szCs w:val="13"/>
                <w:color w:val="auto"/>
                <w:w w:val="90"/>
              </w:rPr>
              <w:t>Combined</w:t>
            </w:r>
            <w:r>
              <w:rPr>
                <w:rFonts w:ascii="Arial" w:cs="Arial" w:eastAsia="Arial" w:hAnsi="Arial"/>
                <w:sz w:val="20"/>
                <w:szCs w:val="20"/>
                <w:color w:val="auto"/>
                <w:w w:val="90"/>
                <w:vertAlign w:val="superscript"/>
              </w:rPr>
              <w:t>(c)</w:t>
            </w:r>
          </w:p>
        </w:tc>
        <w:tc>
          <w:tcPr>
            <w:tcW w:w="260" w:type="dxa"/>
            <w:vAlign w:val="bottom"/>
          </w:tcPr>
          <w:p>
            <w:pPr>
              <w:spacing w:after="0"/>
              <w:rPr>
                <w:sz w:val="15"/>
                <w:szCs w:val="15"/>
                <w:color w:val="auto"/>
              </w:rPr>
            </w:pPr>
          </w:p>
        </w:tc>
        <w:tc>
          <w:tcPr>
            <w:tcW w:w="1420" w:type="dxa"/>
            <w:vAlign w:val="bottom"/>
            <w:gridSpan w:val="2"/>
          </w:tcPr>
          <w:p>
            <w:pPr>
              <w:jc w:val="right"/>
              <w:ind w:right="254"/>
              <w:spacing w:after="0"/>
              <w:rPr>
                <w:sz w:val="20"/>
                <w:szCs w:val="20"/>
                <w:color w:val="auto"/>
              </w:rPr>
            </w:pPr>
            <w:r>
              <w:rPr>
                <w:rFonts w:ascii="Arial" w:cs="Arial" w:eastAsia="Arial" w:hAnsi="Arial"/>
                <w:sz w:val="14"/>
                <w:szCs w:val="14"/>
                <w:color w:val="auto"/>
                <w:w w:val="83"/>
              </w:rPr>
              <w:t>Increase/(Decrease)</w:t>
            </w: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217"/>
              <w:spacing w:after="0" w:line="131" w:lineRule="exact"/>
              <w:rPr>
                <w:sz w:val="20"/>
                <w:szCs w:val="20"/>
                <w:color w:val="auto"/>
              </w:rPr>
            </w:pPr>
            <w:r>
              <w:rPr>
                <w:rFonts w:ascii="Arial" w:cs="Arial" w:eastAsia="Arial" w:hAnsi="Arial"/>
                <w:sz w:val="14"/>
                <w:szCs w:val="14"/>
                <w:color w:val="auto"/>
                <w:w w:val="90"/>
              </w:rPr>
              <w:t>Nine</w:t>
            </w:r>
          </w:p>
        </w:tc>
        <w:tc>
          <w:tcPr>
            <w:tcW w:w="2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158"/>
              <w:spacing w:after="0" w:line="131" w:lineRule="exact"/>
              <w:rPr>
                <w:sz w:val="20"/>
                <w:szCs w:val="20"/>
                <w:color w:val="auto"/>
              </w:rPr>
            </w:pPr>
            <w:r>
              <w:rPr>
                <w:rFonts w:ascii="Arial" w:cs="Arial" w:eastAsia="Arial" w:hAnsi="Arial"/>
                <w:sz w:val="14"/>
                <w:szCs w:val="14"/>
                <w:color w:val="auto"/>
                <w:w w:val="90"/>
              </w:rPr>
              <w:t>Nine</w:t>
            </w:r>
          </w:p>
        </w:tc>
        <w:tc>
          <w:tcPr>
            <w:tcW w:w="2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138"/>
              <w:spacing w:after="0" w:line="131" w:lineRule="exact"/>
              <w:rPr>
                <w:sz w:val="20"/>
                <w:szCs w:val="20"/>
                <w:color w:val="auto"/>
              </w:rPr>
            </w:pPr>
            <w:r>
              <w:rPr>
                <w:rFonts w:ascii="Arial" w:cs="Arial" w:eastAsia="Arial" w:hAnsi="Arial"/>
                <w:sz w:val="14"/>
                <w:szCs w:val="14"/>
                <w:color w:val="auto"/>
                <w:w w:val="90"/>
              </w:rPr>
              <w:t>Nine</w:t>
            </w:r>
          </w:p>
        </w:tc>
        <w:tc>
          <w:tcPr>
            <w:tcW w:w="2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center"/>
              <w:ind w:right="217"/>
              <w:spacing w:after="0" w:line="149" w:lineRule="exact"/>
              <w:rPr>
                <w:sz w:val="20"/>
                <w:szCs w:val="20"/>
                <w:color w:val="auto"/>
              </w:rPr>
            </w:pPr>
            <w:r>
              <w:rPr>
                <w:rFonts w:ascii="Arial" w:cs="Arial" w:eastAsia="Arial" w:hAnsi="Arial"/>
                <w:sz w:val="14"/>
                <w:szCs w:val="14"/>
                <w:color w:val="auto"/>
                <w:w w:val="91"/>
              </w:rPr>
              <w:t>Months</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1"/>
              </w:rPr>
              <w:t>Months</w:t>
            </w:r>
          </w:p>
        </w:tc>
        <w:tc>
          <w:tcPr>
            <w:tcW w:w="8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Comcast</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87"/>
              </w:rPr>
              <w:t>Months</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center"/>
              <w:ind w:right="217"/>
              <w:spacing w:after="0" w:line="149" w:lineRule="exact"/>
              <w:rPr>
                <w:sz w:val="20"/>
                <w:szCs w:val="20"/>
                <w:color w:val="auto"/>
              </w:rPr>
            </w:pPr>
            <w:r>
              <w:rPr>
                <w:rFonts w:ascii="Arial" w:cs="Arial" w:eastAsia="Arial" w:hAnsi="Arial"/>
                <w:sz w:val="14"/>
                <w:szCs w:val="14"/>
                <w:color w:val="auto"/>
                <w:w w:val="83"/>
              </w:rPr>
              <w:t>Ended</w:t>
            </w:r>
          </w:p>
        </w:tc>
        <w:tc>
          <w:tcPr>
            <w:tcW w:w="10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NBCUniversal</w:t>
            </w:r>
          </w:p>
        </w:tc>
        <w:tc>
          <w:tcPr>
            <w:tcW w:w="180" w:type="dxa"/>
            <w:vAlign w:val="bottom"/>
          </w:tcPr>
          <w:p>
            <w:pPr>
              <w:spacing w:after="0"/>
              <w:rPr>
                <w:sz w:val="12"/>
                <w:szCs w:val="12"/>
                <w:color w:val="auto"/>
              </w:rPr>
            </w:pP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83"/>
              </w:rPr>
              <w:t>Ended</w:t>
            </w:r>
          </w:p>
        </w:tc>
        <w:tc>
          <w:tcPr>
            <w:tcW w:w="80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Content</w:t>
            </w:r>
          </w:p>
        </w:tc>
        <w:tc>
          <w:tcPr>
            <w:tcW w:w="11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NBCUniversal</w:t>
            </w:r>
          </w:p>
        </w:tc>
        <w:tc>
          <w:tcPr>
            <w:tcW w:w="220" w:type="dxa"/>
            <w:vAlign w:val="bottom"/>
          </w:tcPr>
          <w:p>
            <w:pPr>
              <w:spacing w:after="0"/>
              <w:rPr>
                <w:sz w:val="12"/>
                <w:szCs w:val="12"/>
                <w:color w:val="auto"/>
              </w:rPr>
            </w:pP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83"/>
              </w:rPr>
              <w:t>Ended</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200" w:type="dxa"/>
            <w:vAlign w:val="bottom"/>
          </w:tcPr>
          <w:p>
            <w:pPr>
              <w:spacing w:after="0"/>
              <w:rPr>
                <w:sz w:val="20"/>
                <w:szCs w:val="20"/>
                <w:color w:val="auto"/>
              </w:rPr>
            </w:pPr>
            <w:r>
              <w:rPr>
                <w:rFonts w:ascii="Arial" w:cs="Arial" w:eastAsia="Arial" w:hAnsi="Arial"/>
                <w:sz w:val="14"/>
                <w:szCs w:val="14"/>
                <w:color w:val="auto"/>
              </w:rPr>
              <w:t>(in millions)</w:t>
            </w:r>
          </w:p>
        </w:tc>
        <w:tc>
          <w:tcPr>
            <w:tcW w:w="1100" w:type="dxa"/>
            <w:vAlign w:val="bottom"/>
            <w:gridSpan w:val="2"/>
          </w:tcPr>
          <w:p>
            <w:pPr>
              <w:ind w:left="160"/>
              <w:spacing w:after="0"/>
              <w:rPr>
                <w:sz w:val="20"/>
                <w:szCs w:val="20"/>
                <w:color w:val="auto"/>
              </w:rPr>
            </w:pPr>
            <w:r>
              <w:rPr>
                <w:rFonts w:ascii="Arial" w:cs="Arial" w:eastAsia="Arial" w:hAnsi="Arial"/>
                <w:sz w:val="14"/>
                <w:szCs w:val="14"/>
                <w:color w:val="auto"/>
              </w:rPr>
              <w:t>September 30</w:t>
            </w:r>
          </w:p>
        </w:tc>
        <w:tc>
          <w:tcPr>
            <w:tcW w:w="200" w:type="dxa"/>
            <w:vAlign w:val="bottom"/>
          </w:tcPr>
          <w:p>
            <w:pPr>
              <w:spacing w:after="0"/>
              <w:rPr>
                <w:sz w:val="15"/>
                <w:szCs w:val="15"/>
                <w:color w:val="auto"/>
              </w:rPr>
            </w:pPr>
          </w:p>
        </w:tc>
        <w:tc>
          <w:tcPr>
            <w:tcW w:w="880" w:type="dxa"/>
            <w:vAlign w:val="bottom"/>
          </w:tcPr>
          <w:p>
            <w:pPr>
              <w:jc w:val="center"/>
              <w:ind w:right="155"/>
              <w:spacing w:after="0"/>
              <w:rPr>
                <w:sz w:val="20"/>
                <w:szCs w:val="20"/>
                <w:color w:val="auto"/>
              </w:rPr>
            </w:pPr>
            <w:r>
              <w:rPr>
                <w:rFonts w:ascii="Arial" w:cs="Arial" w:eastAsia="Arial" w:hAnsi="Arial"/>
                <w:sz w:val="14"/>
                <w:szCs w:val="14"/>
                <w:color w:val="auto"/>
                <w:w w:val="83"/>
              </w:rPr>
              <w:t>Businesses</w:t>
            </w:r>
          </w:p>
        </w:tc>
        <w:tc>
          <w:tcPr>
            <w:tcW w:w="1200" w:type="dxa"/>
            <w:vAlign w:val="bottom"/>
            <w:gridSpan w:val="3"/>
          </w:tcPr>
          <w:p>
            <w:pPr>
              <w:jc w:val="center"/>
              <w:ind w:right="260"/>
              <w:spacing w:after="0"/>
              <w:rPr>
                <w:sz w:val="20"/>
                <w:szCs w:val="20"/>
                <w:color w:val="auto"/>
              </w:rPr>
            </w:pPr>
            <w:r>
              <w:rPr>
                <w:rFonts w:ascii="Arial" w:cs="Arial" w:eastAsia="Arial" w:hAnsi="Arial"/>
                <w:sz w:val="14"/>
                <w:szCs w:val="14"/>
                <w:color w:val="auto"/>
                <w:w w:val="84"/>
              </w:rPr>
              <w:t>September 30</w:t>
            </w:r>
          </w:p>
        </w:tc>
        <w:tc>
          <w:tcPr>
            <w:tcW w:w="800" w:type="dxa"/>
            <w:vAlign w:val="bottom"/>
            <w:gridSpan w:val="2"/>
          </w:tcPr>
          <w:p>
            <w:pPr>
              <w:ind w:left="180"/>
              <w:spacing w:after="0"/>
              <w:rPr>
                <w:sz w:val="20"/>
                <w:szCs w:val="20"/>
                <w:color w:val="auto"/>
              </w:rPr>
            </w:pPr>
            <w:r>
              <w:rPr>
                <w:rFonts w:ascii="Arial" w:cs="Arial" w:eastAsia="Arial" w:hAnsi="Arial"/>
                <w:sz w:val="14"/>
                <w:szCs w:val="14"/>
                <w:color w:val="auto"/>
              </w:rPr>
              <w:t>Business</w:t>
            </w:r>
          </w:p>
        </w:tc>
        <w:tc>
          <w:tcPr>
            <w:tcW w:w="220" w:type="dxa"/>
            <w:vAlign w:val="bottom"/>
          </w:tcPr>
          <w:p>
            <w:pPr>
              <w:spacing w:after="0"/>
              <w:rPr>
                <w:sz w:val="15"/>
                <w:szCs w:val="15"/>
                <w:color w:val="auto"/>
              </w:rPr>
            </w:pPr>
          </w:p>
        </w:tc>
        <w:tc>
          <w:tcPr>
            <w:tcW w:w="900" w:type="dxa"/>
            <w:vAlign w:val="bottom"/>
          </w:tcPr>
          <w:p>
            <w:pPr>
              <w:jc w:val="right"/>
              <w:ind w:right="215"/>
              <w:spacing w:after="0"/>
              <w:rPr>
                <w:sz w:val="20"/>
                <w:szCs w:val="20"/>
                <w:color w:val="auto"/>
              </w:rPr>
            </w:pPr>
            <w:r>
              <w:rPr>
                <w:rFonts w:ascii="Arial" w:cs="Arial" w:eastAsia="Arial" w:hAnsi="Arial"/>
                <w:sz w:val="14"/>
                <w:szCs w:val="14"/>
                <w:color w:val="auto"/>
                <w:w w:val="80"/>
              </w:rPr>
              <w:t>Businesses</w:t>
            </w: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color w:val="auto"/>
                <w:w w:val="86"/>
              </w:rPr>
              <w:t>September 30</w:t>
            </w:r>
          </w:p>
        </w:tc>
        <w:tc>
          <w:tcPr>
            <w:tcW w:w="260" w:type="dxa"/>
            <w:vAlign w:val="bottom"/>
          </w:tcPr>
          <w:p>
            <w:pPr>
              <w:spacing w:after="0"/>
              <w:rPr>
                <w:sz w:val="15"/>
                <w:szCs w:val="15"/>
                <w:color w:val="auto"/>
              </w:rPr>
            </w:pPr>
          </w:p>
        </w:tc>
        <w:tc>
          <w:tcPr>
            <w:tcW w:w="560" w:type="dxa"/>
            <w:vAlign w:val="bottom"/>
          </w:tcPr>
          <w:p>
            <w:pPr>
              <w:jc w:val="right"/>
              <w:ind w:right="315"/>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7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32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6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880" w:type="dxa"/>
            <w:vAlign w:val="bottom"/>
            <w:tcBorders>
              <w:top w:val="single" w:sz="8" w:color="auto"/>
            </w:tcBorders>
            <w:shd w:val="clear" w:color="auto" w:fill="E5E5E5"/>
          </w:tcPr>
          <w:p>
            <w:pPr>
              <w:spacing w:after="0"/>
              <w:rPr>
                <w:sz w:val="18"/>
                <w:szCs w:val="18"/>
                <w:color w:val="auto"/>
              </w:rPr>
            </w:pPr>
          </w:p>
        </w:tc>
        <w:tc>
          <w:tcPr>
            <w:tcW w:w="180" w:type="dxa"/>
            <w:vAlign w:val="bottom"/>
            <w:tcBorders>
              <w:top w:val="single" w:sz="8" w:color="auto"/>
            </w:tcBorders>
            <w:shd w:val="clear" w:color="auto" w:fill="E5E5E5"/>
          </w:tcPr>
          <w:p>
            <w:pPr>
              <w:spacing w:after="0"/>
              <w:rPr>
                <w:sz w:val="18"/>
                <w:szCs w:val="18"/>
                <w:color w:val="auto"/>
              </w:rPr>
            </w:pPr>
          </w:p>
        </w:tc>
        <w:tc>
          <w:tcPr>
            <w:tcW w:w="82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E5E5E5"/>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90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E5E5E5"/>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86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440"/>
              <w:spacing w:after="0"/>
              <w:rPr>
                <w:sz w:val="20"/>
                <w:szCs w:val="20"/>
                <w:color w:val="auto"/>
              </w:rPr>
            </w:pPr>
            <w:r>
              <w:rPr>
                <w:rFonts w:ascii="Arial" w:cs="Arial" w:eastAsia="Arial" w:hAnsi="Arial"/>
                <w:sz w:val="18"/>
                <w:szCs w:val="18"/>
                <w:color w:val="auto"/>
              </w:rPr>
              <w:t>Cable Networks</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97"/>
              <w:spacing w:after="0"/>
              <w:rPr>
                <w:sz w:val="20"/>
                <w:szCs w:val="20"/>
                <w:color w:val="auto"/>
              </w:rPr>
            </w:pPr>
            <w:r>
              <w:rPr>
                <w:rFonts w:ascii="Arial" w:cs="Arial" w:eastAsia="Arial" w:hAnsi="Arial"/>
                <w:sz w:val="18"/>
                <w:szCs w:val="18"/>
                <w:color w:val="auto"/>
              </w:rPr>
              <w:t>5,902</w:t>
            </w: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75"/>
              <w:spacing w:after="0"/>
              <w:rPr>
                <w:sz w:val="20"/>
                <w:szCs w:val="20"/>
                <w:color w:val="auto"/>
              </w:rPr>
            </w:pPr>
            <w:r>
              <w:rPr>
                <w:rFonts w:ascii="Arial" w:cs="Arial" w:eastAsia="Arial" w:hAnsi="Arial"/>
                <w:sz w:val="18"/>
                <w:szCs w:val="18"/>
                <w:color w:val="auto"/>
              </w:rPr>
              <w:t>388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8"/>
              <w:spacing w:after="0"/>
              <w:rPr>
                <w:sz w:val="20"/>
                <w:szCs w:val="20"/>
                <w:color w:val="auto"/>
              </w:rPr>
            </w:pPr>
            <w:r>
              <w:rPr>
                <w:rFonts w:ascii="Arial" w:cs="Arial" w:eastAsia="Arial" w:hAnsi="Arial"/>
                <w:sz w:val="18"/>
                <w:szCs w:val="18"/>
                <w:color w:val="auto"/>
              </w:rPr>
              <w:t>6,290</w:t>
            </w:r>
          </w:p>
        </w:tc>
        <w:tc>
          <w:tcPr>
            <w:tcW w:w="200" w:type="dxa"/>
            <w:vAlign w:val="bottom"/>
          </w:tcPr>
          <w:p>
            <w:pPr>
              <w:spacing w:after="0"/>
              <w:rPr>
                <w:sz w:val="18"/>
                <w:szCs w:val="18"/>
                <w:color w:val="auto"/>
              </w:rPr>
            </w:pP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52"/>
              <w:spacing w:after="0"/>
              <w:rPr>
                <w:sz w:val="20"/>
                <w:szCs w:val="20"/>
                <w:color w:val="auto"/>
              </w:rPr>
            </w:pPr>
            <w:r>
              <w:rPr>
                <w:rFonts w:ascii="Arial" w:cs="Arial" w:eastAsia="Arial" w:hAnsi="Arial"/>
                <w:sz w:val="18"/>
                <w:szCs w:val="18"/>
                <w:color w:val="auto"/>
                <w:w w:val="84"/>
              </w:rPr>
              <w:t>2,025</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95"/>
              <w:spacing w:after="0"/>
              <w:rPr>
                <w:sz w:val="20"/>
                <w:szCs w:val="20"/>
                <w:color w:val="auto"/>
              </w:rPr>
            </w:pPr>
            <w:r>
              <w:rPr>
                <w:rFonts w:ascii="Arial" w:cs="Arial" w:eastAsia="Arial" w:hAnsi="Arial"/>
                <w:sz w:val="18"/>
                <w:szCs w:val="18"/>
                <w:color w:val="auto"/>
              </w:rPr>
              <w:t>3,559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8"/>
              <w:spacing w:after="0"/>
              <w:rPr>
                <w:sz w:val="20"/>
                <w:szCs w:val="20"/>
                <w:color w:val="auto"/>
              </w:rPr>
            </w:pPr>
            <w:r>
              <w:rPr>
                <w:rFonts w:ascii="Arial" w:cs="Arial" w:eastAsia="Arial" w:hAnsi="Arial"/>
                <w:sz w:val="18"/>
                <w:szCs w:val="18"/>
                <w:color w:val="auto"/>
              </w:rPr>
              <w:t>5,584</w:t>
            </w:r>
          </w:p>
        </w:tc>
        <w:tc>
          <w:tcPr>
            <w:tcW w:w="2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35"/>
              <w:spacing w:after="0"/>
              <w:rPr>
                <w:sz w:val="20"/>
                <w:szCs w:val="20"/>
                <w:color w:val="auto"/>
              </w:rPr>
            </w:pPr>
            <w:r>
              <w:rPr>
                <w:rFonts w:ascii="Arial" w:cs="Arial" w:eastAsia="Arial" w:hAnsi="Arial"/>
                <w:sz w:val="18"/>
                <w:szCs w:val="18"/>
                <w:color w:val="auto"/>
              </w:rPr>
              <w:t>706</w:t>
            </w:r>
          </w:p>
        </w:tc>
        <w:tc>
          <w:tcPr>
            <w:tcW w:w="86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32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Broadcast Television</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4,094</w:t>
            </w:r>
          </w:p>
        </w:tc>
        <w:tc>
          <w:tcPr>
            <w:tcW w:w="20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75"/>
              <w:spacing w:after="0"/>
              <w:rPr>
                <w:sz w:val="20"/>
                <w:szCs w:val="20"/>
                <w:color w:val="auto"/>
              </w:rPr>
            </w:pPr>
            <w:r>
              <w:rPr>
                <w:rFonts w:ascii="Arial" w:cs="Arial" w:eastAsia="Arial" w:hAnsi="Arial"/>
                <w:sz w:val="18"/>
                <w:szCs w:val="18"/>
                <w:color w:val="auto"/>
              </w:rPr>
              <w:t>464</w:t>
            </w:r>
          </w:p>
        </w:tc>
        <w:tc>
          <w:tcPr>
            <w:tcW w:w="1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58"/>
              <w:spacing w:after="0"/>
              <w:rPr>
                <w:sz w:val="20"/>
                <w:szCs w:val="20"/>
                <w:color w:val="auto"/>
              </w:rPr>
            </w:pPr>
            <w:r>
              <w:rPr>
                <w:rFonts w:ascii="Arial" w:cs="Arial" w:eastAsia="Arial" w:hAnsi="Arial"/>
                <w:sz w:val="18"/>
                <w:szCs w:val="18"/>
                <w:color w:val="auto"/>
              </w:rPr>
              <w:t>4,558</w:t>
            </w:r>
          </w:p>
        </w:tc>
        <w:tc>
          <w:tcPr>
            <w:tcW w:w="2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4,976</w:t>
            </w:r>
          </w:p>
        </w:tc>
        <w:tc>
          <w:tcPr>
            <w:tcW w:w="2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58"/>
              <w:spacing w:after="0"/>
              <w:rPr>
                <w:sz w:val="20"/>
                <w:szCs w:val="20"/>
                <w:color w:val="auto"/>
              </w:rPr>
            </w:pPr>
            <w:r>
              <w:rPr>
                <w:rFonts w:ascii="Arial" w:cs="Arial" w:eastAsia="Arial" w:hAnsi="Arial"/>
                <w:sz w:val="18"/>
                <w:szCs w:val="18"/>
                <w:color w:val="auto"/>
              </w:rPr>
              <w:t>4,976</w:t>
            </w:r>
          </w:p>
        </w:tc>
        <w:tc>
          <w:tcPr>
            <w:tcW w:w="2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5"/>
              <w:spacing w:after="0"/>
              <w:rPr>
                <w:sz w:val="20"/>
                <w:szCs w:val="20"/>
                <w:color w:val="auto"/>
              </w:rPr>
            </w:pPr>
            <w:r>
              <w:rPr>
                <w:rFonts w:ascii="Arial" w:cs="Arial" w:eastAsia="Arial" w:hAnsi="Arial"/>
                <w:sz w:val="18"/>
                <w:szCs w:val="18"/>
                <w:color w:val="auto"/>
                <w:w w:val="90"/>
              </w:rPr>
              <w:t>(418)</w:t>
            </w:r>
          </w:p>
        </w:tc>
        <w:tc>
          <w:tcPr>
            <w:tcW w:w="86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3200" w:type="dxa"/>
            <w:vAlign w:val="bottom"/>
          </w:tcPr>
          <w:p>
            <w:pPr>
              <w:ind w:left="440"/>
              <w:spacing w:after="0"/>
              <w:rPr>
                <w:sz w:val="20"/>
                <w:szCs w:val="20"/>
                <w:color w:val="auto"/>
              </w:rPr>
            </w:pPr>
            <w:r>
              <w:rPr>
                <w:rFonts w:ascii="Arial" w:cs="Arial" w:eastAsia="Arial" w:hAnsi="Arial"/>
                <w:sz w:val="18"/>
                <w:szCs w:val="18"/>
                <w:color w:val="auto"/>
              </w:rPr>
              <w:t>Filmed Entertainment</w:t>
            </w:r>
          </w:p>
        </w:tc>
        <w:tc>
          <w:tcPr>
            <w:tcW w:w="260" w:type="dxa"/>
            <w:vAlign w:val="bottom"/>
          </w:tcPr>
          <w:p>
            <w:pPr>
              <w:spacing w:after="0"/>
              <w:rPr>
                <w:sz w:val="18"/>
                <w:szCs w:val="18"/>
                <w:color w:val="auto"/>
              </w:rPr>
            </w:pPr>
          </w:p>
        </w:tc>
        <w:tc>
          <w:tcPr>
            <w:tcW w:w="840" w:type="dxa"/>
            <w:vAlign w:val="bottom"/>
          </w:tcPr>
          <w:p>
            <w:pPr>
              <w:jc w:val="right"/>
              <w:ind w:right="97"/>
              <w:spacing w:after="0"/>
              <w:rPr>
                <w:sz w:val="20"/>
                <w:szCs w:val="20"/>
                <w:color w:val="auto"/>
              </w:rPr>
            </w:pPr>
            <w:r>
              <w:rPr>
                <w:rFonts w:ascii="Arial" w:cs="Arial" w:eastAsia="Arial" w:hAnsi="Arial"/>
                <w:sz w:val="18"/>
                <w:szCs w:val="18"/>
                <w:color w:val="auto"/>
              </w:rPr>
              <w:t>2,972</w:t>
            </w:r>
          </w:p>
        </w:tc>
        <w:tc>
          <w:tcPr>
            <w:tcW w:w="200" w:type="dxa"/>
            <w:vAlign w:val="bottom"/>
          </w:tcPr>
          <w:p>
            <w:pPr>
              <w:spacing w:after="0"/>
              <w:rPr>
                <w:sz w:val="18"/>
                <w:szCs w:val="18"/>
                <w:color w:val="auto"/>
              </w:rPr>
            </w:pPr>
          </w:p>
        </w:tc>
        <w:tc>
          <w:tcPr>
            <w:tcW w:w="880" w:type="dxa"/>
            <w:vAlign w:val="bottom"/>
          </w:tcPr>
          <w:p>
            <w:pPr>
              <w:jc w:val="right"/>
              <w:ind w:right="75"/>
              <w:spacing w:after="0"/>
              <w:rPr>
                <w:sz w:val="20"/>
                <w:szCs w:val="20"/>
                <w:color w:val="auto"/>
              </w:rPr>
            </w:pPr>
            <w:r>
              <w:rPr>
                <w:rFonts w:ascii="Arial" w:cs="Arial" w:eastAsia="Arial" w:hAnsi="Arial"/>
                <w:sz w:val="18"/>
                <w:szCs w:val="18"/>
                <w:color w:val="auto"/>
              </w:rPr>
              <w:t>353</w:t>
            </w:r>
          </w:p>
        </w:tc>
        <w:tc>
          <w:tcPr>
            <w:tcW w:w="180" w:type="dxa"/>
            <w:vAlign w:val="bottom"/>
          </w:tcPr>
          <w:p>
            <w:pPr>
              <w:spacing w:after="0"/>
              <w:rPr>
                <w:sz w:val="18"/>
                <w:szCs w:val="18"/>
                <w:color w:val="auto"/>
              </w:rPr>
            </w:pPr>
          </w:p>
        </w:tc>
        <w:tc>
          <w:tcPr>
            <w:tcW w:w="820" w:type="dxa"/>
            <w:vAlign w:val="bottom"/>
          </w:tcPr>
          <w:p>
            <w:pPr>
              <w:jc w:val="right"/>
              <w:ind w:right="58"/>
              <w:spacing w:after="0"/>
              <w:rPr>
                <w:sz w:val="20"/>
                <w:szCs w:val="20"/>
                <w:color w:val="auto"/>
              </w:rPr>
            </w:pPr>
            <w:r>
              <w:rPr>
                <w:rFonts w:ascii="Arial" w:cs="Arial" w:eastAsia="Arial" w:hAnsi="Arial"/>
                <w:sz w:val="18"/>
                <w:szCs w:val="18"/>
                <w:color w:val="auto"/>
              </w:rPr>
              <w:t>3,325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ind w:right="95"/>
              <w:spacing w:after="0"/>
              <w:rPr>
                <w:sz w:val="20"/>
                <w:szCs w:val="20"/>
                <w:color w:val="auto"/>
              </w:rPr>
            </w:pPr>
            <w:r>
              <w:rPr>
                <w:rFonts w:ascii="Arial" w:cs="Arial" w:eastAsia="Arial" w:hAnsi="Arial"/>
                <w:sz w:val="18"/>
                <w:szCs w:val="18"/>
                <w:color w:val="auto"/>
              </w:rPr>
              <w:t>3,287</w:t>
            </w:r>
          </w:p>
        </w:tc>
        <w:tc>
          <w:tcPr>
            <w:tcW w:w="220" w:type="dxa"/>
            <w:vAlign w:val="bottom"/>
          </w:tcPr>
          <w:p>
            <w:pPr>
              <w:spacing w:after="0"/>
              <w:rPr>
                <w:sz w:val="18"/>
                <w:szCs w:val="18"/>
                <w:color w:val="auto"/>
              </w:rPr>
            </w:pPr>
          </w:p>
        </w:tc>
        <w:tc>
          <w:tcPr>
            <w:tcW w:w="800" w:type="dxa"/>
            <w:vAlign w:val="bottom"/>
          </w:tcPr>
          <w:p>
            <w:pPr>
              <w:jc w:val="right"/>
              <w:ind w:right="58"/>
              <w:spacing w:after="0"/>
              <w:rPr>
                <w:sz w:val="20"/>
                <w:szCs w:val="20"/>
                <w:color w:val="auto"/>
              </w:rPr>
            </w:pPr>
            <w:r>
              <w:rPr>
                <w:rFonts w:ascii="Arial" w:cs="Arial" w:eastAsia="Arial" w:hAnsi="Arial"/>
                <w:sz w:val="18"/>
                <w:szCs w:val="18"/>
                <w:color w:val="auto"/>
              </w:rPr>
              <w:t>3,287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ind w:right="135"/>
              <w:spacing w:after="0"/>
              <w:rPr>
                <w:sz w:val="20"/>
                <w:szCs w:val="20"/>
                <w:color w:val="auto"/>
              </w:rPr>
            </w:pPr>
            <w:r>
              <w:rPr>
                <w:rFonts w:ascii="Arial" w:cs="Arial" w:eastAsia="Arial" w:hAnsi="Arial"/>
                <w:sz w:val="18"/>
                <w:szCs w:val="18"/>
                <w:color w:val="auto"/>
              </w:rPr>
              <w:t>38</w:t>
            </w:r>
          </w:p>
        </w:tc>
        <w:tc>
          <w:tcPr>
            <w:tcW w:w="860" w:type="dxa"/>
            <w:vAlign w:val="bottom"/>
          </w:tcPr>
          <w:p>
            <w:pPr>
              <w:jc w:val="right"/>
              <w:ind w:right="13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2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Theme Parks</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1,376</w:t>
            </w:r>
          </w:p>
        </w:tc>
        <w:tc>
          <w:tcPr>
            <w:tcW w:w="20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75"/>
              <w:spacing w:after="0"/>
              <w:rPr>
                <w:sz w:val="20"/>
                <w:szCs w:val="20"/>
                <w:color w:val="auto"/>
              </w:rPr>
            </w:pPr>
            <w:r>
              <w:rPr>
                <w:rFonts w:ascii="Arial" w:cs="Arial" w:eastAsia="Arial" w:hAnsi="Arial"/>
                <w:sz w:val="18"/>
                <w:szCs w:val="18"/>
                <w:color w:val="auto"/>
              </w:rPr>
              <w:t>115</w:t>
            </w:r>
          </w:p>
        </w:tc>
        <w:tc>
          <w:tcPr>
            <w:tcW w:w="1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58"/>
              <w:spacing w:after="0"/>
              <w:rPr>
                <w:sz w:val="20"/>
                <w:szCs w:val="20"/>
                <w:color w:val="auto"/>
              </w:rPr>
            </w:pPr>
            <w:r>
              <w:rPr>
                <w:rFonts w:ascii="Arial" w:cs="Arial" w:eastAsia="Arial" w:hAnsi="Arial"/>
                <w:sz w:val="18"/>
                <w:szCs w:val="18"/>
                <w:color w:val="auto"/>
              </w:rPr>
              <w:t>1,491</w:t>
            </w:r>
          </w:p>
        </w:tc>
        <w:tc>
          <w:tcPr>
            <w:tcW w:w="2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1,122</w:t>
            </w:r>
          </w:p>
        </w:tc>
        <w:tc>
          <w:tcPr>
            <w:tcW w:w="2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58"/>
              <w:spacing w:after="0"/>
              <w:rPr>
                <w:sz w:val="20"/>
                <w:szCs w:val="20"/>
                <w:color w:val="auto"/>
              </w:rPr>
            </w:pPr>
            <w:r>
              <w:rPr>
                <w:rFonts w:ascii="Arial" w:cs="Arial" w:eastAsia="Arial" w:hAnsi="Arial"/>
                <w:sz w:val="18"/>
                <w:szCs w:val="18"/>
                <w:color w:val="auto"/>
              </w:rPr>
              <w:t>1,122</w:t>
            </w:r>
          </w:p>
        </w:tc>
        <w:tc>
          <w:tcPr>
            <w:tcW w:w="2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369</w:t>
            </w:r>
          </w:p>
        </w:tc>
        <w:tc>
          <w:tcPr>
            <w:tcW w:w="8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32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92"/>
              </w:rPr>
              <w:t>Headquarters, other and eliminations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(822)</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544</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200" w:type="dxa"/>
            <w:vAlign w:val="bottom"/>
            <w:tcBorders>
              <w:bottom w:val="single" w:sz="8" w:color="E5E5E5"/>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(286)</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220" w:type="dxa"/>
            <w:vAlign w:val="bottom"/>
            <w:tcBorders>
              <w:bottom w:val="single" w:sz="8" w:color="E5E5E5"/>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8</w:t>
            </w: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7"/>
        </w:trPr>
        <w:tc>
          <w:tcPr>
            <w:tcW w:w="32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E5E5E5"/>
          </w:tcPr>
          <w:p>
            <w:pPr>
              <w:jc w:val="right"/>
              <w:ind w:right="97"/>
              <w:spacing w:after="0"/>
              <w:rPr>
                <w:sz w:val="20"/>
                <w:szCs w:val="20"/>
                <w:color w:val="auto"/>
              </w:rPr>
            </w:pPr>
            <w:r>
              <w:rPr>
                <w:rFonts w:ascii="Arial" w:cs="Arial" w:eastAsia="Arial" w:hAnsi="Arial"/>
                <w:sz w:val="18"/>
                <w:szCs w:val="18"/>
                <w:b w:val="1"/>
                <w:bCs w:val="1"/>
                <w:color w:val="auto"/>
              </w:rPr>
              <w:t>13,522</w:t>
            </w:r>
          </w:p>
        </w:tc>
        <w:tc>
          <w:tcPr>
            <w:tcW w:w="20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E5E5E5"/>
          </w:tcPr>
          <w:p>
            <w:pPr>
              <w:jc w:val="right"/>
              <w:ind w:right="75"/>
              <w:spacing w:after="0"/>
              <w:rPr>
                <w:sz w:val="20"/>
                <w:szCs w:val="20"/>
                <w:color w:val="auto"/>
              </w:rPr>
            </w:pPr>
            <w:r>
              <w:rPr>
                <w:rFonts w:ascii="Arial" w:cs="Arial" w:eastAsia="Arial" w:hAnsi="Arial"/>
                <w:sz w:val="18"/>
                <w:szCs w:val="18"/>
                <w:b w:val="1"/>
                <w:bCs w:val="1"/>
                <w:color w:val="auto"/>
              </w:rPr>
              <w:t>1,864</w:t>
            </w:r>
          </w:p>
        </w:tc>
        <w:tc>
          <w:tcPr>
            <w:tcW w:w="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E5E5E5"/>
          </w:tcPr>
          <w:p>
            <w:pPr>
              <w:jc w:val="right"/>
              <w:ind w:right="58"/>
              <w:spacing w:after="0"/>
              <w:rPr>
                <w:sz w:val="20"/>
                <w:szCs w:val="20"/>
                <w:color w:val="auto"/>
              </w:rPr>
            </w:pPr>
            <w:r>
              <w:rPr>
                <w:rFonts w:ascii="Arial" w:cs="Arial" w:eastAsia="Arial" w:hAnsi="Arial"/>
                <w:sz w:val="18"/>
                <w:szCs w:val="18"/>
                <w:b w:val="1"/>
                <w:bCs w:val="1"/>
                <w:color w:val="auto"/>
              </w:rPr>
              <w:t>15,386</w:t>
            </w:r>
          </w:p>
        </w:tc>
        <w:tc>
          <w:tcPr>
            <w:tcW w:w="200" w:type="dxa"/>
            <w:vAlign w:val="bottom"/>
            <w:tcBorders>
              <w:bottom w:val="single" w:sz="8" w:color="E5E5E5"/>
            </w:tcBorders>
            <w:shd w:val="clear" w:color="auto" w:fill="E5E5E5"/>
          </w:tcPr>
          <w:p>
            <w:pPr>
              <w:spacing w:after="0"/>
              <w:rPr>
                <w:sz w:val="18"/>
                <w:szCs w:val="18"/>
                <w:color w:val="auto"/>
              </w:rPr>
            </w:pPr>
          </w:p>
        </w:tc>
        <w:tc>
          <w:tcPr>
            <w:tcW w:w="2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b w:val="1"/>
                <w:bCs w:val="1"/>
                <w:color w:val="auto"/>
                <w:w w:val="84"/>
              </w:rPr>
              <w:t>2,025</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b w:val="1"/>
                <w:bCs w:val="1"/>
                <w:color w:val="auto"/>
              </w:rPr>
              <w:t>12,658</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58"/>
              <w:spacing w:after="0"/>
              <w:rPr>
                <w:sz w:val="20"/>
                <w:szCs w:val="20"/>
                <w:color w:val="auto"/>
              </w:rPr>
            </w:pPr>
            <w:r>
              <w:rPr>
                <w:rFonts w:ascii="Arial" w:cs="Arial" w:eastAsia="Arial" w:hAnsi="Arial"/>
                <w:sz w:val="18"/>
                <w:szCs w:val="18"/>
                <w:b w:val="1"/>
                <w:bCs w:val="1"/>
                <w:color w:val="auto"/>
              </w:rPr>
              <w:t>14,683</w:t>
            </w:r>
          </w:p>
        </w:tc>
        <w:tc>
          <w:tcPr>
            <w:tcW w:w="220" w:type="dxa"/>
            <w:vAlign w:val="bottom"/>
            <w:tcBorders>
              <w:bottom w:val="single" w:sz="8" w:color="E5E5E5"/>
            </w:tcBorders>
            <w:shd w:val="clear" w:color="auto" w:fill="E5E5E5"/>
          </w:tcPr>
          <w:p>
            <w:pPr>
              <w:spacing w:after="0"/>
              <w:rPr>
                <w:sz w:val="18"/>
                <w:szCs w:val="18"/>
                <w:color w:val="auto"/>
              </w:rPr>
            </w:pP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b w:val="1"/>
                <w:bCs w:val="1"/>
                <w:color w:val="auto"/>
              </w:rPr>
              <w:t>703</w:t>
            </w:r>
          </w:p>
        </w:tc>
        <w:tc>
          <w:tcPr>
            <w:tcW w:w="8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r>
        <w:trPr>
          <w:trHeight w:val="202"/>
        </w:trPr>
        <w:tc>
          <w:tcPr>
            <w:tcW w:w="3200" w:type="dxa"/>
            <w:vAlign w:val="bottom"/>
          </w:tcPr>
          <w:p>
            <w:pPr>
              <w:spacing w:after="0" w:line="201" w:lineRule="exact"/>
              <w:rPr>
                <w:sz w:val="20"/>
                <w:szCs w:val="20"/>
                <w:color w:val="auto"/>
              </w:rPr>
            </w:pPr>
            <w:r>
              <w:rPr>
                <w:rFonts w:ascii="Arial" w:cs="Arial" w:eastAsia="Arial" w:hAnsi="Arial"/>
                <w:sz w:val="18"/>
                <w:szCs w:val="18"/>
                <w:b w:val="1"/>
                <w:bCs w:val="1"/>
                <w:color w:val="auto"/>
                <w:w w:val="96"/>
              </w:rPr>
              <w:t>Operating Income Before Depreciation</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220"/>
              <w:spacing w:after="0"/>
              <w:rPr>
                <w:sz w:val="20"/>
                <w:szCs w:val="20"/>
                <w:color w:val="auto"/>
              </w:rPr>
            </w:pPr>
            <w:r>
              <w:rPr>
                <w:rFonts w:ascii="Arial" w:cs="Arial" w:eastAsia="Arial" w:hAnsi="Arial"/>
                <w:sz w:val="18"/>
                <w:szCs w:val="18"/>
                <w:b w:val="1"/>
                <w:bCs w:val="1"/>
                <w:color w:val="auto"/>
              </w:rPr>
              <w:t>and Amortization</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2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p>
        </w:tc>
        <w:tc>
          <w:tcPr>
            <w:tcW w:w="260" w:type="dxa"/>
            <w:vAlign w:val="bottom"/>
            <w:shd w:val="clear" w:color="auto" w:fill="E5E5E5"/>
          </w:tcPr>
          <w:p>
            <w:pPr>
              <w:ind w:left="1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2,262</w:t>
            </w:r>
          </w:p>
        </w:tc>
        <w:tc>
          <w:tcPr>
            <w:tcW w:w="200" w:type="dxa"/>
            <w:vAlign w:val="bottom"/>
            <w:shd w:val="clear" w:color="auto" w:fill="E5E5E5"/>
          </w:tcPr>
          <w:p>
            <w:pPr>
              <w:ind w:left="12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E5E5E5"/>
          </w:tcPr>
          <w:p>
            <w:pPr>
              <w:jc w:val="right"/>
              <w:ind w:right="75"/>
              <w:spacing w:after="0"/>
              <w:rPr>
                <w:sz w:val="20"/>
                <w:szCs w:val="20"/>
                <w:color w:val="auto"/>
              </w:rPr>
            </w:pPr>
            <w:r>
              <w:rPr>
                <w:rFonts w:ascii="Arial" w:cs="Arial" w:eastAsia="Arial" w:hAnsi="Arial"/>
                <w:sz w:val="18"/>
                <w:szCs w:val="18"/>
                <w:color w:val="auto"/>
              </w:rPr>
              <w:t>152</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ind w:right="58"/>
              <w:spacing w:after="0"/>
              <w:rPr>
                <w:sz w:val="20"/>
                <w:szCs w:val="20"/>
                <w:color w:val="auto"/>
              </w:rPr>
            </w:pPr>
            <w:r>
              <w:rPr>
                <w:rFonts w:ascii="Arial" w:cs="Arial" w:eastAsia="Arial" w:hAnsi="Arial"/>
                <w:sz w:val="18"/>
                <w:szCs w:val="18"/>
                <w:color w:val="auto"/>
              </w:rPr>
              <w:t>2,414</w:t>
            </w:r>
          </w:p>
        </w:tc>
        <w:tc>
          <w:tcPr>
            <w:tcW w:w="200" w:type="dxa"/>
            <w:vAlign w:val="bottom"/>
            <w:shd w:val="clear" w:color="auto" w:fill="E5E5E5"/>
          </w:tcPr>
          <w:p>
            <w:pPr>
              <w:spacing w:after="0"/>
              <w:rPr>
                <w:sz w:val="18"/>
                <w:szCs w:val="18"/>
                <w:color w:val="auto"/>
              </w:rPr>
            </w:pPr>
          </w:p>
        </w:tc>
        <w:tc>
          <w:tcPr>
            <w:tcW w:w="260" w:type="dxa"/>
            <w:vAlign w:val="bottom"/>
            <w:shd w:val="clear" w:color="auto" w:fill="E5E5E5"/>
          </w:tcPr>
          <w:p>
            <w:pPr>
              <w:ind w:left="1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613</w:t>
            </w:r>
          </w:p>
        </w:tc>
        <w:tc>
          <w:tcPr>
            <w:tcW w:w="220" w:type="dxa"/>
            <w:vAlign w:val="bottom"/>
            <w:shd w:val="clear" w:color="auto" w:fill="E5E5E5"/>
          </w:tcPr>
          <w:p>
            <w:pPr>
              <w:ind w:left="12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1,753</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ind w:right="58"/>
              <w:spacing w:after="0"/>
              <w:rPr>
                <w:sz w:val="20"/>
                <w:szCs w:val="20"/>
                <w:color w:val="auto"/>
              </w:rPr>
            </w:pPr>
            <w:r>
              <w:rPr>
                <w:rFonts w:ascii="Arial" w:cs="Arial" w:eastAsia="Arial" w:hAnsi="Arial"/>
                <w:sz w:val="18"/>
                <w:szCs w:val="18"/>
                <w:color w:val="auto"/>
              </w:rPr>
              <w:t>2,366</w:t>
            </w:r>
          </w:p>
        </w:tc>
        <w:tc>
          <w:tcPr>
            <w:tcW w:w="220" w:type="dxa"/>
            <w:vAlign w:val="bottom"/>
            <w:shd w:val="clear" w:color="auto" w:fill="E5E5E5"/>
          </w:tcPr>
          <w:p>
            <w:pPr>
              <w:spacing w:after="0"/>
              <w:rPr>
                <w:sz w:val="18"/>
                <w:szCs w:val="18"/>
                <w:color w:val="auto"/>
              </w:rPr>
            </w:pP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48</w:t>
            </w: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20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260" w:type="dxa"/>
            <w:vAlign w:val="bottom"/>
          </w:tcPr>
          <w:p>
            <w:pPr>
              <w:spacing w:after="0"/>
              <w:rPr>
                <w:sz w:val="18"/>
                <w:szCs w:val="18"/>
                <w:color w:val="auto"/>
              </w:rPr>
            </w:pPr>
          </w:p>
        </w:tc>
        <w:tc>
          <w:tcPr>
            <w:tcW w:w="840" w:type="dxa"/>
            <w:vAlign w:val="bottom"/>
          </w:tcPr>
          <w:p>
            <w:pPr>
              <w:jc w:val="right"/>
              <w:ind w:right="97"/>
              <w:spacing w:after="0"/>
              <w:rPr>
                <w:sz w:val="20"/>
                <w:szCs w:val="20"/>
                <w:color w:val="auto"/>
              </w:rPr>
            </w:pPr>
            <w:r>
              <w:rPr>
                <w:rFonts w:ascii="Arial" w:cs="Arial" w:eastAsia="Arial" w:hAnsi="Arial"/>
                <w:sz w:val="18"/>
                <w:szCs w:val="18"/>
                <w:color w:val="auto"/>
              </w:rPr>
              <w:t>218</w:t>
            </w:r>
          </w:p>
        </w:tc>
        <w:tc>
          <w:tcPr>
            <w:tcW w:w="200" w:type="dxa"/>
            <w:vAlign w:val="bottom"/>
          </w:tcPr>
          <w:p>
            <w:pPr>
              <w:spacing w:after="0"/>
              <w:rPr>
                <w:sz w:val="18"/>
                <w:szCs w:val="18"/>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820" w:type="dxa"/>
            <w:vAlign w:val="bottom"/>
          </w:tcPr>
          <w:p>
            <w:pPr>
              <w:jc w:val="right"/>
              <w:ind w:right="58"/>
              <w:spacing w:after="0"/>
              <w:rPr>
                <w:sz w:val="20"/>
                <w:szCs w:val="20"/>
                <w:color w:val="auto"/>
              </w:rPr>
            </w:pPr>
            <w:r>
              <w:rPr>
                <w:rFonts w:ascii="Arial" w:cs="Arial" w:eastAsia="Arial" w:hAnsi="Arial"/>
                <w:sz w:val="18"/>
                <w:szCs w:val="18"/>
                <w:color w:val="auto"/>
              </w:rPr>
              <w:t>203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ind w:right="95"/>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800" w:type="dxa"/>
            <w:vAlign w:val="bottom"/>
          </w:tcPr>
          <w:p>
            <w:pPr>
              <w:jc w:val="right"/>
              <w:ind w:right="58"/>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ind w:right="135"/>
              <w:spacing w:after="0"/>
              <w:rPr>
                <w:sz w:val="20"/>
                <w:szCs w:val="20"/>
                <w:color w:val="auto"/>
              </w:rPr>
            </w:pPr>
            <w:r>
              <w:rPr>
                <w:rFonts w:ascii="Arial" w:cs="Arial" w:eastAsia="Arial" w:hAnsi="Arial"/>
                <w:sz w:val="18"/>
                <w:szCs w:val="18"/>
                <w:color w:val="auto"/>
              </w:rPr>
              <w:t>140</w:t>
            </w:r>
          </w:p>
        </w:tc>
        <w:tc>
          <w:tcPr>
            <w:tcW w:w="860" w:type="dxa"/>
            <w:vAlign w:val="bottom"/>
          </w:tcPr>
          <w:p>
            <w:pPr>
              <w:jc w:val="right"/>
              <w:ind w:right="134"/>
              <w:spacing w:after="0"/>
              <w:rPr>
                <w:sz w:val="20"/>
                <w:szCs w:val="20"/>
                <w:color w:val="auto"/>
              </w:rPr>
            </w:pPr>
            <w:r>
              <w:rPr>
                <w:rFonts w:ascii="Arial" w:cs="Arial" w:eastAsia="Arial" w:hAnsi="Arial"/>
                <w:sz w:val="18"/>
                <w:szCs w:val="18"/>
                <w:color w:val="auto"/>
              </w:rPr>
              <w:t>222.6</w:t>
            </w:r>
          </w:p>
        </w:tc>
        <w:tc>
          <w:tcPr>
            <w:tcW w:w="0" w:type="dxa"/>
            <w:vAlign w:val="bottom"/>
          </w:tcPr>
          <w:p>
            <w:pPr>
              <w:spacing w:after="0"/>
              <w:rPr>
                <w:sz w:val="1"/>
                <w:szCs w:val="1"/>
                <w:color w:val="auto"/>
              </w:rPr>
            </w:pPr>
          </w:p>
        </w:tc>
      </w:tr>
      <w:tr>
        <w:trPr>
          <w:trHeight w:val="216"/>
        </w:trPr>
        <w:tc>
          <w:tcPr>
            <w:tcW w:w="32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7"/>
              <w:spacing w:after="0"/>
              <w:rPr>
                <w:sz w:val="20"/>
                <w:szCs w:val="20"/>
                <w:color w:val="auto"/>
              </w:rPr>
            </w:pPr>
            <w:r>
              <w:rPr>
                <w:rFonts w:ascii="Arial" w:cs="Arial" w:eastAsia="Arial" w:hAnsi="Arial"/>
                <w:sz w:val="18"/>
                <w:szCs w:val="18"/>
                <w:color w:val="auto"/>
              </w:rPr>
              <w:t>(62)</w:t>
            </w:r>
          </w:p>
        </w:tc>
        <w:tc>
          <w:tcPr>
            <w:tcW w:w="20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(3)</w:t>
            </w:r>
          </w:p>
        </w:tc>
        <w:tc>
          <w:tcPr>
            <w:tcW w:w="180" w:type="dxa"/>
            <w:vAlign w:val="bottom"/>
            <w:shd w:val="clear" w:color="auto" w:fill="E5E5E5"/>
          </w:tcPr>
          <w:p>
            <w:pPr>
              <w:spacing w:after="0"/>
              <w:rPr>
                <w:sz w:val="18"/>
                <w:szCs w:val="18"/>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58</w:t>
            </w:r>
          </w:p>
        </w:tc>
        <w:tc>
          <w:tcPr>
            <w:tcW w:w="2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58"/>
              <w:spacing w:after="0"/>
              <w:rPr>
                <w:sz w:val="20"/>
                <w:szCs w:val="20"/>
                <w:color w:val="auto"/>
              </w:rPr>
            </w:pPr>
            <w:r>
              <w:rPr>
                <w:rFonts w:ascii="Arial" w:cs="Arial" w:eastAsia="Arial" w:hAnsi="Arial"/>
                <w:sz w:val="18"/>
                <w:szCs w:val="18"/>
                <w:color w:val="auto"/>
              </w:rPr>
              <w:t>58</w:t>
            </w:r>
          </w:p>
        </w:tc>
        <w:tc>
          <w:tcPr>
            <w:tcW w:w="2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5"/>
              <w:spacing w:after="0"/>
              <w:rPr>
                <w:sz w:val="20"/>
                <w:szCs w:val="20"/>
                <w:color w:val="auto"/>
              </w:rPr>
            </w:pPr>
            <w:r>
              <w:rPr>
                <w:rFonts w:ascii="Arial" w:cs="Arial" w:eastAsia="Arial" w:hAnsi="Arial"/>
                <w:sz w:val="18"/>
                <w:szCs w:val="18"/>
                <w:color w:val="auto"/>
                <w:w w:val="90"/>
              </w:rPr>
              <w:t>(123)</w:t>
            </w:r>
          </w:p>
        </w:tc>
        <w:tc>
          <w:tcPr>
            <w:tcW w:w="86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(212.0)</w:t>
            </w:r>
          </w:p>
        </w:tc>
        <w:tc>
          <w:tcPr>
            <w:tcW w:w="0" w:type="dxa"/>
            <w:vAlign w:val="bottom"/>
          </w:tcPr>
          <w:p>
            <w:pPr>
              <w:spacing w:after="0"/>
              <w:rPr>
                <w:sz w:val="1"/>
                <w:szCs w:val="1"/>
                <w:color w:val="auto"/>
              </w:rPr>
            </w:pPr>
          </w:p>
        </w:tc>
      </w:tr>
      <w:tr>
        <w:trPr>
          <w:trHeight w:val="216"/>
        </w:trPr>
        <w:tc>
          <w:tcPr>
            <w:tcW w:w="3200" w:type="dxa"/>
            <w:vAlign w:val="bottom"/>
          </w:tcPr>
          <w:p>
            <w:pPr>
              <w:ind w:left="440"/>
              <w:spacing w:after="0"/>
              <w:rPr>
                <w:sz w:val="20"/>
                <w:szCs w:val="20"/>
                <w:color w:val="auto"/>
              </w:rPr>
            </w:pPr>
            <w:r>
              <w:rPr>
                <w:rFonts w:ascii="Arial" w:cs="Arial" w:eastAsia="Arial" w:hAnsi="Arial"/>
                <w:sz w:val="18"/>
                <w:szCs w:val="18"/>
                <w:color w:val="auto"/>
              </w:rPr>
              <w:t>Theme Parks</w:t>
            </w:r>
          </w:p>
        </w:tc>
        <w:tc>
          <w:tcPr>
            <w:tcW w:w="260" w:type="dxa"/>
            <w:vAlign w:val="bottom"/>
          </w:tcPr>
          <w:p>
            <w:pPr>
              <w:spacing w:after="0"/>
              <w:rPr>
                <w:sz w:val="18"/>
                <w:szCs w:val="18"/>
                <w:color w:val="auto"/>
              </w:rPr>
            </w:pPr>
          </w:p>
        </w:tc>
        <w:tc>
          <w:tcPr>
            <w:tcW w:w="840" w:type="dxa"/>
            <w:vAlign w:val="bottom"/>
          </w:tcPr>
          <w:p>
            <w:pPr>
              <w:jc w:val="right"/>
              <w:ind w:right="97"/>
              <w:spacing w:after="0"/>
              <w:rPr>
                <w:sz w:val="20"/>
                <w:szCs w:val="20"/>
                <w:color w:val="auto"/>
              </w:rPr>
            </w:pPr>
            <w:r>
              <w:rPr>
                <w:rFonts w:ascii="Arial" w:cs="Arial" w:eastAsia="Arial" w:hAnsi="Arial"/>
                <w:sz w:val="18"/>
                <w:szCs w:val="18"/>
                <w:color w:val="auto"/>
              </w:rPr>
              <w:t>607</w:t>
            </w:r>
          </w:p>
        </w:tc>
        <w:tc>
          <w:tcPr>
            <w:tcW w:w="200" w:type="dxa"/>
            <w:vAlign w:val="bottom"/>
          </w:tcPr>
          <w:p>
            <w:pPr>
              <w:spacing w:after="0"/>
              <w:rPr>
                <w:sz w:val="18"/>
                <w:szCs w:val="18"/>
                <w:color w:val="auto"/>
              </w:rPr>
            </w:pPr>
          </w:p>
        </w:tc>
        <w:tc>
          <w:tcPr>
            <w:tcW w:w="880" w:type="dxa"/>
            <w:vAlign w:val="bottom"/>
          </w:tcPr>
          <w:p>
            <w:pPr>
              <w:jc w:val="right"/>
              <w:ind w:right="75"/>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820" w:type="dxa"/>
            <w:vAlign w:val="bottom"/>
          </w:tcPr>
          <w:p>
            <w:pPr>
              <w:jc w:val="right"/>
              <w:ind w:right="58"/>
              <w:spacing w:after="0"/>
              <w:rPr>
                <w:sz w:val="20"/>
                <w:szCs w:val="20"/>
                <w:color w:val="auto"/>
              </w:rPr>
            </w:pPr>
            <w:r>
              <w:rPr>
                <w:rFonts w:ascii="Arial" w:cs="Arial" w:eastAsia="Arial" w:hAnsi="Arial"/>
                <w:sz w:val="18"/>
                <w:szCs w:val="18"/>
                <w:color w:val="auto"/>
              </w:rPr>
              <w:t>644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ind w:right="95"/>
              <w:spacing w:after="0"/>
              <w:rPr>
                <w:sz w:val="20"/>
                <w:szCs w:val="20"/>
                <w:color w:val="auto"/>
              </w:rPr>
            </w:pPr>
            <w:r>
              <w:rPr>
                <w:rFonts w:ascii="Arial" w:cs="Arial" w:eastAsia="Arial" w:hAnsi="Arial"/>
                <w:sz w:val="18"/>
                <w:szCs w:val="18"/>
                <w:color w:val="auto"/>
              </w:rPr>
              <w:t>399</w:t>
            </w:r>
          </w:p>
        </w:tc>
        <w:tc>
          <w:tcPr>
            <w:tcW w:w="220" w:type="dxa"/>
            <w:vAlign w:val="bottom"/>
          </w:tcPr>
          <w:p>
            <w:pPr>
              <w:spacing w:after="0"/>
              <w:rPr>
                <w:sz w:val="18"/>
                <w:szCs w:val="18"/>
                <w:color w:val="auto"/>
              </w:rPr>
            </w:pPr>
          </w:p>
        </w:tc>
        <w:tc>
          <w:tcPr>
            <w:tcW w:w="800" w:type="dxa"/>
            <w:vAlign w:val="bottom"/>
          </w:tcPr>
          <w:p>
            <w:pPr>
              <w:jc w:val="right"/>
              <w:ind w:right="58"/>
              <w:spacing w:after="0"/>
              <w:rPr>
                <w:sz w:val="20"/>
                <w:szCs w:val="20"/>
                <w:color w:val="auto"/>
              </w:rPr>
            </w:pPr>
            <w:r>
              <w:rPr>
                <w:rFonts w:ascii="Arial" w:cs="Arial" w:eastAsia="Arial" w:hAnsi="Arial"/>
                <w:sz w:val="18"/>
                <w:szCs w:val="18"/>
                <w:color w:val="auto"/>
              </w:rPr>
              <w:t>399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ind w:right="135"/>
              <w:spacing w:after="0"/>
              <w:rPr>
                <w:sz w:val="20"/>
                <w:szCs w:val="20"/>
                <w:color w:val="auto"/>
              </w:rPr>
            </w:pPr>
            <w:r>
              <w:rPr>
                <w:rFonts w:ascii="Arial" w:cs="Arial" w:eastAsia="Arial" w:hAnsi="Arial"/>
                <w:sz w:val="18"/>
                <w:szCs w:val="18"/>
                <w:color w:val="auto"/>
              </w:rPr>
              <w:t>245</w:t>
            </w:r>
          </w:p>
        </w:tc>
        <w:tc>
          <w:tcPr>
            <w:tcW w:w="860" w:type="dxa"/>
            <w:vAlign w:val="bottom"/>
          </w:tcPr>
          <w:p>
            <w:pPr>
              <w:jc w:val="right"/>
              <w:ind w:right="134"/>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320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w w:val="92"/>
              </w:rPr>
              <w:t>Headquarters, other and eliminations</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7"/>
              <w:spacing w:after="0"/>
              <w:rPr>
                <w:sz w:val="20"/>
                <w:szCs w:val="20"/>
                <w:color w:val="auto"/>
              </w:rPr>
            </w:pPr>
            <w:r>
              <w:rPr>
                <w:rFonts w:ascii="Arial" w:cs="Arial" w:eastAsia="Arial" w:hAnsi="Arial"/>
                <w:sz w:val="18"/>
                <w:szCs w:val="18"/>
                <w:color w:val="auto"/>
              </w:rPr>
              <w:t>(615)</w:t>
            </w:r>
          </w:p>
        </w:tc>
        <w:tc>
          <w:tcPr>
            <w:tcW w:w="20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75"/>
              <w:spacing w:after="0"/>
              <w:rPr>
                <w:sz w:val="20"/>
                <w:szCs w:val="20"/>
                <w:color w:val="auto"/>
              </w:rPr>
            </w:pPr>
            <w:r>
              <w:rPr>
                <w:rFonts w:ascii="Arial" w:cs="Arial" w:eastAsia="Arial" w:hAnsi="Arial"/>
                <w:sz w:val="18"/>
                <w:szCs w:val="18"/>
                <w:color w:val="auto"/>
              </w:rPr>
              <w:t>136</w:t>
            </w:r>
          </w:p>
        </w:tc>
        <w:tc>
          <w:tcPr>
            <w:tcW w:w="18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(479)</w:t>
            </w:r>
          </w:p>
        </w:tc>
        <w:tc>
          <w:tcPr>
            <w:tcW w:w="200" w:type="dxa"/>
            <w:vAlign w:val="bottom"/>
            <w:tcBorders>
              <w:bottom w:val="single" w:sz="8" w:color="E5E5E5"/>
            </w:tcBorders>
            <w:shd w:val="clear" w:color="auto" w:fill="E5E5E5"/>
          </w:tcPr>
          <w:p>
            <w:pPr>
              <w:spacing w:after="0"/>
              <w:rPr>
                <w:sz w:val="18"/>
                <w:szCs w:val="18"/>
                <w:color w:val="auto"/>
              </w:rPr>
            </w:pPr>
          </w:p>
        </w:tc>
        <w:tc>
          <w:tcPr>
            <w:tcW w:w="2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35"/>
              <w:spacing w:after="0"/>
              <w:rPr>
                <w:sz w:val="20"/>
                <w:szCs w:val="20"/>
                <w:color w:val="auto"/>
              </w:rPr>
            </w:pPr>
            <w:r>
              <w:rPr>
                <w:rFonts w:ascii="Arial" w:cs="Arial" w:eastAsia="Arial" w:hAnsi="Arial"/>
                <w:sz w:val="18"/>
                <w:szCs w:val="18"/>
                <w:color w:val="auto"/>
              </w:rPr>
              <w:t>(331)</w:t>
            </w:r>
          </w:p>
        </w:tc>
        <w:tc>
          <w:tcPr>
            <w:tcW w:w="2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(331)</w:t>
            </w:r>
          </w:p>
        </w:tc>
        <w:tc>
          <w:tcPr>
            <w:tcW w:w="220" w:type="dxa"/>
            <w:vAlign w:val="bottom"/>
            <w:tcBorders>
              <w:bottom w:val="single" w:sz="8" w:color="E5E5E5"/>
            </w:tcBorders>
            <w:shd w:val="clear" w:color="auto" w:fill="E5E5E5"/>
          </w:tcPr>
          <w:p>
            <w:pPr>
              <w:spacing w:after="0"/>
              <w:rPr>
                <w:sz w:val="18"/>
                <w:szCs w:val="18"/>
                <w:color w:val="auto"/>
              </w:rPr>
            </w:pPr>
          </w:p>
        </w:tc>
        <w:tc>
          <w:tcPr>
            <w:tcW w:w="26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5"/>
              <w:spacing w:after="0"/>
              <w:rPr>
                <w:sz w:val="20"/>
                <w:szCs w:val="20"/>
                <w:color w:val="auto"/>
              </w:rPr>
            </w:pPr>
            <w:r>
              <w:rPr>
                <w:rFonts w:ascii="Arial" w:cs="Arial" w:eastAsia="Arial" w:hAnsi="Arial"/>
                <w:sz w:val="18"/>
                <w:szCs w:val="18"/>
                <w:color w:val="auto"/>
                <w:w w:val="90"/>
              </w:rPr>
              <w:t>(148)</w:t>
            </w:r>
          </w:p>
        </w:tc>
        <w:tc>
          <w:tcPr>
            <w:tcW w:w="86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195"/>
        </w:trPr>
        <w:tc>
          <w:tcPr>
            <w:tcW w:w="3200" w:type="dxa"/>
            <w:vAlign w:val="bottom"/>
          </w:tcPr>
          <w:p>
            <w:pPr>
              <w:spacing w:after="0" w:line="195" w:lineRule="exact"/>
              <w:rPr>
                <w:sz w:val="20"/>
                <w:szCs w:val="20"/>
                <w:color w:val="auto"/>
              </w:rPr>
            </w:pPr>
            <w:r>
              <w:rPr>
                <w:rFonts w:ascii="Arial" w:cs="Arial" w:eastAsia="Arial" w:hAnsi="Arial"/>
                <w:sz w:val="18"/>
                <w:szCs w:val="18"/>
                <w:b w:val="1"/>
                <w:bCs w:val="1"/>
                <w:color w:val="auto"/>
              </w:rPr>
              <w:t>Total operating income before</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depreciation and amortization</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b w:val="1"/>
                <w:bCs w:val="1"/>
                <w:color w:val="auto"/>
              </w:rPr>
              <w:t>2,410</w:t>
            </w:r>
          </w:p>
        </w:tc>
        <w:tc>
          <w:tcPr>
            <w:tcW w:w="20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307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b w:val="1"/>
                <w:bCs w:val="1"/>
                <w:color w:val="auto"/>
              </w:rPr>
              <w:t>2,717</w:t>
            </w:r>
          </w:p>
        </w:tc>
        <w:tc>
          <w:tcPr>
            <w:tcW w:w="200" w:type="dxa"/>
            <w:vAlign w:val="bottom"/>
          </w:tcPr>
          <w:p>
            <w:pPr>
              <w:spacing w:after="0"/>
              <w:rPr>
                <w:sz w:val="20"/>
                <w:szCs w:val="20"/>
                <w:color w:val="auto"/>
              </w:rPr>
            </w:pP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613</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b w:val="1"/>
                <w:bCs w:val="1"/>
                <w:color w:val="auto"/>
              </w:rPr>
              <w:t>1,942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b w:val="1"/>
                <w:bCs w:val="1"/>
                <w:color w:val="auto"/>
              </w:rPr>
              <w:t>2,555</w:t>
            </w:r>
          </w:p>
        </w:tc>
        <w:tc>
          <w:tcPr>
            <w:tcW w:w="220" w:type="dxa"/>
            <w:vAlign w:val="bottom"/>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162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w:t>
            </w:r>
          </w:p>
        </w:tc>
        <w:tc>
          <w:tcPr>
            <w:tcW w:w="0" w:type="dxa"/>
            <w:vAlign w:val="bottom"/>
          </w:tcPr>
          <w:p>
            <w:pPr>
              <w:spacing w:after="0"/>
              <w:rPr>
                <w:sz w:val="1"/>
                <w:szCs w:val="1"/>
                <w:color w:val="auto"/>
              </w:rPr>
            </w:pPr>
          </w:p>
        </w:tc>
      </w:tr>
    </w:tbl>
    <w:p>
      <w:pPr>
        <w:spacing w:after="0" w:line="57" w:lineRule="exact"/>
        <w:rPr>
          <w:sz w:val="20"/>
          <w:szCs w:val="20"/>
          <w:color w:val="auto"/>
        </w:rPr>
      </w:pPr>
    </w:p>
    <w:p>
      <w:pPr>
        <w:jc w:val="both"/>
        <w:ind w:left="340" w:hanging="332"/>
        <w:spacing w:after="0" w:line="230"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Actual amounts for our reportable segments include the results of operations for the Comcast Content Business for the three and nine months ended September 30, 2011 and 2010, and the results of operations for the NBCUniversal acquired businesses and UCDP for the three months ended September 30, 2011 and for the period January 29, 2011 through September 30, 2011. Headquarters, other and eliminations includes the elimination of the results of operations for UCDP for the period January 29, 2011 through June 30, 2011 in order to reconcile to our condensed consolidated financial statements because UCDP was recorded as an equity method investment during that period.</w:t>
      </w:r>
    </w:p>
    <w:p>
      <w:pPr>
        <w:spacing w:after="0" w:line="44" w:lineRule="exact"/>
        <w:rPr>
          <w:rFonts w:ascii="Arial" w:cs="Arial" w:eastAsia="Arial" w:hAnsi="Arial"/>
          <w:sz w:val="14"/>
          <w:szCs w:val="14"/>
          <w:color w:val="auto"/>
        </w:rPr>
      </w:pPr>
    </w:p>
    <w:p>
      <w:pPr>
        <w:jc w:val="both"/>
        <w:ind w:left="340" w:hanging="332"/>
        <w:spacing w:after="0" w:line="270" w:lineRule="auto"/>
        <w:tabs>
          <w:tab w:leader="none" w:pos="3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Pro forma amounts include the results of operations for the NBCUniversal acquired businesses and UCDP for the period January 1, 2011 through January 28, 2011 and for the three and nine months ended September 30, 2010. These amounts also include pro forma adjustments as if the NBCUniversal and UCDP transactions had occurred on January 1, 2010, including the effects of acquisition accounting and the elimination of operating costs and expenses directly related to the transactions, but do not include adjustments for costs related to integration activities, cost savings or synergies that have been or may be achieved by the combined businesses. Pro forma amounts are not necessarily indicative of what the results would have been had we operated the businesses since January 1, 2010. Total pro forma adjustments increased operating income before depreciation and amortization by $7 million and $48 million for the nine months ended September 30, 2011 and 2010, respectively. Total pro forma adjustments increased operating income before depreciation and amortization by $12 million for the three months ended September 30, 2010.</w:t>
      </w:r>
    </w:p>
    <w:p>
      <w:pPr>
        <w:spacing w:after="0" w:line="27" w:lineRule="exact"/>
        <w:rPr>
          <w:rFonts w:ascii="Arial" w:cs="Arial" w:eastAsia="Arial" w:hAnsi="Arial"/>
          <w:sz w:val="12"/>
          <w:szCs w:val="12"/>
          <w:color w:val="auto"/>
        </w:rPr>
      </w:pPr>
    </w:p>
    <w:p>
      <w:pPr>
        <w:ind w:left="340" w:hanging="332"/>
        <w:spacing w:after="0" w:line="239"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Pro forma combined amounts represent our pro forma results of operations as if the NBCUniversal and UCDP transactions had occurred on January 1, 2010 but are not necessarily indicative of what the results would have been had we operated the businesses since January 1, 2010.</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Segment—Actual and Pro Forma Results of Operations</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Cable Networks segment consists primarily of our national cable entertainment networks (USA Network, Syfy, E!, Bravo, Oxygen, Style, G4, Chiller, Cloo (formerly Sleuth) and Universal HD); our national cable news and information networks (CNBC, MSNBC and CNBC World); our national cable sports networks (Golf Channel and VERSUS); our regional sports and news networks; our international cable networks (including CNBC Europe, CNBC Asia and our Universal Networks International portfolio of networks); our cable television production studio; and certain digital media properties consisting primarily of brand-aligned websites and other websites, such as DailyCandy, Fandango and iVillage.</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700" w:type="dxa"/>
            <w:vAlign w:val="bottom"/>
            <w:gridSpan w:val="4"/>
          </w:tcPr>
          <w:p>
            <w:pPr>
              <w:ind w:left="660"/>
              <w:spacing w:after="0"/>
              <w:rPr>
                <w:sz w:val="20"/>
                <w:szCs w:val="20"/>
                <w:color w:val="auto"/>
              </w:rPr>
            </w:pPr>
            <w:r>
              <w:rPr>
                <w:rFonts w:ascii="Arial" w:cs="Arial" w:eastAsia="Arial" w:hAnsi="Arial"/>
                <w:sz w:val="14"/>
                <w:szCs w:val="14"/>
                <w:color w:val="auto"/>
              </w:rPr>
              <w:t>Three Months Ended September 30, 2010</w:t>
            </w:r>
          </w:p>
        </w:tc>
        <w:tc>
          <w:tcPr>
            <w:tcW w:w="2120" w:type="dxa"/>
            <w:vAlign w:val="bottom"/>
            <w:gridSpan w:val="2"/>
            <w:vMerge w:val="restart"/>
          </w:tcPr>
          <w:p>
            <w:pPr>
              <w:ind w:left="500"/>
              <w:spacing w:after="0"/>
              <w:rPr>
                <w:sz w:val="20"/>
                <w:szCs w:val="20"/>
                <w:color w:val="auto"/>
              </w:rPr>
            </w:pPr>
            <w:r>
              <w:rPr>
                <w:rFonts w:ascii="Arial" w:cs="Arial" w:eastAsia="Arial" w:hAnsi="Arial"/>
                <w:sz w:val="14"/>
                <w:szCs w:val="14"/>
                <w:color w:val="auto"/>
              </w:rPr>
              <w:t>Pro Forma Combined</w:t>
            </w:r>
          </w:p>
        </w:tc>
        <w:tc>
          <w:tcPr>
            <w:tcW w:w="0" w:type="dxa"/>
            <w:vAlign w:val="bottom"/>
          </w:tcPr>
          <w:p>
            <w:pPr>
              <w:spacing w:after="0"/>
              <w:rPr>
                <w:sz w:val="1"/>
                <w:szCs w:val="1"/>
                <w:color w:val="auto"/>
              </w:rPr>
            </w:pPr>
          </w:p>
        </w:tc>
      </w:tr>
      <w:tr>
        <w:trPr>
          <w:trHeight w:val="115"/>
        </w:trPr>
        <w:tc>
          <w:tcPr>
            <w:tcW w:w="4000" w:type="dxa"/>
            <w:vAlign w:val="bottom"/>
          </w:tcPr>
          <w:p>
            <w:pPr>
              <w:spacing w:after="0"/>
              <w:rPr>
                <w:sz w:val="10"/>
                <w:szCs w:val="10"/>
                <w:color w:val="auto"/>
              </w:rPr>
            </w:pP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84"/>
              </w:rPr>
              <w:t>Actual</w:t>
            </w:r>
            <w:r>
              <w:rPr>
                <w:rFonts w:ascii="Arial" w:cs="Arial" w:eastAsia="Arial" w:hAnsi="Arial"/>
                <w:sz w:val="22"/>
                <w:szCs w:val="22"/>
                <w:color w:val="auto"/>
                <w:w w:val="84"/>
                <w:vertAlign w:val="superscript"/>
              </w:rPr>
              <w:t>(a)</w:t>
            </w:r>
          </w:p>
        </w:tc>
        <w:tc>
          <w:tcPr>
            <w:tcW w:w="1060" w:type="dxa"/>
            <w:vAlign w:val="bottom"/>
            <w:tcBorders>
              <w:top w:val="single" w:sz="8" w:color="auto"/>
            </w:tcBorders>
            <w:vMerge w:val="restart"/>
          </w:tcPr>
          <w:p>
            <w:pPr>
              <w:jc w:val="center"/>
              <w:ind w:left="72"/>
              <w:spacing w:after="0"/>
              <w:rPr>
                <w:sz w:val="20"/>
                <w:szCs w:val="20"/>
                <w:color w:val="auto"/>
              </w:rPr>
            </w:pPr>
            <w:r>
              <w:rPr>
                <w:rFonts w:ascii="Arial" w:cs="Arial" w:eastAsia="Arial" w:hAnsi="Arial"/>
                <w:sz w:val="14"/>
                <w:szCs w:val="14"/>
                <w:color w:val="auto"/>
                <w:w w:val="84"/>
              </w:rPr>
              <w:t>Actual</w:t>
            </w:r>
            <w:r>
              <w:rPr>
                <w:rFonts w:ascii="Arial" w:cs="Arial" w:eastAsia="Arial" w:hAnsi="Arial"/>
                <w:sz w:val="22"/>
                <w:szCs w:val="22"/>
                <w:color w:val="auto"/>
                <w:w w:val="84"/>
                <w:vertAlign w:val="superscript"/>
              </w:rPr>
              <w:t>(a)</w:t>
            </w:r>
          </w:p>
        </w:tc>
        <w:tc>
          <w:tcPr>
            <w:tcW w:w="12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color w:val="auto"/>
                <w:w w:val="83"/>
              </w:rPr>
              <w:t>Pro Forma</w:t>
            </w:r>
            <w:r>
              <w:rPr>
                <w:rFonts w:ascii="Arial" w:cs="Arial" w:eastAsia="Arial" w:hAnsi="Arial"/>
                <w:sz w:val="22"/>
                <w:szCs w:val="22"/>
                <w:color w:val="auto"/>
                <w:w w:val="83"/>
                <w:vertAlign w:val="superscript"/>
              </w:rPr>
              <w:t>(b)</w:t>
            </w:r>
          </w:p>
        </w:tc>
        <w:tc>
          <w:tcPr>
            <w:tcW w:w="1000" w:type="dxa"/>
            <w:vAlign w:val="bottom"/>
            <w:tcBorders>
              <w:top w:val="single" w:sz="8" w:color="auto"/>
            </w:tcBorders>
          </w:tcPr>
          <w:p>
            <w:pPr>
              <w:jc w:val="center"/>
              <w:ind w:left="56"/>
              <w:spacing w:after="0" w:line="115" w:lineRule="exact"/>
              <w:rPr>
                <w:sz w:val="20"/>
                <w:szCs w:val="20"/>
                <w:color w:val="auto"/>
              </w:rPr>
            </w:pPr>
            <w:r>
              <w:rPr>
                <w:rFonts w:ascii="Arial" w:cs="Arial" w:eastAsia="Arial" w:hAnsi="Arial"/>
                <w:sz w:val="12"/>
                <w:szCs w:val="12"/>
                <w:color w:val="auto"/>
                <w:w w:val="98"/>
              </w:rPr>
              <w:t>Pro Forma</w:t>
            </w:r>
          </w:p>
        </w:tc>
        <w:tc>
          <w:tcPr>
            <w:tcW w:w="380" w:type="dxa"/>
            <w:vAlign w:val="bottom"/>
          </w:tcPr>
          <w:p>
            <w:pPr>
              <w:spacing w:after="0"/>
              <w:rPr>
                <w:sz w:val="10"/>
                <w:szCs w:val="10"/>
                <w:color w:val="auto"/>
              </w:rPr>
            </w:pPr>
          </w:p>
        </w:tc>
        <w:tc>
          <w:tcPr>
            <w:tcW w:w="2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1380" w:type="dxa"/>
            <w:vAlign w:val="bottom"/>
            <w:gridSpan w:val="2"/>
          </w:tcPr>
          <w:p>
            <w:pPr>
              <w:jc w:val="center"/>
              <w:ind w:right="260"/>
              <w:spacing w:after="0" w:line="176" w:lineRule="exact"/>
              <w:rPr>
                <w:sz w:val="20"/>
                <w:szCs w:val="20"/>
                <w:color w:val="auto"/>
              </w:rPr>
            </w:pPr>
            <w:r>
              <w:rPr>
                <w:rFonts w:ascii="Arial" w:cs="Arial" w:eastAsia="Arial" w:hAnsi="Arial"/>
                <w:sz w:val="13"/>
                <w:szCs w:val="13"/>
                <w:color w:val="auto"/>
                <w:w w:val="90"/>
              </w:rPr>
              <w:t>Combined</w:t>
            </w:r>
            <w:r>
              <w:rPr>
                <w:rFonts w:ascii="Arial" w:cs="Arial" w:eastAsia="Arial" w:hAnsi="Arial"/>
                <w:sz w:val="20"/>
                <w:szCs w:val="20"/>
                <w:color w:val="auto"/>
                <w:w w:val="90"/>
                <w:vertAlign w:val="superscript"/>
              </w:rPr>
              <w:t>(c)</w:t>
            </w:r>
          </w:p>
        </w:tc>
        <w:tc>
          <w:tcPr>
            <w:tcW w:w="2120" w:type="dxa"/>
            <w:vAlign w:val="bottom"/>
            <w:gridSpan w:val="2"/>
          </w:tcPr>
          <w:p>
            <w:pPr>
              <w:ind w:left="560"/>
              <w:spacing w:after="0"/>
              <w:rPr>
                <w:sz w:val="20"/>
                <w:szCs w:val="20"/>
                <w:color w:val="auto"/>
              </w:rPr>
            </w:pPr>
            <w:r>
              <w:rPr>
                <w:rFonts w:ascii="Arial" w:cs="Arial" w:eastAsia="Arial" w:hAnsi="Arial"/>
                <w:sz w:val="14"/>
                <w:szCs w:val="14"/>
                <w:color w:val="auto"/>
              </w:rPr>
              <w:t>Increase/(Decrease)</w:t>
            </w:r>
          </w:p>
        </w:tc>
        <w:tc>
          <w:tcPr>
            <w:tcW w:w="0" w:type="dxa"/>
            <w:vAlign w:val="bottom"/>
          </w:tcPr>
          <w:p>
            <w:pPr>
              <w:spacing w:after="0"/>
              <w:rPr>
                <w:sz w:val="1"/>
                <w:szCs w:val="1"/>
                <w:color w:val="auto"/>
              </w:rPr>
            </w:pPr>
          </w:p>
        </w:tc>
      </w:tr>
      <w:tr>
        <w:trPr>
          <w:trHeight w:val="131"/>
        </w:trPr>
        <w:tc>
          <w:tcPr>
            <w:tcW w:w="4000" w:type="dxa"/>
            <w:vAlign w:val="bottom"/>
          </w:tcPr>
          <w:p>
            <w:pPr>
              <w:spacing w:after="0"/>
              <w:rPr>
                <w:sz w:val="11"/>
                <w:szCs w:val="11"/>
                <w:color w:val="auto"/>
              </w:rPr>
            </w:pPr>
          </w:p>
        </w:tc>
        <w:tc>
          <w:tcPr>
            <w:tcW w:w="1220" w:type="dxa"/>
            <w:vAlign w:val="bottom"/>
            <w:tcBorders>
              <w:top w:val="single" w:sz="8" w:color="auto"/>
            </w:tcBorders>
          </w:tcPr>
          <w:p>
            <w:pPr>
              <w:jc w:val="center"/>
              <w:ind w:left="192"/>
              <w:spacing w:after="0" w:line="131" w:lineRule="exact"/>
              <w:rPr>
                <w:sz w:val="20"/>
                <w:szCs w:val="20"/>
                <w:color w:val="auto"/>
              </w:rPr>
            </w:pPr>
            <w:r>
              <w:rPr>
                <w:rFonts w:ascii="Arial" w:cs="Arial" w:eastAsia="Arial" w:hAnsi="Arial"/>
                <w:sz w:val="14"/>
                <w:szCs w:val="14"/>
                <w:color w:val="auto"/>
                <w:w w:val="87"/>
              </w:rPr>
              <w:t>Three Months</w:t>
            </w:r>
          </w:p>
        </w:tc>
        <w:tc>
          <w:tcPr>
            <w:tcW w:w="38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60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3"/>
              </w:rPr>
              <w:t>Ended</w:t>
            </w:r>
          </w:p>
        </w:tc>
        <w:tc>
          <w:tcPr>
            <w:tcW w:w="1060" w:type="dxa"/>
            <w:vAlign w:val="bottom"/>
          </w:tcPr>
          <w:p>
            <w:pPr>
              <w:jc w:val="center"/>
              <w:ind w:left="52"/>
              <w:spacing w:after="0" w:line="149" w:lineRule="exact"/>
              <w:rPr>
                <w:sz w:val="20"/>
                <w:szCs w:val="20"/>
                <w:color w:val="auto"/>
              </w:rPr>
            </w:pPr>
            <w:r>
              <w:rPr>
                <w:rFonts w:ascii="Arial" w:cs="Arial" w:eastAsia="Arial" w:hAnsi="Arial"/>
                <w:sz w:val="14"/>
                <w:szCs w:val="14"/>
                <w:color w:val="auto"/>
                <w:w w:val="83"/>
              </w:rPr>
              <w:t>Comcast</w:t>
            </w: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60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4"/>
              </w:rPr>
              <w:t>September 30,</w:t>
            </w:r>
          </w:p>
        </w:tc>
        <w:tc>
          <w:tcPr>
            <w:tcW w:w="1060" w:type="dxa"/>
            <w:vAlign w:val="bottom"/>
          </w:tcPr>
          <w:p>
            <w:pPr>
              <w:jc w:val="center"/>
              <w:ind w:left="52"/>
              <w:spacing w:after="0" w:line="149" w:lineRule="exact"/>
              <w:rPr>
                <w:sz w:val="20"/>
                <w:szCs w:val="20"/>
                <w:color w:val="auto"/>
              </w:rPr>
            </w:pPr>
            <w:r>
              <w:rPr>
                <w:rFonts w:ascii="Arial" w:cs="Arial" w:eastAsia="Arial" w:hAnsi="Arial"/>
                <w:sz w:val="14"/>
                <w:szCs w:val="14"/>
                <w:color w:val="auto"/>
                <w:w w:val="85"/>
              </w:rPr>
              <w:t>Content</w:t>
            </w: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90"/>
              </w:rPr>
              <w:t>NBCUniversal</w:t>
            </w: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00" w:type="dxa"/>
            <w:vAlign w:val="bottom"/>
          </w:tcPr>
          <w:p>
            <w:pPr>
              <w:spacing w:after="0"/>
              <w:rPr>
                <w:sz w:val="20"/>
                <w:szCs w:val="20"/>
                <w:color w:val="auto"/>
              </w:rPr>
            </w:pPr>
            <w:r>
              <w:rPr>
                <w:rFonts w:ascii="Arial" w:cs="Arial" w:eastAsia="Arial" w:hAnsi="Arial"/>
                <w:sz w:val="14"/>
                <w:szCs w:val="14"/>
                <w:color w:val="auto"/>
              </w:rPr>
              <w:t>(in millions)</w:t>
            </w:r>
          </w:p>
        </w:tc>
        <w:tc>
          <w:tcPr>
            <w:tcW w:w="1220" w:type="dxa"/>
            <w:vAlign w:val="bottom"/>
          </w:tcPr>
          <w:p>
            <w:pPr>
              <w:jc w:val="center"/>
              <w:ind w:left="172"/>
              <w:spacing w:after="0"/>
              <w:rPr>
                <w:sz w:val="20"/>
                <w:szCs w:val="20"/>
                <w:color w:val="auto"/>
              </w:rPr>
            </w:pPr>
            <w:r>
              <w:rPr>
                <w:rFonts w:ascii="Arial" w:cs="Arial" w:eastAsia="Arial" w:hAnsi="Arial"/>
                <w:sz w:val="14"/>
                <w:szCs w:val="14"/>
                <w:color w:val="auto"/>
                <w:w w:val="83"/>
              </w:rPr>
              <w:t>2011</w:t>
            </w:r>
          </w:p>
        </w:tc>
        <w:tc>
          <w:tcPr>
            <w:tcW w:w="380" w:type="dxa"/>
            <w:vAlign w:val="bottom"/>
          </w:tcPr>
          <w:p>
            <w:pPr>
              <w:spacing w:after="0"/>
              <w:rPr>
                <w:sz w:val="15"/>
                <w:szCs w:val="15"/>
                <w:color w:val="auto"/>
              </w:rPr>
            </w:pPr>
          </w:p>
        </w:tc>
        <w:tc>
          <w:tcPr>
            <w:tcW w:w="1060" w:type="dxa"/>
            <w:vAlign w:val="bottom"/>
          </w:tcPr>
          <w:p>
            <w:pPr>
              <w:jc w:val="center"/>
              <w:ind w:left="72"/>
              <w:spacing w:after="0"/>
              <w:rPr>
                <w:sz w:val="20"/>
                <w:szCs w:val="20"/>
                <w:color w:val="auto"/>
              </w:rPr>
            </w:pPr>
            <w:r>
              <w:rPr>
                <w:rFonts w:ascii="Arial" w:cs="Arial" w:eastAsia="Arial" w:hAnsi="Arial"/>
                <w:sz w:val="14"/>
                <w:szCs w:val="14"/>
                <w:color w:val="auto"/>
                <w:w w:val="84"/>
              </w:rPr>
              <w:t>Business</w:t>
            </w:r>
          </w:p>
        </w:tc>
        <w:tc>
          <w:tcPr>
            <w:tcW w:w="1260" w:type="dxa"/>
            <w:vAlign w:val="bottom"/>
          </w:tcPr>
          <w:p>
            <w:pPr>
              <w:jc w:val="center"/>
              <w:spacing w:after="0"/>
              <w:rPr>
                <w:sz w:val="20"/>
                <w:szCs w:val="20"/>
                <w:color w:val="auto"/>
              </w:rPr>
            </w:pPr>
            <w:r>
              <w:rPr>
                <w:rFonts w:ascii="Arial" w:cs="Arial" w:eastAsia="Arial" w:hAnsi="Arial"/>
                <w:sz w:val="14"/>
                <w:szCs w:val="14"/>
                <w:color w:val="auto"/>
                <w:w w:val="80"/>
              </w:rPr>
              <w:t>Businesses</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color w:val="auto"/>
                <w:w w:val="89"/>
              </w:rPr>
              <w:t>Total</w:t>
            </w:r>
          </w:p>
        </w:tc>
        <w:tc>
          <w:tcPr>
            <w:tcW w:w="1060" w:type="dxa"/>
            <w:vAlign w:val="bottom"/>
          </w:tcPr>
          <w:p>
            <w:pPr>
              <w:ind w:left="56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201"/>
        </w:trPr>
        <w:tc>
          <w:tcPr>
            <w:tcW w:w="376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b w:val="1"/>
                <w:bCs w:val="1"/>
                <w:color w:val="auto"/>
              </w:rPr>
              <w:t>Revenue</w:t>
            </w:r>
          </w:p>
        </w:tc>
        <w:tc>
          <w:tcPr>
            <w:tcW w:w="8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420"/>
              <w:spacing w:after="0"/>
              <w:rPr>
                <w:sz w:val="20"/>
                <w:szCs w:val="20"/>
                <w:color w:val="auto"/>
              </w:rPr>
            </w:pPr>
            <w:r>
              <w:rPr>
                <w:rFonts w:ascii="Arial" w:cs="Arial" w:eastAsia="Arial" w:hAnsi="Arial"/>
                <w:sz w:val="18"/>
                <w:szCs w:val="18"/>
                <w:color w:val="auto"/>
              </w:rPr>
              <w:t>Distribution</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1,095</w:t>
            </w:r>
          </w:p>
        </w:tc>
      </w:tr>
      <w:tr>
        <w:trPr>
          <w:trHeight w:val="216"/>
        </w:trPr>
        <w:tc>
          <w:tcPr>
            <w:tcW w:w="20" w:type="dxa"/>
            <w:vAlign w:val="bottom"/>
          </w:tcPr>
          <w:p>
            <w:pPr>
              <w:spacing w:after="0"/>
              <w:rPr>
                <w:sz w:val="18"/>
                <w:szCs w:val="18"/>
                <w:color w:val="auto"/>
              </w:rPr>
            </w:pPr>
          </w:p>
        </w:tc>
        <w:tc>
          <w:tcPr>
            <w:tcW w:w="3740" w:type="dxa"/>
            <w:vAlign w:val="bottom"/>
          </w:tcPr>
          <w:p>
            <w:pPr>
              <w:ind w:left="420"/>
              <w:spacing w:after="0"/>
              <w:rPr>
                <w:sz w:val="20"/>
                <w:szCs w:val="20"/>
                <w:color w:val="auto"/>
              </w:rPr>
            </w:pPr>
            <w:r>
              <w:rPr>
                <w:rFonts w:ascii="Arial" w:cs="Arial" w:eastAsia="Arial" w:hAnsi="Arial"/>
                <w:sz w:val="18"/>
                <w:szCs w:val="18"/>
                <w:color w:val="auto"/>
              </w:rPr>
              <w:t>Advertising</w:t>
            </w:r>
          </w:p>
        </w:tc>
        <w:tc>
          <w:tcPr>
            <w:tcW w:w="82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803</w:t>
            </w:r>
          </w:p>
        </w:tc>
      </w:tr>
      <w:tr>
        <w:trPr>
          <w:trHeight w:val="222"/>
        </w:trPr>
        <w:tc>
          <w:tcPr>
            <w:tcW w:w="20" w:type="dxa"/>
            <w:vAlign w:val="bottom"/>
          </w:tcPr>
          <w:p>
            <w:pPr>
              <w:spacing w:after="0"/>
              <w:rPr>
                <w:sz w:val="19"/>
                <w:szCs w:val="19"/>
                <w:color w:val="auto"/>
              </w:rPr>
            </w:pPr>
          </w:p>
        </w:tc>
        <w:tc>
          <w:tcPr>
            <w:tcW w:w="37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199</w:t>
            </w:r>
          </w:p>
        </w:tc>
      </w:tr>
      <w:tr>
        <w:trPr>
          <w:trHeight w:val="203"/>
        </w:trPr>
        <w:tc>
          <w:tcPr>
            <w:tcW w:w="20" w:type="dxa"/>
            <w:vAlign w:val="bottom"/>
          </w:tcPr>
          <w:p>
            <w:pPr>
              <w:spacing w:after="0"/>
              <w:rPr>
                <w:sz w:val="17"/>
                <w:szCs w:val="17"/>
                <w:color w:val="auto"/>
              </w:rPr>
            </w:pPr>
          </w:p>
        </w:tc>
        <w:tc>
          <w:tcPr>
            <w:tcW w:w="3740" w:type="dxa"/>
            <w:vAlign w:val="bottom"/>
          </w:tcPr>
          <w:p>
            <w:pPr>
              <w:spacing w:after="0" w:line="203" w:lineRule="exact"/>
              <w:rPr>
                <w:sz w:val="20"/>
                <w:szCs w:val="20"/>
                <w:color w:val="auto"/>
              </w:rPr>
            </w:pPr>
            <w:r>
              <w:rPr>
                <w:rFonts w:ascii="Arial" w:cs="Arial" w:eastAsia="Arial" w:hAnsi="Arial"/>
                <w:sz w:val="18"/>
                <w:szCs w:val="18"/>
                <w:b w:val="1"/>
                <w:bCs w:val="1"/>
                <w:color w:val="auto"/>
              </w:rPr>
              <w:t>Total revenue</w:t>
            </w:r>
          </w:p>
        </w:tc>
        <w:tc>
          <w:tcPr>
            <w:tcW w:w="82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Arial" w:cs="Arial" w:eastAsia="Arial" w:hAnsi="Arial"/>
                <w:sz w:val="18"/>
                <w:szCs w:val="18"/>
                <w:color w:val="auto"/>
              </w:rPr>
              <w:t>2,097</w:t>
            </w:r>
          </w:p>
        </w:tc>
      </w:tr>
      <w:tr>
        <w:trPr>
          <w:trHeight w:val="223"/>
        </w:trPr>
        <w:tc>
          <w:tcPr>
            <w:tcW w:w="3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Operating costs and expenses</w:t>
            </w:r>
          </w:p>
        </w:tc>
        <w:tc>
          <w:tcPr>
            <w:tcW w:w="8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1,346</w:t>
            </w:r>
          </w:p>
        </w:tc>
      </w:tr>
      <w:tr>
        <w:trPr>
          <w:trHeight w:val="196"/>
        </w:trPr>
        <w:tc>
          <w:tcPr>
            <w:tcW w:w="37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Operating income before depreciation and</w:t>
            </w: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7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amortization</w:t>
            </w: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751</w:t>
            </w:r>
          </w:p>
        </w:tc>
      </w:tr>
    </w:tbl>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403</w:t>
            </w:r>
          </w:p>
        </w:tc>
        <w:tc>
          <w:tcPr>
            <w:tcW w:w="4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591</w:t>
            </w: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994</w:t>
            </w:r>
          </w:p>
        </w:tc>
      </w:tr>
      <w:tr>
        <w:trPr>
          <w:trHeight w:val="216"/>
        </w:trPr>
        <w:tc>
          <w:tcPr>
            <w:tcW w:w="500" w:type="dxa"/>
            <w:vAlign w:val="bottom"/>
          </w:tcPr>
          <w:p>
            <w:pPr>
              <w:spacing w:after="0"/>
              <w:rPr>
                <w:sz w:val="18"/>
                <w:szCs w:val="18"/>
                <w:color w:val="auto"/>
              </w:rPr>
            </w:pP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220</w:t>
            </w:r>
          </w:p>
        </w:tc>
        <w:tc>
          <w:tcPr>
            <w:tcW w:w="480" w:type="dxa"/>
            <w:vAlign w:val="bottom"/>
          </w:tcPr>
          <w:p>
            <w:pPr>
              <w:spacing w:after="0"/>
              <w:rPr>
                <w:sz w:val="18"/>
                <w:szCs w:val="18"/>
                <w:color w:val="auto"/>
              </w:rPr>
            </w:pP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513</w:t>
            </w:r>
          </w:p>
        </w:tc>
        <w:tc>
          <w:tcPr>
            <w:tcW w:w="4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733</w:t>
            </w:r>
          </w:p>
        </w:tc>
      </w:tr>
      <w:tr>
        <w:trPr>
          <w:trHeight w:val="223"/>
        </w:trPr>
        <w:tc>
          <w:tcPr>
            <w:tcW w:w="5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47</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98</w:t>
            </w:r>
          </w:p>
        </w:tc>
        <w:tc>
          <w:tcPr>
            <w:tcW w:w="4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145</w:t>
            </w:r>
          </w:p>
        </w:tc>
      </w:tr>
      <w:tr>
        <w:trPr>
          <w:trHeight w:val="202"/>
        </w:trPr>
        <w:tc>
          <w:tcPr>
            <w:tcW w:w="500" w:type="dxa"/>
            <w:vAlign w:val="bottom"/>
          </w:tcPr>
          <w:p>
            <w:pPr>
              <w:spacing w:after="0"/>
              <w:rPr>
                <w:sz w:val="17"/>
                <w:szCs w:val="17"/>
                <w:color w:val="auto"/>
              </w:rPr>
            </w:pPr>
          </w:p>
        </w:tc>
        <w:tc>
          <w:tcPr>
            <w:tcW w:w="5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670</w:t>
            </w:r>
          </w:p>
        </w:tc>
        <w:tc>
          <w:tcPr>
            <w:tcW w:w="480" w:type="dxa"/>
            <w:vAlign w:val="bottom"/>
          </w:tcPr>
          <w:p>
            <w:pPr>
              <w:spacing w:after="0"/>
              <w:rPr>
                <w:sz w:val="17"/>
                <w:szCs w:val="17"/>
                <w:color w:val="auto"/>
              </w:rPr>
            </w:pPr>
          </w:p>
        </w:tc>
        <w:tc>
          <w:tcPr>
            <w:tcW w:w="7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1,202</w:t>
            </w:r>
          </w:p>
        </w:tc>
        <w:tc>
          <w:tcPr>
            <w:tcW w:w="400" w:type="dxa"/>
            <w:vAlign w:val="bottom"/>
          </w:tcPr>
          <w:p>
            <w:pPr>
              <w:spacing w:after="0"/>
              <w:rPr>
                <w:sz w:val="17"/>
                <w:szCs w:val="17"/>
                <w:color w:val="auto"/>
              </w:rPr>
            </w:pPr>
          </w:p>
        </w:tc>
        <w:tc>
          <w:tcPr>
            <w:tcW w:w="6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1,872</w:t>
            </w:r>
          </w:p>
        </w:tc>
      </w:tr>
      <w:tr>
        <w:trPr>
          <w:trHeight w:val="223"/>
        </w:trPr>
        <w:tc>
          <w:tcPr>
            <w:tcW w:w="5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455</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650</w:t>
            </w:r>
          </w:p>
        </w:tc>
        <w:tc>
          <w:tcPr>
            <w:tcW w:w="4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1,105</w:t>
            </w:r>
          </w:p>
        </w:tc>
      </w:tr>
      <w:tr>
        <w:trPr>
          <w:trHeight w:val="434"/>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215</w:t>
            </w:r>
          </w:p>
        </w:tc>
        <w:tc>
          <w:tcPr>
            <w:tcW w:w="4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552</w:t>
            </w: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767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-857250</wp:posOffset>
            </wp:positionV>
            <wp:extent cx="72466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-582295</wp:posOffset>
            </wp:positionV>
            <wp:extent cx="724662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-299720</wp:posOffset>
            </wp:positionV>
            <wp:extent cx="7246620" cy="291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92"/>
              <w:spacing w:after="0"/>
              <w:rPr>
                <w:sz w:val="20"/>
                <w:szCs w:val="20"/>
                <w:color w:val="auto"/>
              </w:rPr>
            </w:pPr>
            <w:r>
              <w:rPr>
                <w:rFonts w:ascii="Arial" w:cs="Arial" w:eastAsia="Arial" w:hAnsi="Arial"/>
                <w:sz w:val="18"/>
                <w:szCs w:val="18"/>
                <w:color w:val="auto"/>
                <w:w w:val="99"/>
              </w:rPr>
              <w:t>101</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10.2%</w:t>
            </w:r>
          </w:p>
        </w:tc>
      </w:tr>
      <w:tr>
        <w:trPr>
          <w:trHeight w:val="216"/>
        </w:trPr>
        <w:tc>
          <w:tcPr>
            <w:tcW w:w="500" w:type="dxa"/>
            <w:vAlign w:val="bottom"/>
          </w:tcPr>
          <w:p>
            <w:pPr>
              <w:spacing w:after="0"/>
              <w:rPr>
                <w:sz w:val="18"/>
                <w:szCs w:val="18"/>
                <w:color w:val="auto"/>
              </w:rPr>
            </w:pPr>
          </w:p>
        </w:tc>
        <w:tc>
          <w:tcPr>
            <w:tcW w:w="700" w:type="dxa"/>
            <w:vAlign w:val="bottom"/>
          </w:tcPr>
          <w:p>
            <w:pPr>
              <w:jc w:val="right"/>
              <w:ind w:right="292"/>
              <w:spacing w:after="0"/>
              <w:rPr>
                <w:sz w:val="20"/>
                <w:szCs w:val="20"/>
                <w:color w:val="auto"/>
              </w:rPr>
            </w:pPr>
            <w:r>
              <w:rPr>
                <w:rFonts w:ascii="Arial" w:cs="Arial" w:eastAsia="Arial" w:hAnsi="Arial"/>
                <w:sz w:val="18"/>
                <w:szCs w:val="18"/>
                <w:color w:val="auto"/>
              </w:rPr>
              <w:t>70</w:t>
            </w: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9.5</w:t>
            </w:r>
          </w:p>
        </w:tc>
      </w:tr>
      <w:tr>
        <w:trPr>
          <w:trHeight w:val="223"/>
        </w:trPr>
        <w:tc>
          <w:tcPr>
            <w:tcW w:w="5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54</w:t>
            </w: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37.2</w:t>
            </w:r>
          </w:p>
        </w:tc>
      </w:tr>
      <w:tr>
        <w:trPr>
          <w:trHeight w:val="202"/>
        </w:trPr>
        <w:tc>
          <w:tcPr>
            <w:tcW w:w="500" w:type="dxa"/>
            <w:vAlign w:val="bottom"/>
          </w:tcPr>
          <w:p>
            <w:pPr>
              <w:spacing w:after="0"/>
              <w:rPr>
                <w:sz w:val="17"/>
                <w:szCs w:val="17"/>
                <w:color w:val="auto"/>
              </w:rPr>
            </w:pPr>
          </w:p>
        </w:tc>
        <w:tc>
          <w:tcPr>
            <w:tcW w:w="700" w:type="dxa"/>
            <w:vAlign w:val="bottom"/>
          </w:tcPr>
          <w:p>
            <w:pPr>
              <w:jc w:val="right"/>
              <w:ind w:right="292"/>
              <w:spacing w:after="0" w:line="202" w:lineRule="exact"/>
              <w:rPr>
                <w:sz w:val="20"/>
                <w:szCs w:val="20"/>
                <w:color w:val="auto"/>
              </w:rPr>
            </w:pPr>
            <w:r>
              <w:rPr>
                <w:rFonts w:ascii="Arial" w:cs="Arial" w:eastAsia="Arial" w:hAnsi="Arial"/>
                <w:sz w:val="18"/>
                <w:szCs w:val="18"/>
                <w:color w:val="auto"/>
                <w:w w:val="99"/>
              </w:rPr>
              <w:t>225</w:t>
            </w:r>
          </w:p>
        </w:tc>
        <w:tc>
          <w:tcPr>
            <w:tcW w:w="92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12.0</w:t>
            </w:r>
          </w:p>
        </w:tc>
      </w:tr>
      <w:tr>
        <w:trPr>
          <w:trHeight w:val="223"/>
        </w:trPr>
        <w:tc>
          <w:tcPr>
            <w:tcW w:w="5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99"/>
              </w:rPr>
              <w:t>241</w:t>
            </w: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21.8</w:t>
            </w:r>
          </w:p>
        </w:tc>
      </w:tr>
      <w:tr>
        <w:trPr>
          <w:trHeight w:val="434"/>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(16)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r>
    </w:tbl>
    <w:p>
      <w:pPr>
        <w:spacing w:after="0" w:line="55" w:lineRule="exact"/>
        <w:rPr>
          <w:sz w:val="20"/>
          <w:szCs w:val="20"/>
          <w:color w:val="auto"/>
        </w:rPr>
      </w:pPr>
    </w:p>
    <w:p>
      <w:pPr>
        <w:sectPr>
          <w:pgSz w:w="11900" w:h="16838" w:orient="portrait"/>
          <w:cols w:equalWidth="0" w:num="3">
            <w:col w:w="5220" w:space="380"/>
            <w:col w:w="3320" w:space="380"/>
            <w:col w:w="212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color w:val="auto"/>
                <w:w w:val="83"/>
              </w:rPr>
              <w:t>2011</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color w:val="auto"/>
              </w:rPr>
              <w:t>2010</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3"/>
            <w:vMerge w:val="restart"/>
          </w:tcPr>
          <w:p>
            <w:pPr>
              <w:jc w:val="right"/>
              <w:ind w:right="215"/>
              <w:spacing w:after="0"/>
              <w:rPr>
                <w:sz w:val="20"/>
                <w:szCs w:val="20"/>
                <w:color w:val="auto"/>
              </w:rPr>
            </w:pPr>
            <w:r>
              <w:rPr>
                <w:rFonts w:ascii="Arial" w:cs="Arial" w:eastAsia="Arial" w:hAnsi="Arial"/>
                <w:sz w:val="14"/>
                <w:szCs w:val="14"/>
                <w:color w:val="auto"/>
              </w:rPr>
              <w:t>Pro Forma Combined</w:t>
            </w:r>
          </w:p>
        </w:tc>
        <w:tc>
          <w:tcPr>
            <w:tcW w:w="0" w:type="dxa"/>
            <w:vAlign w:val="bottom"/>
          </w:tcPr>
          <w:p>
            <w:pPr>
              <w:spacing w:after="0"/>
              <w:rPr>
                <w:sz w:val="1"/>
                <w:szCs w:val="1"/>
                <w:color w:val="auto"/>
              </w:rPr>
            </w:pPr>
          </w:p>
        </w:tc>
      </w:tr>
      <w:tr>
        <w:trPr>
          <w:trHeight w:val="115"/>
        </w:trPr>
        <w:tc>
          <w:tcPr>
            <w:tcW w:w="3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vMerge w:val="restart"/>
          </w:tcPr>
          <w:p>
            <w:pPr>
              <w:jc w:val="center"/>
              <w:ind w:right="177"/>
              <w:spacing w:after="0"/>
              <w:rPr>
                <w:sz w:val="20"/>
                <w:szCs w:val="20"/>
                <w:color w:val="auto"/>
              </w:rPr>
            </w:pPr>
            <w:r>
              <w:rPr>
                <w:rFonts w:ascii="Arial" w:cs="Arial" w:eastAsia="Arial" w:hAnsi="Arial"/>
                <w:sz w:val="14"/>
                <w:szCs w:val="14"/>
                <w:color w:val="auto"/>
                <w:w w:val="84"/>
              </w:rPr>
              <w:t>Actual</w:t>
            </w:r>
            <w:r>
              <w:rPr>
                <w:rFonts w:ascii="Arial" w:cs="Arial" w:eastAsia="Arial" w:hAnsi="Arial"/>
                <w:sz w:val="22"/>
                <w:szCs w:val="22"/>
                <w:color w:val="auto"/>
                <w:w w:val="84"/>
                <w:vertAlign w:val="superscript"/>
              </w:rPr>
              <w:t>(a)</w:t>
            </w:r>
          </w:p>
        </w:tc>
        <w:tc>
          <w:tcPr>
            <w:tcW w:w="220" w:type="dxa"/>
            <w:vAlign w:val="bottom"/>
          </w:tcPr>
          <w:p>
            <w:pPr>
              <w:spacing w:after="0"/>
              <w:rPr>
                <w:sz w:val="10"/>
                <w:szCs w:val="10"/>
                <w:color w:val="auto"/>
              </w:rPr>
            </w:pPr>
          </w:p>
        </w:tc>
        <w:tc>
          <w:tcPr>
            <w:tcW w:w="640" w:type="dxa"/>
            <w:vAlign w:val="bottom"/>
          </w:tcPr>
          <w:p>
            <w:pPr>
              <w:jc w:val="center"/>
              <w:ind w:right="142"/>
              <w:spacing w:after="0" w:line="115" w:lineRule="exact"/>
              <w:rPr>
                <w:sz w:val="20"/>
                <w:szCs w:val="20"/>
                <w:color w:val="auto"/>
              </w:rPr>
            </w:pPr>
            <w:r>
              <w:rPr>
                <w:rFonts w:ascii="Arial" w:cs="Arial" w:eastAsia="Arial" w:hAnsi="Arial"/>
                <w:sz w:val="12"/>
                <w:szCs w:val="12"/>
                <w:color w:val="auto"/>
                <w:w w:val="96"/>
              </w:rPr>
              <w:t>Pro</w:t>
            </w:r>
          </w:p>
        </w:tc>
        <w:tc>
          <w:tcPr>
            <w:tcW w:w="220" w:type="dxa"/>
            <w:vAlign w:val="bottom"/>
          </w:tcPr>
          <w:p>
            <w:pPr>
              <w:spacing w:after="0"/>
              <w:rPr>
                <w:sz w:val="10"/>
                <w:szCs w:val="10"/>
                <w:color w:val="auto"/>
              </w:rPr>
            </w:pPr>
          </w:p>
        </w:tc>
        <w:tc>
          <w:tcPr>
            <w:tcW w:w="760" w:type="dxa"/>
            <w:vAlign w:val="bottom"/>
          </w:tcPr>
          <w:p>
            <w:pPr>
              <w:jc w:val="center"/>
              <w:ind w:right="101"/>
              <w:spacing w:after="0" w:line="115" w:lineRule="exact"/>
              <w:rPr>
                <w:sz w:val="20"/>
                <w:szCs w:val="20"/>
                <w:color w:val="auto"/>
              </w:rPr>
            </w:pPr>
            <w:r>
              <w:rPr>
                <w:rFonts w:ascii="Arial" w:cs="Arial" w:eastAsia="Arial" w:hAnsi="Arial"/>
                <w:sz w:val="12"/>
                <w:szCs w:val="12"/>
                <w:color w:val="auto"/>
              </w:rPr>
              <w:t>Pro Forma</w:t>
            </w:r>
          </w:p>
        </w:tc>
        <w:tc>
          <w:tcPr>
            <w:tcW w:w="220" w:type="dxa"/>
            <w:vAlign w:val="bottom"/>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w w:val="87"/>
              </w:rPr>
              <w:t>Actual</w:t>
            </w:r>
            <w:r>
              <w:rPr>
                <w:rFonts w:ascii="Arial" w:cs="Arial" w:eastAsia="Arial" w:hAnsi="Arial"/>
                <w:sz w:val="22"/>
                <w:szCs w:val="22"/>
                <w:color w:val="auto"/>
                <w:w w:val="87"/>
                <w:vertAlign w:val="superscript"/>
              </w:rPr>
              <w:t>(a)</w:t>
            </w:r>
          </w:p>
        </w:tc>
        <w:tc>
          <w:tcPr>
            <w:tcW w:w="1080" w:type="dxa"/>
            <w:vAlign w:val="bottom"/>
            <w:gridSpan w:val="2"/>
            <w:vMerge w:val="restart"/>
          </w:tcPr>
          <w:p>
            <w:pPr>
              <w:jc w:val="right"/>
              <w:ind w:right="117"/>
              <w:spacing w:after="0"/>
              <w:rPr>
                <w:sz w:val="20"/>
                <w:szCs w:val="20"/>
                <w:color w:val="auto"/>
              </w:rPr>
            </w:pPr>
            <w:r>
              <w:rPr>
                <w:rFonts w:ascii="Arial" w:cs="Arial" w:eastAsia="Arial" w:hAnsi="Arial"/>
                <w:sz w:val="14"/>
                <w:szCs w:val="14"/>
                <w:color w:val="auto"/>
              </w:rPr>
              <w:t>Pro Forma</w:t>
            </w:r>
            <w:r>
              <w:rPr>
                <w:rFonts w:ascii="Arial" w:cs="Arial" w:eastAsia="Arial" w:hAnsi="Arial"/>
                <w:sz w:val="22"/>
                <w:szCs w:val="22"/>
                <w:color w:val="auto"/>
                <w:vertAlign w:val="superscript"/>
              </w:rPr>
              <w:t>(b)</w:t>
            </w:r>
          </w:p>
        </w:tc>
        <w:tc>
          <w:tcPr>
            <w:tcW w:w="220" w:type="dxa"/>
            <w:vAlign w:val="bottom"/>
          </w:tcPr>
          <w:p>
            <w:pPr>
              <w:spacing w:after="0"/>
              <w:rPr>
                <w:sz w:val="10"/>
                <w:szCs w:val="10"/>
                <w:color w:val="auto"/>
              </w:rPr>
            </w:pPr>
          </w:p>
        </w:tc>
        <w:tc>
          <w:tcPr>
            <w:tcW w:w="760" w:type="dxa"/>
            <w:vAlign w:val="bottom"/>
          </w:tcPr>
          <w:p>
            <w:pPr>
              <w:jc w:val="center"/>
              <w:ind w:right="101"/>
              <w:spacing w:after="0" w:line="115" w:lineRule="exact"/>
              <w:rPr>
                <w:sz w:val="20"/>
                <w:szCs w:val="20"/>
                <w:color w:val="auto"/>
              </w:rPr>
            </w:pPr>
            <w:r>
              <w:rPr>
                <w:rFonts w:ascii="Arial" w:cs="Arial" w:eastAsia="Arial" w:hAnsi="Arial"/>
                <w:sz w:val="12"/>
                <w:szCs w:val="12"/>
                <w:color w:val="auto"/>
              </w:rPr>
              <w:t>Pro Forma</w:t>
            </w:r>
          </w:p>
        </w:tc>
        <w:tc>
          <w:tcPr>
            <w:tcW w:w="220" w:type="dxa"/>
            <w:vAlign w:val="bottom"/>
          </w:tcPr>
          <w:p>
            <w:pPr>
              <w:spacing w:after="0"/>
              <w:rPr>
                <w:sz w:val="10"/>
                <w:szCs w:val="10"/>
                <w:color w:val="auto"/>
              </w:rPr>
            </w:pPr>
          </w:p>
        </w:tc>
        <w:tc>
          <w:tcPr>
            <w:tcW w:w="17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60" w:type="dxa"/>
            <w:vAlign w:val="bottom"/>
            <w:gridSpan w:val="2"/>
          </w:tcPr>
          <w:p>
            <w:pPr>
              <w:jc w:val="center"/>
              <w:spacing w:after="0" w:line="176" w:lineRule="exact"/>
              <w:rPr>
                <w:sz w:val="20"/>
                <w:szCs w:val="20"/>
                <w:color w:val="auto"/>
              </w:rPr>
            </w:pPr>
            <w:r>
              <w:rPr>
                <w:rFonts w:ascii="Arial" w:cs="Arial" w:eastAsia="Arial" w:hAnsi="Arial"/>
                <w:sz w:val="13"/>
                <w:szCs w:val="13"/>
                <w:color w:val="auto"/>
                <w:w w:val="92"/>
              </w:rPr>
              <w:t>Forma</w:t>
            </w:r>
            <w:r>
              <w:rPr>
                <w:rFonts w:ascii="Arial" w:cs="Arial" w:eastAsia="Arial" w:hAnsi="Arial"/>
                <w:sz w:val="20"/>
                <w:szCs w:val="20"/>
                <w:color w:val="auto"/>
                <w:w w:val="92"/>
                <w:vertAlign w:val="superscript"/>
              </w:rPr>
              <w:t>(b)</w:t>
            </w:r>
          </w:p>
        </w:tc>
        <w:tc>
          <w:tcPr>
            <w:tcW w:w="1200" w:type="dxa"/>
            <w:vAlign w:val="bottom"/>
            <w:gridSpan w:val="3"/>
          </w:tcPr>
          <w:p>
            <w:pPr>
              <w:jc w:val="center"/>
              <w:ind w:right="160"/>
              <w:spacing w:after="0" w:line="176" w:lineRule="exact"/>
              <w:rPr>
                <w:sz w:val="20"/>
                <w:szCs w:val="20"/>
                <w:color w:val="auto"/>
              </w:rPr>
            </w:pPr>
            <w:r>
              <w:rPr>
                <w:rFonts w:ascii="Arial" w:cs="Arial" w:eastAsia="Arial" w:hAnsi="Arial"/>
                <w:sz w:val="13"/>
                <w:szCs w:val="13"/>
                <w:color w:val="auto"/>
                <w:w w:val="90"/>
              </w:rPr>
              <w:t>Combined</w:t>
            </w:r>
            <w:r>
              <w:rPr>
                <w:rFonts w:ascii="Arial" w:cs="Arial" w:eastAsia="Arial" w:hAnsi="Arial"/>
                <w:sz w:val="20"/>
                <w:szCs w:val="20"/>
                <w:color w:val="auto"/>
                <w:w w:val="90"/>
                <w:vertAlign w:val="superscript"/>
              </w:rPr>
              <w:t>(c)</w:t>
            </w:r>
          </w:p>
        </w:tc>
        <w:tc>
          <w:tcPr>
            <w:tcW w:w="820" w:type="dxa"/>
            <w:vAlign w:val="bottom"/>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0" w:type="dxa"/>
            <w:vAlign w:val="bottom"/>
            <w:gridSpan w:val="3"/>
          </w:tcPr>
          <w:p>
            <w:pPr>
              <w:jc w:val="center"/>
              <w:ind w:right="180"/>
              <w:spacing w:after="0" w:line="176" w:lineRule="exact"/>
              <w:rPr>
                <w:sz w:val="20"/>
                <w:szCs w:val="20"/>
                <w:color w:val="auto"/>
              </w:rPr>
            </w:pPr>
            <w:r>
              <w:rPr>
                <w:rFonts w:ascii="Arial" w:cs="Arial" w:eastAsia="Arial" w:hAnsi="Arial"/>
                <w:sz w:val="13"/>
                <w:szCs w:val="13"/>
                <w:color w:val="auto"/>
                <w:w w:val="93"/>
              </w:rPr>
              <w:t>Combined</w:t>
            </w:r>
            <w:r>
              <w:rPr>
                <w:rFonts w:ascii="Arial" w:cs="Arial" w:eastAsia="Arial" w:hAnsi="Arial"/>
                <w:sz w:val="20"/>
                <w:szCs w:val="20"/>
                <w:color w:val="auto"/>
                <w:w w:val="93"/>
                <w:vertAlign w:val="superscript"/>
              </w:rPr>
              <w:t>(c)</w:t>
            </w:r>
          </w:p>
        </w:tc>
        <w:tc>
          <w:tcPr>
            <w:tcW w:w="280" w:type="dxa"/>
            <w:vAlign w:val="bottom"/>
          </w:tcPr>
          <w:p>
            <w:pPr>
              <w:spacing w:after="0"/>
              <w:rPr>
                <w:sz w:val="15"/>
                <w:szCs w:val="15"/>
                <w:color w:val="auto"/>
              </w:rPr>
            </w:pPr>
          </w:p>
        </w:tc>
        <w:tc>
          <w:tcPr>
            <w:tcW w:w="1420" w:type="dxa"/>
            <w:vAlign w:val="bottom"/>
            <w:gridSpan w:val="2"/>
          </w:tcPr>
          <w:p>
            <w:pPr>
              <w:jc w:val="right"/>
              <w:ind w:right="255"/>
              <w:spacing w:after="0"/>
              <w:rPr>
                <w:sz w:val="20"/>
                <w:szCs w:val="20"/>
                <w:color w:val="auto"/>
              </w:rPr>
            </w:pPr>
            <w:r>
              <w:rPr>
                <w:rFonts w:ascii="Arial" w:cs="Arial" w:eastAsia="Arial" w:hAnsi="Arial"/>
                <w:sz w:val="14"/>
                <w:szCs w:val="14"/>
                <w:color w:val="auto"/>
                <w:w w:val="83"/>
              </w:rPr>
              <w:t>Increase/(Decrease)</w:t>
            </w:r>
          </w:p>
        </w:tc>
        <w:tc>
          <w:tcPr>
            <w:tcW w:w="0" w:type="dxa"/>
            <w:vAlign w:val="bottom"/>
          </w:tcPr>
          <w:p>
            <w:pPr>
              <w:spacing w:after="0"/>
              <w:rPr>
                <w:sz w:val="1"/>
                <w:szCs w:val="1"/>
                <w:color w:val="auto"/>
              </w:rPr>
            </w:pPr>
          </w:p>
        </w:tc>
      </w:tr>
      <w:tr>
        <w:trPr>
          <w:trHeight w:val="131"/>
        </w:trPr>
        <w:tc>
          <w:tcPr>
            <w:tcW w:w="35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142"/>
              <w:spacing w:after="0" w:line="131" w:lineRule="exact"/>
              <w:rPr>
                <w:sz w:val="20"/>
                <w:szCs w:val="20"/>
                <w:color w:val="auto"/>
              </w:rPr>
            </w:pPr>
            <w:r>
              <w:rPr>
                <w:rFonts w:ascii="Arial" w:cs="Arial" w:eastAsia="Arial" w:hAnsi="Arial"/>
                <w:sz w:val="14"/>
                <w:szCs w:val="14"/>
                <w:color w:val="auto"/>
                <w:w w:val="85"/>
              </w:rPr>
              <w:t>For the</w:t>
            </w:r>
          </w:p>
        </w:tc>
        <w:tc>
          <w:tcPr>
            <w:tcW w:w="2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center"/>
              <w:ind w:right="142"/>
              <w:spacing w:after="0" w:line="149" w:lineRule="exact"/>
              <w:rPr>
                <w:sz w:val="20"/>
                <w:szCs w:val="20"/>
                <w:color w:val="auto"/>
              </w:rPr>
            </w:pPr>
            <w:r>
              <w:rPr>
                <w:rFonts w:ascii="Arial" w:cs="Arial" w:eastAsia="Arial" w:hAnsi="Arial"/>
                <w:sz w:val="14"/>
                <w:szCs w:val="14"/>
                <w:color w:val="auto"/>
                <w:w w:val="87"/>
              </w:rPr>
              <w:t>period</w:t>
            </w:r>
          </w:p>
        </w:tc>
        <w:tc>
          <w:tcPr>
            <w:tcW w:w="22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0"/>
              </w:rPr>
              <w:t>Nine</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0"/>
              </w:rPr>
              <w:t>Nine</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Nine Months</w:t>
            </w: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4"/>
              </w:rPr>
              <w:t>January 1</w:t>
            </w:r>
          </w:p>
        </w:tc>
        <w:tc>
          <w:tcPr>
            <w:tcW w:w="22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87"/>
              </w:rPr>
              <w:t>Months</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83"/>
              </w:rPr>
              <w:t>Comcast</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1"/>
              </w:rPr>
              <w:t>Months</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jc w:val="center"/>
              <w:ind w:right="157"/>
              <w:spacing w:after="0" w:line="149" w:lineRule="exact"/>
              <w:rPr>
                <w:sz w:val="20"/>
                <w:szCs w:val="20"/>
                <w:color w:val="auto"/>
              </w:rPr>
            </w:pPr>
            <w:r>
              <w:rPr>
                <w:rFonts w:ascii="Arial" w:cs="Arial" w:eastAsia="Arial" w:hAnsi="Arial"/>
                <w:sz w:val="14"/>
                <w:szCs w:val="14"/>
                <w:color w:val="auto"/>
                <w:w w:val="83"/>
              </w:rPr>
              <w:t>Ended</w:t>
            </w:r>
          </w:p>
        </w:tc>
        <w:tc>
          <w:tcPr>
            <w:tcW w:w="220" w:type="dxa"/>
            <w:vAlign w:val="bottom"/>
          </w:tcPr>
          <w:p>
            <w:pPr>
              <w:spacing w:after="0"/>
              <w:rPr>
                <w:sz w:val="12"/>
                <w:szCs w:val="12"/>
                <w:color w:val="auto"/>
              </w:rPr>
            </w:pPr>
          </w:p>
        </w:tc>
        <w:tc>
          <w:tcPr>
            <w:tcW w:w="640" w:type="dxa"/>
            <w:vAlign w:val="bottom"/>
          </w:tcPr>
          <w:p>
            <w:pPr>
              <w:jc w:val="center"/>
              <w:ind w:right="142"/>
              <w:spacing w:after="0" w:line="149" w:lineRule="exact"/>
              <w:rPr>
                <w:sz w:val="20"/>
                <w:szCs w:val="20"/>
                <w:color w:val="auto"/>
              </w:rPr>
            </w:pPr>
            <w:r>
              <w:rPr>
                <w:rFonts w:ascii="Arial" w:cs="Arial" w:eastAsia="Arial" w:hAnsi="Arial"/>
                <w:sz w:val="14"/>
                <w:szCs w:val="14"/>
                <w:color w:val="auto"/>
                <w:w w:val="88"/>
              </w:rPr>
              <w:t>through</w:t>
            </w:r>
          </w:p>
        </w:tc>
        <w:tc>
          <w:tcPr>
            <w:tcW w:w="22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83"/>
              </w:rPr>
              <w:t>Ended</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85"/>
              </w:rPr>
              <w:t>Content</w:t>
            </w:r>
          </w:p>
        </w:tc>
        <w:tc>
          <w:tcPr>
            <w:tcW w:w="10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NBCUniversal</w:t>
            </w:r>
          </w:p>
        </w:tc>
        <w:tc>
          <w:tcPr>
            <w:tcW w:w="22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83"/>
              </w:rPr>
              <w:t>Ended</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00" w:type="dxa"/>
            <w:vAlign w:val="bottom"/>
          </w:tcPr>
          <w:p>
            <w:pPr>
              <w:spacing w:after="0"/>
              <w:rPr>
                <w:sz w:val="20"/>
                <w:szCs w:val="20"/>
                <w:color w:val="auto"/>
              </w:rPr>
            </w:pPr>
            <w:r>
              <w:rPr>
                <w:rFonts w:ascii="Arial" w:cs="Arial" w:eastAsia="Arial" w:hAnsi="Arial"/>
                <w:sz w:val="14"/>
                <w:szCs w:val="14"/>
                <w:color w:val="auto"/>
              </w:rPr>
              <w:t>(in millions)</w:t>
            </w:r>
          </w:p>
        </w:tc>
        <w:tc>
          <w:tcPr>
            <w:tcW w:w="1060" w:type="dxa"/>
            <w:vAlign w:val="bottom"/>
            <w:gridSpan w:val="2"/>
          </w:tcPr>
          <w:p>
            <w:pPr>
              <w:jc w:val="center"/>
              <w:spacing w:after="0"/>
              <w:rPr>
                <w:sz w:val="20"/>
                <w:szCs w:val="20"/>
                <w:color w:val="auto"/>
              </w:rPr>
            </w:pPr>
            <w:r>
              <w:rPr>
                <w:rFonts w:ascii="Arial" w:cs="Arial" w:eastAsia="Arial" w:hAnsi="Arial"/>
                <w:sz w:val="14"/>
                <w:szCs w:val="14"/>
                <w:color w:val="auto"/>
                <w:w w:val="84"/>
              </w:rPr>
              <w:t>September 30</w:t>
            </w:r>
          </w:p>
        </w:tc>
        <w:tc>
          <w:tcPr>
            <w:tcW w:w="860" w:type="dxa"/>
            <w:vAlign w:val="bottom"/>
            <w:gridSpan w:val="2"/>
          </w:tcPr>
          <w:p>
            <w:pPr>
              <w:jc w:val="center"/>
              <w:spacing w:after="0"/>
              <w:rPr>
                <w:sz w:val="20"/>
                <w:szCs w:val="20"/>
                <w:color w:val="auto"/>
              </w:rPr>
            </w:pPr>
            <w:r>
              <w:rPr>
                <w:rFonts w:ascii="Arial" w:cs="Arial" w:eastAsia="Arial" w:hAnsi="Arial"/>
                <w:sz w:val="14"/>
                <w:szCs w:val="14"/>
                <w:color w:val="auto"/>
                <w:w w:val="83"/>
              </w:rPr>
              <w:t>January 28</w:t>
            </w:r>
          </w:p>
        </w:tc>
        <w:tc>
          <w:tcPr>
            <w:tcW w:w="1200" w:type="dxa"/>
            <w:vAlign w:val="bottom"/>
            <w:gridSpan w:val="3"/>
          </w:tcPr>
          <w:p>
            <w:pPr>
              <w:jc w:val="center"/>
              <w:ind w:right="160"/>
              <w:spacing w:after="0"/>
              <w:rPr>
                <w:sz w:val="20"/>
                <w:szCs w:val="20"/>
                <w:color w:val="auto"/>
              </w:rPr>
            </w:pPr>
            <w:r>
              <w:rPr>
                <w:rFonts w:ascii="Arial" w:cs="Arial" w:eastAsia="Arial" w:hAnsi="Arial"/>
                <w:sz w:val="14"/>
                <w:szCs w:val="14"/>
                <w:color w:val="auto"/>
                <w:w w:val="86"/>
              </w:rPr>
              <w:t>September 30</w:t>
            </w:r>
          </w:p>
        </w:tc>
        <w:tc>
          <w:tcPr>
            <w:tcW w:w="820" w:type="dxa"/>
            <w:vAlign w:val="bottom"/>
          </w:tcPr>
          <w:p>
            <w:pPr>
              <w:jc w:val="center"/>
              <w:spacing w:after="0"/>
              <w:rPr>
                <w:sz w:val="20"/>
                <w:szCs w:val="20"/>
                <w:color w:val="auto"/>
              </w:rPr>
            </w:pPr>
            <w:r>
              <w:rPr>
                <w:rFonts w:ascii="Arial" w:cs="Arial" w:eastAsia="Arial" w:hAnsi="Arial"/>
                <w:sz w:val="14"/>
                <w:szCs w:val="14"/>
                <w:color w:val="auto"/>
                <w:w w:val="84"/>
              </w:rPr>
              <w:t>Business</w:t>
            </w:r>
          </w:p>
        </w:tc>
        <w:tc>
          <w:tcPr>
            <w:tcW w:w="220" w:type="dxa"/>
            <w:vAlign w:val="bottom"/>
          </w:tcPr>
          <w:p>
            <w:pPr>
              <w:spacing w:after="0"/>
              <w:rPr>
                <w:sz w:val="15"/>
                <w:szCs w:val="15"/>
                <w:color w:val="auto"/>
              </w:rPr>
            </w:pPr>
          </w:p>
        </w:tc>
        <w:tc>
          <w:tcPr>
            <w:tcW w:w="860" w:type="dxa"/>
            <w:vAlign w:val="bottom"/>
          </w:tcPr>
          <w:p>
            <w:pPr>
              <w:jc w:val="right"/>
              <w:ind w:right="157"/>
              <w:spacing w:after="0"/>
              <w:rPr>
                <w:sz w:val="20"/>
                <w:szCs w:val="20"/>
                <w:color w:val="auto"/>
              </w:rPr>
            </w:pPr>
            <w:r>
              <w:rPr>
                <w:rFonts w:ascii="Arial" w:cs="Arial" w:eastAsia="Arial" w:hAnsi="Arial"/>
                <w:sz w:val="14"/>
                <w:szCs w:val="14"/>
                <w:color w:val="auto"/>
                <w:w w:val="83"/>
              </w:rPr>
              <w:t>Businesses</w:t>
            </w:r>
          </w:p>
        </w:tc>
        <w:tc>
          <w:tcPr>
            <w:tcW w:w="1200" w:type="dxa"/>
            <w:vAlign w:val="bottom"/>
            <w:gridSpan w:val="3"/>
          </w:tcPr>
          <w:p>
            <w:pPr>
              <w:jc w:val="center"/>
              <w:ind w:right="180"/>
              <w:spacing w:after="0"/>
              <w:rPr>
                <w:sz w:val="20"/>
                <w:szCs w:val="20"/>
                <w:color w:val="auto"/>
              </w:rPr>
            </w:pPr>
            <w:r>
              <w:rPr>
                <w:rFonts w:ascii="Arial" w:cs="Arial" w:eastAsia="Arial" w:hAnsi="Arial"/>
                <w:sz w:val="14"/>
                <w:szCs w:val="14"/>
                <w:color w:val="auto"/>
                <w:w w:val="84"/>
              </w:rPr>
              <w:t>September 30</w:t>
            </w:r>
          </w:p>
        </w:tc>
        <w:tc>
          <w:tcPr>
            <w:tcW w:w="280" w:type="dxa"/>
            <w:vAlign w:val="bottom"/>
          </w:tcPr>
          <w:p>
            <w:pPr>
              <w:spacing w:after="0"/>
              <w:rPr>
                <w:sz w:val="15"/>
                <w:szCs w:val="15"/>
                <w:color w:val="auto"/>
              </w:rPr>
            </w:pPr>
          </w:p>
        </w:tc>
        <w:tc>
          <w:tcPr>
            <w:tcW w:w="620" w:type="dxa"/>
            <w:vAlign w:val="bottom"/>
          </w:tcPr>
          <w:p>
            <w:pPr>
              <w:jc w:val="right"/>
              <w:ind w:right="377"/>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5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35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E5E5E5"/>
            </w:tcBorders>
            <w:shd w:val="clear" w:color="auto" w:fill="E5E5E5"/>
          </w:tcPr>
          <w:p>
            <w:pPr>
              <w:spacing w:after="0"/>
              <w:rPr>
                <w:sz w:val="18"/>
                <w:szCs w:val="18"/>
                <w:color w:val="auto"/>
              </w:rPr>
            </w:pPr>
          </w:p>
        </w:tc>
        <w:tc>
          <w:tcPr>
            <w:tcW w:w="82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86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E5E5E5"/>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440"/>
              <w:spacing w:after="0"/>
              <w:rPr>
                <w:sz w:val="20"/>
                <w:szCs w:val="20"/>
                <w:color w:val="auto"/>
              </w:rPr>
            </w:pPr>
            <w:r>
              <w:rPr>
                <w:rFonts w:ascii="Arial" w:cs="Arial" w:eastAsia="Arial" w:hAnsi="Arial"/>
                <w:sz w:val="18"/>
                <w:szCs w:val="18"/>
                <w:color w:val="auto"/>
              </w:rPr>
              <w:t>Distribution</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7"/>
              <w:spacing w:after="0"/>
              <w:rPr>
                <w:sz w:val="20"/>
                <w:szCs w:val="20"/>
                <w:color w:val="auto"/>
              </w:rPr>
            </w:pPr>
            <w:r>
              <w:rPr>
                <w:rFonts w:ascii="Arial" w:cs="Arial" w:eastAsia="Arial" w:hAnsi="Arial"/>
                <w:sz w:val="18"/>
                <w:szCs w:val="18"/>
                <w:color w:val="auto"/>
              </w:rPr>
              <w:t>3,101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62"/>
              <w:spacing w:after="0"/>
              <w:rPr>
                <w:sz w:val="20"/>
                <w:szCs w:val="20"/>
                <w:color w:val="auto"/>
              </w:rPr>
            </w:pPr>
            <w:r>
              <w:rPr>
                <w:rFonts w:ascii="Arial" w:cs="Arial" w:eastAsia="Arial" w:hAnsi="Arial"/>
                <w:sz w:val="18"/>
                <w:szCs w:val="18"/>
                <w:color w:val="auto"/>
              </w:rPr>
              <w:t>188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
              <w:spacing w:after="0"/>
              <w:rPr>
                <w:sz w:val="20"/>
                <w:szCs w:val="20"/>
                <w:color w:val="auto"/>
              </w:rPr>
            </w:pPr>
            <w:r>
              <w:rPr>
                <w:rFonts w:ascii="Arial" w:cs="Arial" w:eastAsia="Arial" w:hAnsi="Arial"/>
                <w:sz w:val="18"/>
                <w:szCs w:val="18"/>
                <w:color w:val="auto"/>
              </w:rPr>
              <w:t>3,289</w:t>
            </w:r>
          </w:p>
        </w:tc>
        <w:tc>
          <w:tcPr>
            <w:tcW w:w="220" w:type="dxa"/>
            <w:vAlign w:val="bottom"/>
          </w:tcPr>
          <w:p>
            <w:pPr>
              <w:spacing w:after="0"/>
              <w:rPr>
                <w:sz w:val="18"/>
                <w:szCs w:val="18"/>
                <w:color w:val="auto"/>
              </w:rPr>
            </w:pPr>
          </w:p>
        </w:tc>
        <w:tc>
          <w:tcPr>
            <w:tcW w:w="820" w:type="dxa"/>
            <w:vAlign w:val="bottom"/>
          </w:tcPr>
          <w:p>
            <w:pPr>
              <w:jc w:val="right"/>
              <w:ind w:right="60"/>
              <w:spacing w:after="0"/>
              <w:rPr>
                <w:sz w:val="20"/>
                <w:szCs w:val="20"/>
                <w:color w:val="auto"/>
              </w:rPr>
            </w:pPr>
            <w:r>
              <w:rPr>
                <w:rFonts w:ascii="Arial" w:cs="Arial" w:eastAsia="Arial" w:hAnsi="Arial"/>
                <w:sz w:val="18"/>
                <w:szCs w:val="18"/>
                <w:color w:val="auto"/>
              </w:rPr>
              <w:t>$1,194</w:t>
            </w:r>
          </w:p>
        </w:tc>
        <w:tc>
          <w:tcPr>
            <w:tcW w:w="22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57"/>
              <w:spacing w:after="0"/>
              <w:rPr>
                <w:sz w:val="20"/>
                <w:szCs w:val="20"/>
                <w:color w:val="auto"/>
              </w:rPr>
            </w:pPr>
            <w:r>
              <w:rPr>
                <w:rFonts w:ascii="Arial" w:cs="Arial" w:eastAsia="Arial" w:hAnsi="Arial"/>
                <w:sz w:val="18"/>
                <w:szCs w:val="18"/>
                <w:color w:val="auto"/>
              </w:rPr>
              <w:t>1,767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1"/>
              <w:spacing w:after="0"/>
              <w:rPr>
                <w:sz w:val="20"/>
                <w:szCs w:val="20"/>
                <w:color w:val="auto"/>
              </w:rPr>
            </w:pPr>
            <w:r>
              <w:rPr>
                <w:rFonts w:ascii="Arial" w:cs="Arial" w:eastAsia="Arial" w:hAnsi="Arial"/>
                <w:sz w:val="18"/>
                <w:szCs w:val="18"/>
                <w:color w:val="auto"/>
              </w:rPr>
              <w:t>2,961</w:t>
            </w:r>
          </w:p>
        </w:tc>
        <w:tc>
          <w:tcPr>
            <w:tcW w:w="2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77"/>
              <w:spacing w:after="0"/>
              <w:rPr>
                <w:sz w:val="20"/>
                <w:szCs w:val="20"/>
                <w:color w:val="auto"/>
              </w:rPr>
            </w:pPr>
            <w:r>
              <w:rPr>
                <w:rFonts w:ascii="Arial" w:cs="Arial" w:eastAsia="Arial" w:hAnsi="Arial"/>
                <w:sz w:val="18"/>
                <w:szCs w:val="18"/>
                <w:color w:val="auto"/>
              </w:rPr>
              <w:t>328</w:t>
            </w:r>
          </w:p>
        </w:tc>
        <w:tc>
          <w:tcPr>
            <w:tcW w:w="80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35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Advertising</w:t>
            </w:r>
          </w:p>
        </w:tc>
        <w:tc>
          <w:tcPr>
            <w:tcW w:w="2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2,297</w:t>
            </w: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62"/>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
              <w:spacing w:after="0"/>
              <w:rPr>
                <w:sz w:val="20"/>
                <w:szCs w:val="20"/>
                <w:color w:val="auto"/>
              </w:rPr>
            </w:pPr>
            <w:r>
              <w:rPr>
                <w:rFonts w:ascii="Arial" w:cs="Arial" w:eastAsia="Arial" w:hAnsi="Arial"/>
                <w:sz w:val="18"/>
                <w:szCs w:val="18"/>
                <w:color w:val="auto"/>
              </w:rPr>
              <w:t>2,459</w:t>
            </w:r>
          </w:p>
        </w:tc>
        <w:tc>
          <w:tcPr>
            <w:tcW w:w="2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60"/>
              <w:spacing w:after="0"/>
              <w:rPr>
                <w:sz w:val="20"/>
                <w:szCs w:val="20"/>
                <w:color w:val="auto"/>
              </w:rPr>
            </w:pPr>
            <w:r>
              <w:rPr>
                <w:rFonts w:ascii="Arial" w:cs="Arial" w:eastAsia="Arial" w:hAnsi="Arial"/>
                <w:sz w:val="18"/>
                <w:szCs w:val="18"/>
                <w:color w:val="auto"/>
              </w:rPr>
              <w:t>681</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1,529</w:t>
            </w:r>
          </w:p>
        </w:tc>
        <w:tc>
          <w:tcPr>
            <w:tcW w:w="2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1"/>
              <w:spacing w:after="0"/>
              <w:rPr>
                <w:sz w:val="20"/>
                <w:szCs w:val="20"/>
                <w:color w:val="auto"/>
              </w:rPr>
            </w:pPr>
            <w:r>
              <w:rPr>
                <w:rFonts w:ascii="Arial" w:cs="Arial" w:eastAsia="Arial" w:hAnsi="Arial"/>
                <w:sz w:val="18"/>
                <w:szCs w:val="18"/>
                <w:color w:val="auto"/>
              </w:rPr>
              <w:t>2,210</w:t>
            </w:r>
          </w:p>
        </w:tc>
        <w:tc>
          <w:tcPr>
            <w:tcW w:w="2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77"/>
              <w:spacing w:after="0"/>
              <w:rPr>
                <w:sz w:val="20"/>
                <w:szCs w:val="20"/>
                <w:color w:val="auto"/>
              </w:rPr>
            </w:pPr>
            <w:r>
              <w:rPr>
                <w:rFonts w:ascii="Arial" w:cs="Arial" w:eastAsia="Arial" w:hAnsi="Arial"/>
                <w:sz w:val="18"/>
                <w:szCs w:val="18"/>
                <w:color w:val="auto"/>
              </w:rPr>
              <w:t>249</w:t>
            </w:r>
          </w:p>
        </w:tc>
        <w:tc>
          <w:tcPr>
            <w:tcW w:w="80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504</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62"/>
              <w:spacing w:after="0"/>
              <w:rPr>
                <w:sz w:val="20"/>
                <w:szCs w:val="20"/>
                <w:color w:val="auto"/>
              </w:rPr>
            </w:pPr>
            <w:r>
              <w:rPr>
                <w:rFonts w:ascii="Arial" w:cs="Arial" w:eastAsia="Arial" w:hAnsi="Arial"/>
                <w:sz w:val="18"/>
                <w:szCs w:val="18"/>
                <w:color w:val="auto"/>
              </w:rPr>
              <w:t>38</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542</w:t>
            </w:r>
          </w:p>
        </w:tc>
        <w:tc>
          <w:tcPr>
            <w:tcW w:w="220" w:type="dxa"/>
            <w:vAlign w:val="bottom"/>
            <w:tcBorders>
              <w:bottom w:val="single" w:sz="8" w:color="E5E5E5"/>
            </w:tcBorders>
          </w:tcPr>
          <w:p>
            <w:pPr>
              <w:spacing w:after="0"/>
              <w:rPr>
                <w:sz w:val="18"/>
                <w:szCs w:val="18"/>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8"/>
                <w:szCs w:val="18"/>
                <w:color w:val="auto"/>
              </w:rPr>
              <w:t>150</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263</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413</w:t>
            </w:r>
          </w:p>
        </w:tc>
        <w:tc>
          <w:tcPr>
            <w:tcW w:w="220" w:type="dxa"/>
            <w:vAlign w:val="bottom"/>
            <w:tcBorders>
              <w:bottom w:val="single" w:sz="8" w:color="E5E5E5"/>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rPr>
              <w:t>129</w:t>
            </w:r>
          </w:p>
        </w:tc>
        <w:tc>
          <w:tcPr>
            <w:tcW w:w="8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0"/>
        </w:trPr>
        <w:tc>
          <w:tcPr>
            <w:tcW w:w="35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5,902</w:t>
            </w: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62"/>
              <w:spacing w:after="0"/>
              <w:rPr>
                <w:sz w:val="20"/>
                <w:szCs w:val="20"/>
                <w:color w:val="auto"/>
              </w:rPr>
            </w:pPr>
            <w:r>
              <w:rPr>
                <w:rFonts w:ascii="Arial" w:cs="Arial" w:eastAsia="Arial" w:hAnsi="Arial"/>
                <w:sz w:val="18"/>
                <w:szCs w:val="18"/>
                <w:color w:val="auto"/>
              </w:rPr>
              <w:t>388</w:t>
            </w:r>
          </w:p>
        </w:tc>
        <w:tc>
          <w:tcPr>
            <w:tcW w:w="2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
              <w:spacing w:after="0"/>
              <w:rPr>
                <w:sz w:val="20"/>
                <w:szCs w:val="20"/>
                <w:color w:val="auto"/>
              </w:rPr>
            </w:pPr>
            <w:r>
              <w:rPr>
                <w:rFonts w:ascii="Arial" w:cs="Arial" w:eastAsia="Arial" w:hAnsi="Arial"/>
                <w:sz w:val="18"/>
                <w:szCs w:val="18"/>
                <w:color w:val="auto"/>
              </w:rPr>
              <w:t>6,290</w:t>
            </w:r>
          </w:p>
        </w:tc>
        <w:tc>
          <w:tcPr>
            <w:tcW w:w="2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6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3,559</w:t>
            </w:r>
          </w:p>
        </w:tc>
        <w:tc>
          <w:tcPr>
            <w:tcW w:w="2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1"/>
              <w:spacing w:after="0"/>
              <w:rPr>
                <w:sz w:val="20"/>
                <w:szCs w:val="20"/>
                <w:color w:val="auto"/>
              </w:rPr>
            </w:pPr>
            <w:r>
              <w:rPr>
                <w:rFonts w:ascii="Arial" w:cs="Arial" w:eastAsia="Arial" w:hAnsi="Arial"/>
                <w:sz w:val="18"/>
                <w:szCs w:val="18"/>
                <w:color w:val="auto"/>
              </w:rPr>
              <w:t>5,584</w:t>
            </w:r>
          </w:p>
        </w:tc>
        <w:tc>
          <w:tcPr>
            <w:tcW w:w="2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77"/>
              <w:spacing w:after="0"/>
              <w:rPr>
                <w:sz w:val="20"/>
                <w:szCs w:val="20"/>
                <w:color w:val="auto"/>
              </w:rPr>
            </w:pPr>
            <w:r>
              <w:rPr>
                <w:rFonts w:ascii="Arial" w:cs="Arial" w:eastAsia="Arial" w:hAnsi="Arial"/>
                <w:sz w:val="18"/>
                <w:szCs w:val="18"/>
                <w:color w:val="auto"/>
              </w:rPr>
              <w:t>706</w:t>
            </w:r>
          </w:p>
        </w:tc>
        <w:tc>
          <w:tcPr>
            <w:tcW w:w="80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3,640</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62"/>
              <w:spacing w:after="0"/>
              <w:rPr>
                <w:sz w:val="20"/>
                <w:szCs w:val="20"/>
                <w:color w:val="auto"/>
              </w:rPr>
            </w:pPr>
            <w:r>
              <w:rPr>
                <w:rFonts w:ascii="Arial" w:cs="Arial" w:eastAsia="Arial" w:hAnsi="Arial"/>
                <w:sz w:val="18"/>
                <w:szCs w:val="18"/>
                <w:color w:val="auto"/>
              </w:rPr>
              <w:t>236</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3,876</w:t>
            </w:r>
          </w:p>
        </w:tc>
        <w:tc>
          <w:tcPr>
            <w:tcW w:w="220" w:type="dxa"/>
            <w:vAlign w:val="bottom"/>
            <w:tcBorders>
              <w:bottom w:val="single" w:sz="8" w:color="E5E5E5"/>
            </w:tcBorders>
          </w:tcPr>
          <w:p>
            <w:pPr>
              <w:spacing w:after="0"/>
              <w:rPr>
                <w:sz w:val="18"/>
                <w:szCs w:val="18"/>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8"/>
                <w:szCs w:val="18"/>
                <w:color w:val="auto"/>
              </w:rPr>
              <w:t>1,412</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1,806</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3,218</w:t>
            </w:r>
          </w:p>
        </w:tc>
        <w:tc>
          <w:tcPr>
            <w:tcW w:w="220" w:type="dxa"/>
            <w:vAlign w:val="bottom"/>
            <w:tcBorders>
              <w:bottom w:val="single" w:sz="8" w:color="E5E5E5"/>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rPr>
              <w:t>658</w:t>
            </w:r>
          </w:p>
        </w:tc>
        <w:tc>
          <w:tcPr>
            <w:tcW w:w="8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195"/>
        </w:trPr>
        <w:tc>
          <w:tcPr>
            <w:tcW w:w="3500" w:type="dxa"/>
            <w:vAlign w:val="bottom"/>
            <w:shd w:val="clear" w:color="auto" w:fill="E5E5E5"/>
          </w:tcPr>
          <w:p>
            <w:pPr>
              <w:spacing w:after="0" w:line="195" w:lineRule="exact"/>
              <w:rPr>
                <w:sz w:val="20"/>
                <w:szCs w:val="20"/>
                <w:color w:val="auto"/>
              </w:rPr>
            </w:pPr>
            <w:r>
              <w:rPr>
                <w:rFonts w:ascii="Arial" w:cs="Arial" w:eastAsia="Arial" w:hAnsi="Arial"/>
                <w:sz w:val="18"/>
                <w:szCs w:val="18"/>
                <w:b w:val="1"/>
                <w:bCs w:val="1"/>
                <w:color w:val="auto"/>
                <w:w w:val="96"/>
              </w:rPr>
              <w:t>Operating income before depreciation and</w:t>
            </w:r>
          </w:p>
        </w:tc>
        <w:tc>
          <w:tcPr>
            <w:tcW w:w="28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6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8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62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50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amortization</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57"/>
              <w:spacing w:after="0"/>
              <w:rPr>
                <w:sz w:val="20"/>
                <w:szCs w:val="20"/>
                <w:color w:val="auto"/>
              </w:rPr>
            </w:pPr>
            <w:r>
              <w:rPr>
                <w:rFonts w:ascii="Arial" w:cs="Arial" w:eastAsia="Arial" w:hAnsi="Arial"/>
                <w:sz w:val="18"/>
                <w:szCs w:val="18"/>
                <w:b w:val="1"/>
                <w:bCs w:val="1"/>
                <w:color w:val="auto"/>
              </w:rPr>
              <w:t>2,262</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62"/>
              <w:spacing w:after="0"/>
              <w:rPr>
                <w:sz w:val="20"/>
                <w:szCs w:val="20"/>
                <w:color w:val="auto"/>
              </w:rPr>
            </w:pPr>
            <w:r>
              <w:rPr>
                <w:rFonts w:ascii="Arial" w:cs="Arial" w:eastAsia="Arial" w:hAnsi="Arial"/>
                <w:sz w:val="18"/>
                <w:szCs w:val="18"/>
                <w:b w:val="1"/>
                <w:bCs w:val="1"/>
                <w:color w:val="auto"/>
              </w:rPr>
              <w:t>152</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1"/>
              <w:spacing w:after="0"/>
              <w:rPr>
                <w:sz w:val="20"/>
                <w:szCs w:val="20"/>
                <w:color w:val="auto"/>
              </w:rPr>
            </w:pPr>
            <w:r>
              <w:rPr>
                <w:rFonts w:ascii="Arial" w:cs="Arial" w:eastAsia="Arial" w:hAnsi="Arial"/>
                <w:sz w:val="18"/>
                <w:szCs w:val="18"/>
                <w:b w:val="1"/>
                <w:bCs w:val="1"/>
                <w:color w:val="auto"/>
              </w:rPr>
              <w:t>2,414</w:t>
            </w:r>
          </w:p>
        </w:tc>
        <w:tc>
          <w:tcPr>
            <w:tcW w:w="220" w:type="dxa"/>
            <w:vAlign w:val="bottom"/>
            <w:tcBorders>
              <w:bottom w:val="single" w:sz="8" w:color="E5E5E5"/>
            </w:tcBorders>
            <w:shd w:val="clear" w:color="auto" w:fill="E5E5E5"/>
          </w:tcPr>
          <w:p>
            <w:pPr>
              <w:spacing w:after="0"/>
              <w:rPr>
                <w:sz w:val="20"/>
                <w:szCs w:val="20"/>
                <w:color w:val="auto"/>
              </w:rPr>
            </w:pPr>
          </w:p>
        </w:tc>
        <w:tc>
          <w:tcPr>
            <w:tcW w:w="820" w:type="dxa"/>
            <w:vAlign w:val="bottom"/>
            <w:tcBorders>
              <w:bottom w:val="single" w:sz="8" w:color="auto"/>
            </w:tcBorders>
            <w:shd w:val="clear" w:color="auto" w:fill="E5E5E5"/>
          </w:tcPr>
          <w:p>
            <w:pPr>
              <w:jc w:val="right"/>
              <w:ind w:right="60"/>
              <w:spacing w:after="0"/>
              <w:rPr>
                <w:sz w:val="20"/>
                <w:szCs w:val="20"/>
                <w:color w:val="auto"/>
              </w:rPr>
            </w:pPr>
            <w:r>
              <w:rPr>
                <w:rFonts w:ascii="Arial" w:cs="Arial" w:eastAsia="Arial" w:hAnsi="Arial"/>
                <w:sz w:val="18"/>
                <w:szCs w:val="18"/>
                <w:b w:val="1"/>
                <w:bCs w:val="1"/>
                <w:color w:val="auto"/>
              </w:rPr>
              <w:t>$  613</w:t>
            </w:r>
          </w:p>
        </w:tc>
        <w:tc>
          <w:tcPr>
            <w:tcW w:w="22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shd w:val="clear" w:color="auto" w:fill="E5E5E5"/>
          </w:tcPr>
          <w:p>
            <w:pPr>
              <w:jc w:val="right"/>
              <w:ind w:right="57"/>
              <w:spacing w:after="0"/>
              <w:rPr>
                <w:sz w:val="20"/>
                <w:szCs w:val="20"/>
                <w:color w:val="auto"/>
              </w:rPr>
            </w:pPr>
            <w:r>
              <w:rPr>
                <w:rFonts w:ascii="Arial" w:cs="Arial" w:eastAsia="Arial" w:hAnsi="Arial"/>
                <w:sz w:val="18"/>
                <w:szCs w:val="18"/>
                <w:b w:val="1"/>
                <w:bCs w:val="1"/>
                <w:color w:val="auto"/>
              </w:rPr>
              <w:t>1,753</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21"/>
              <w:spacing w:after="0"/>
              <w:rPr>
                <w:sz w:val="20"/>
                <w:szCs w:val="20"/>
                <w:color w:val="auto"/>
              </w:rPr>
            </w:pPr>
            <w:r>
              <w:rPr>
                <w:rFonts w:ascii="Arial" w:cs="Arial" w:eastAsia="Arial" w:hAnsi="Arial"/>
                <w:sz w:val="18"/>
                <w:szCs w:val="18"/>
                <w:b w:val="1"/>
                <w:bCs w:val="1"/>
                <w:color w:val="auto"/>
              </w:rPr>
              <w:t>2,366</w:t>
            </w:r>
          </w:p>
        </w:tc>
        <w:tc>
          <w:tcPr>
            <w:tcW w:w="220" w:type="dxa"/>
            <w:vAlign w:val="bottom"/>
            <w:tcBorders>
              <w:bottom w:val="single" w:sz="8" w:color="E5E5E5"/>
            </w:tcBorders>
            <w:shd w:val="clear" w:color="auto" w:fill="E5E5E5"/>
          </w:tcPr>
          <w:p>
            <w:pPr>
              <w:spacing w:after="0"/>
              <w:rPr>
                <w:sz w:val="20"/>
                <w:szCs w:val="20"/>
                <w:color w:val="auto"/>
              </w:rPr>
            </w:pP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177"/>
              <w:spacing w:after="0"/>
              <w:rPr>
                <w:sz w:val="20"/>
                <w:szCs w:val="20"/>
                <w:color w:val="auto"/>
              </w:rPr>
            </w:pPr>
            <w:r>
              <w:rPr>
                <w:rFonts w:ascii="Arial" w:cs="Arial" w:eastAsia="Arial" w:hAnsi="Arial"/>
                <w:sz w:val="18"/>
                <w:szCs w:val="18"/>
                <w:b w:val="1"/>
                <w:bCs w:val="1"/>
                <w:color w:val="auto"/>
              </w:rPr>
              <w:t>48</w:t>
            </w:r>
          </w:p>
        </w:tc>
        <w:tc>
          <w:tcPr>
            <w:tcW w:w="8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right="20" w:hanging="332"/>
        <w:spacing w:after="0" w:line="239"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Actual amounts include the results of operations for the Comcast Content Business for the three and nine months ended September 30, 2011 and 2010 and the results of operations for the NBCUniversal acquired businesses for the three months ended September 30, 2011 and for the period January 29 through September 30, 2011.</w:t>
      </w:r>
    </w:p>
    <w:p>
      <w:pPr>
        <w:spacing w:after="0" w:line="43" w:lineRule="exact"/>
        <w:rPr>
          <w:rFonts w:ascii="Arial" w:cs="Arial" w:eastAsia="Arial" w:hAnsi="Arial"/>
          <w:sz w:val="14"/>
          <w:szCs w:val="14"/>
          <w:color w:val="auto"/>
        </w:rPr>
      </w:pPr>
    </w:p>
    <w:p>
      <w:pPr>
        <w:jc w:val="both"/>
        <w:ind w:left="340" w:hanging="332"/>
        <w:spacing w:after="0" w:line="278" w:lineRule="auto"/>
        <w:tabs>
          <w:tab w:leader="none" w:pos="3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Pro forma amounts include the results of operations for the NBCUniversal acquired businesses for the period January 1, 2011 through January 28, 2011 and for the three and nine months ended September 30, 2010. These amounts also include pro forma adjustments as if the NBCUniversal transaction had occurred on January 1, 2010, including the effects of acquisition accounting and the elimination of operating costs and expenses directly related to the transaction, but do not include adjustments for costs related to integration activities, cost savings or synergies that have been or may be achieved by the combined businesses. Pro forma amounts are not necessarily indicative of what the results would have been had we operated the businesses since January 1, 2010.</w:t>
      </w:r>
    </w:p>
    <w:p>
      <w:pPr>
        <w:spacing w:after="0" w:line="22" w:lineRule="exact"/>
        <w:rPr>
          <w:rFonts w:ascii="Arial" w:cs="Arial" w:eastAsia="Arial" w:hAnsi="Arial"/>
          <w:sz w:val="12"/>
          <w:szCs w:val="12"/>
          <w:color w:val="auto"/>
        </w:rPr>
      </w:pPr>
    </w:p>
    <w:p>
      <w:pPr>
        <w:ind w:left="340" w:hanging="332"/>
        <w:spacing w:after="0" w:line="239"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Pro forma combined amounts represent our pro forma results of operations as if the NBCUniversal transaction had occurred on January 1, 2010 but are not necessarily indicative of what the results would have been had we operated the businesses since January 1, 2010.</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Networks Segment—Revenue</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Cable Networks segment primarily generates revenue from the distribution of our cable programming content and from the sale of advertising. Distribution revenue is generated from distribution agreements with multichannel video providers. Advertising revenue is generated from the sale of commercial time on our national and international cable networks and related digital media properties. We also generate television production revenue from the exploitation of our owned programming.</w:t>
      </w:r>
    </w:p>
    <w:p>
      <w:pPr>
        <w:spacing w:after="0" w:line="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Distribution revenue is affected by the number of subscribers receiving our cable networks and the fees we charge per subscriber for each of our cable networks. Our advertising revenue depends on audience ratings, the value of the demographics of our cable networks’ viewers to advertisers and the number of advertising units we can place in our cable networks’ programming schedules. Advertising revenue is affected by the strength of the advertising market, general economic conditions and the success of our programming. Our U.S. advertising revenue is also generally higher in the second and fourth quarters of each year due to seasonal increases in consumer advertising.</w:t>
      </w:r>
    </w:p>
    <w:p>
      <w:pPr>
        <w:spacing w:after="0" w:line="4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Distribution revenue for the three months ended September 30, 2011 and pro forma combined distribution revenue for the nine months ended September 30, 2011 increased compared to the same periods in 2010 primarily due to rate increases and increases in the number of subscribers to our cable networks. Advertising revenue for the three months ended September 30, 2011 and pro forma combined advertising revenue for the nine months ended September 30, 2011 increased compared to the same periods in 2010 primarily due to increases in the price of advertising units sold. Other revenue for the three months ended September 30, 2011 and pro forma combined other revenue for the nine months ended September 30, 2011 increased compared to the same periods in 2010 primarily due to increases in the licensing of our owned content from our cable production studio. For both the three and nine months ended September 30, 2011, approximately 13% of our Cable Networks segment pro forma combined revenue was generated from our Cable Communications segment. These amounts are eliminated in our consolidated financial statements but are included in the amounts presented above.</w:t>
      </w:r>
    </w:p>
    <w:p>
      <w:pPr>
        <w:spacing w:after="0" w:line="2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current collective bargaining agreement with the National Basketball Association (“NBA”) players’ union expired at the end of the 2010-11 season. If the NBA player lockout continues, the number of NBA games that we broadcast on our cable networks, and our revenue from these broadcasts, may be affected.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Networks Segment—Operating Costs and Expenses</w:t>
      </w:r>
    </w:p>
    <w:p>
      <w:pPr>
        <w:spacing w:after="0" w:line="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Cable Networks segment operating costs and expenses consist primarily of programming and production costs, advertising and marketing costs, and other operating costs and expenses. Programming and production costs include the amortization of owned and acquired programming, direct production costs, residual and participation payments, production overhead, and on-air talent costs. Advertising and marketing costs primarily consist of the costs incurred in promoting our cable networks, as well as in the replication, distribution and marketing costs of DVDs and Blu-ray discs (together, “DVDs”), costs associated with digital media, and the costs of licensing our programming to third-party networks and other media platforms. Other operating costs and expenses include salaries, employee benefits, rent and other overhead costs.</w:t>
      </w:r>
    </w:p>
    <w:p>
      <w:pPr>
        <w:spacing w:after="0" w:line="2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Operating costs and expenses for the three months ended September 30, 2011 and pro forma combined operating costs and expenses for the nine months ended September 30, 2011 increased compared to the same periods in 2010 primarily due to higher programming and production costs associated with an increase in the volume of original programming, and changes in estimates associated with the application of acquisition accounting. We have invested and expect to continue to invest in new programming that will cause our programming and production expenses to increase in the future.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Segment—Actual and Pro Forma Results of Operations</w:t>
      </w:r>
    </w:p>
    <w:p>
      <w:pPr>
        <w:spacing w:after="0" w:line="74"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Our Broadcast Television segment consists primarily of our U.S. broadcast networks, NBC and Telemundo; our 10 NBC and 15 Telemundo owned local television stations; our broadcast television production operations; and our related digital media properties, which consist primarily of brand-aligned websites.</w:t>
      </w:r>
    </w:p>
    <w:tbl>
      <w:tblPr>
        <w:tblLayout w:type="fixed"/>
        <w:tblInd w:w="0" w:type="dxa"/>
        <w:tblCellMar>
          <w:top w:w="0" w:type="dxa"/>
          <w:left w:w="0" w:type="dxa"/>
          <w:bottom w:w="0" w:type="dxa"/>
          <w:right w:w="0" w:type="dxa"/>
        </w:tblCellMar>
      </w:tblPr>
      <w:tr>
        <w:trPr>
          <w:trHeight w:val="149"/>
        </w:trPr>
        <w:tc>
          <w:tcPr>
            <w:tcW w:w="5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vMerge w:val="restart"/>
          </w:tcPr>
          <w:p>
            <w:pPr>
              <w:jc w:val="center"/>
              <w:ind w:left="142"/>
              <w:spacing w:after="0"/>
              <w:rPr>
                <w:sz w:val="20"/>
                <w:szCs w:val="20"/>
                <w:color w:val="auto"/>
              </w:rPr>
            </w:pPr>
            <w:r>
              <w:rPr>
                <w:rFonts w:ascii="Arial" w:cs="Arial" w:eastAsia="Arial" w:hAnsi="Arial"/>
                <w:sz w:val="14"/>
                <w:szCs w:val="14"/>
                <w:color w:val="auto"/>
                <w:w w:val="87"/>
              </w:rPr>
              <w:t>Actual</w:t>
            </w:r>
            <w:r>
              <w:rPr>
                <w:rFonts w:ascii="Arial" w:cs="Arial" w:eastAsia="Arial" w:hAnsi="Arial"/>
                <w:sz w:val="22"/>
                <w:szCs w:val="22"/>
                <w:color w:val="auto"/>
                <w:w w:val="87"/>
                <w:vertAlign w:val="superscript"/>
              </w:rPr>
              <w:t>(a)</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4"/>
            <w:vMerge w:val="restart"/>
          </w:tcPr>
          <w:p>
            <w:pPr>
              <w:jc w:val="center"/>
              <w:ind w:right="420"/>
              <w:spacing w:after="0"/>
              <w:rPr>
                <w:sz w:val="20"/>
                <w:szCs w:val="20"/>
                <w:color w:val="auto"/>
              </w:rPr>
            </w:pPr>
            <w:r>
              <w:rPr>
                <w:rFonts w:ascii="Arial" w:cs="Arial" w:eastAsia="Arial" w:hAnsi="Arial"/>
                <w:sz w:val="14"/>
                <w:szCs w:val="14"/>
                <w:color w:val="auto"/>
                <w:w w:val="85"/>
              </w:rPr>
              <w:t>Pro Forma</w:t>
            </w:r>
            <w:r>
              <w:rPr>
                <w:rFonts w:ascii="Arial" w:cs="Arial" w:eastAsia="Arial" w:hAnsi="Arial"/>
                <w:sz w:val="22"/>
                <w:szCs w:val="22"/>
                <w:color w:val="auto"/>
                <w:w w:val="85"/>
                <w:vertAlign w:val="superscript"/>
              </w:rPr>
              <w:t>(b)</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right"/>
              <w:ind w:right="575"/>
              <w:spacing w:after="0" w:line="149" w:lineRule="exact"/>
              <w:rPr>
                <w:sz w:val="20"/>
                <w:szCs w:val="20"/>
                <w:color w:val="auto"/>
              </w:rPr>
            </w:pPr>
            <w:r>
              <w:rPr>
                <w:rFonts w:ascii="Arial" w:cs="Arial" w:eastAsia="Arial" w:hAnsi="Arial"/>
                <w:sz w:val="14"/>
                <w:szCs w:val="14"/>
                <w:color w:val="auto"/>
              </w:rPr>
              <w:t>Pro Forma</w:t>
            </w:r>
          </w:p>
        </w:tc>
        <w:tc>
          <w:tcPr>
            <w:tcW w:w="0" w:type="dxa"/>
            <w:vAlign w:val="bottom"/>
          </w:tcPr>
          <w:p>
            <w:pPr>
              <w:spacing w:after="0"/>
              <w:rPr>
                <w:sz w:val="1"/>
                <w:szCs w:val="1"/>
                <w:color w:val="auto"/>
              </w:rPr>
            </w:pPr>
          </w:p>
        </w:tc>
      </w:tr>
      <w:tr>
        <w:trPr>
          <w:trHeight w:val="159"/>
        </w:trPr>
        <w:tc>
          <w:tcPr>
            <w:tcW w:w="5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gridSpan w:val="3"/>
          </w:tcPr>
          <w:p>
            <w:pPr>
              <w:ind w:left="240"/>
              <w:spacing w:after="0" w:line="159" w:lineRule="exact"/>
              <w:rPr>
                <w:sz w:val="20"/>
                <w:szCs w:val="20"/>
                <w:color w:val="auto"/>
              </w:rPr>
            </w:pPr>
            <w:r>
              <w:rPr>
                <w:rFonts w:ascii="Arial" w:cs="Arial" w:eastAsia="Arial" w:hAnsi="Arial"/>
                <w:sz w:val="14"/>
                <w:szCs w:val="14"/>
                <w:color w:val="auto"/>
              </w:rPr>
              <w:t>Increase/(Decrease)</w:t>
            </w:r>
          </w:p>
        </w:tc>
        <w:tc>
          <w:tcPr>
            <w:tcW w:w="0" w:type="dxa"/>
            <w:vAlign w:val="bottom"/>
          </w:tcPr>
          <w:p>
            <w:pPr>
              <w:spacing w:after="0"/>
              <w:rPr>
                <w:sz w:val="1"/>
                <w:szCs w:val="1"/>
                <w:color w:val="auto"/>
              </w:rPr>
            </w:pPr>
          </w:p>
        </w:tc>
      </w:tr>
      <w:tr>
        <w:trPr>
          <w:trHeight w:val="131"/>
        </w:trPr>
        <w:tc>
          <w:tcPr>
            <w:tcW w:w="5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left="142"/>
              <w:spacing w:after="0" w:line="131" w:lineRule="exact"/>
              <w:rPr>
                <w:sz w:val="20"/>
                <w:szCs w:val="20"/>
                <w:color w:val="auto"/>
              </w:rPr>
            </w:pPr>
            <w:r>
              <w:rPr>
                <w:rFonts w:ascii="Arial" w:cs="Arial" w:eastAsia="Arial" w:hAnsi="Arial"/>
                <w:sz w:val="14"/>
                <w:szCs w:val="14"/>
                <w:color w:val="auto"/>
                <w:w w:val="81"/>
              </w:rPr>
              <w:t>Three</w:t>
            </w:r>
          </w:p>
        </w:tc>
        <w:tc>
          <w:tcPr>
            <w:tcW w:w="1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ind w:right="196"/>
              <w:spacing w:after="0" w:line="131" w:lineRule="exact"/>
              <w:rPr>
                <w:sz w:val="20"/>
                <w:szCs w:val="20"/>
                <w:color w:val="auto"/>
              </w:rPr>
            </w:pPr>
            <w:r>
              <w:rPr>
                <w:rFonts w:ascii="Arial" w:cs="Arial" w:eastAsia="Arial" w:hAnsi="Arial"/>
                <w:sz w:val="14"/>
                <w:szCs w:val="14"/>
                <w:color w:val="auto"/>
                <w:w w:val="87"/>
              </w:rPr>
              <w:t>Three</w:t>
            </w:r>
          </w:p>
        </w:tc>
        <w:tc>
          <w:tcPr>
            <w:tcW w:w="3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left="142"/>
              <w:spacing w:after="0" w:line="149" w:lineRule="exact"/>
              <w:rPr>
                <w:sz w:val="20"/>
                <w:szCs w:val="20"/>
                <w:color w:val="auto"/>
              </w:rPr>
            </w:pPr>
            <w:r>
              <w:rPr>
                <w:rFonts w:ascii="Arial" w:cs="Arial" w:eastAsia="Arial" w:hAnsi="Arial"/>
                <w:sz w:val="14"/>
                <w:szCs w:val="14"/>
                <w:color w:val="auto"/>
                <w:w w:val="91"/>
              </w:rPr>
              <w:t>Months</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4"/>
          </w:tcPr>
          <w:p>
            <w:pPr>
              <w:jc w:val="center"/>
              <w:ind w:right="420"/>
              <w:spacing w:after="0" w:line="149" w:lineRule="exact"/>
              <w:rPr>
                <w:sz w:val="20"/>
                <w:szCs w:val="20"/>
                <w:color w:val="auto"/>
              </w:rPr>
            </w:pPr>
            <w:r>
              <w:rPr>
                <w:rFonts w:ascii="Arial" w:cs="Arial" w:eastAsia="Arial" w:hAnsi="Arial"/>
                <w:sz w:val="14"/>
                <w:szCs w:val="14"/>
                <w:color w:val="auto"/>
                <w:w w:val="87"/>
              </w:rPr>
              <w:t>Months</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left="142"/>
              <w:spacing w:after="0" w:line="149" w:lineRule="exact"/>
              <w:rPr>
                <w:sz w:val="20"/>
                <w:szCs w:val="20"/>
                <w:color w:val="auto"/>
              </w:rPr>
            </w:pPr>
            <w:r>
              <w:rPr>
                <w:rFonts w:ascii="Arial" w:cs="Arial" w:eastAsia="Arial" w:hAnsi="Arial"/>
                <w:sz w:val="14"/>
                <w:szCs w:val="14"/>
                <w:color w:val="auto"/>
                <w:w w:val="83"/>
              </w:rPr>
              <w:t>Ended</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tcPr>
          <w:p>
            <w:pPr>
              <w:jc w:val="center"/>
              <w:ind w:right="620"/>
              <w:spacing w:after="0" w:line="149" w:lineRule="exact"/>
              <w:rPr>
                <w:sz w:val="20"/>
                <w:szCs w:val="20"/>
                <w:color w:val="auto"/>
              </w:rPr>
            </w:pPr>
            <w:r>
              <w:rPr>
                <w:rFonts w:ascii="Arial" w:cs="Arial" w:eastAsia="Arial" w:hAnsi="Arial"/>
                <w:sz w:val="14"/>
                <w:szCs w:val="14"/>
                <w:color w:val="auto"/>
                <w:w w:val="88"/>
              </w:rPr>
              <w:t>Ended</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left="142"/>
              <w:spacing w:after="0" w:line="149" w:lineRule="exact"/>
              <w:rPr>
                <w:sz w:val="20"/>
                <w:szCs w:val="20"/>
                <w:color w:val="auto"/>
              </w:rPr>
            </w:pPr>
            <w:r>
              <w:rPr>
                <w:rFonts w:ascii="Arial" w:cs="Arial" w:eastAsia="Arial" w:hAnsi="Arial"/>
                <w:sz w:val="14"/>
                <w:szCs w:val="14"/>
                <w:color w:val="auto"/>
                <w:w w:val="84"/>
              </w:rPr>
              <w:t>September 30,</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4"/>
          </w:tcPr>
          <w:p>
            <w:pPr>
              <w:jc w:val="center"/>
              <w:ind w:right="440"/>
              <w:spacing w:after="0" w:line="149" w:lineRule="exact"/>
              <w:rPr>
                <w:sz w:val="20"/>
                <w:szCs w:val="20"/>
                <w:color w:val="auto"/>
              </w:rPr>
            </w:pPr>
            <w:r>
              <w:rPr>
                <w:rFonts w:ascii="Arial" w:cs="Arial" w:eastAsia="Arial" w:hAnsi="Arial"/>
                <w:sz w:val="14"/>
                <w:szCs w:val="14"/>
                <w:color w:val="auto"/>
                <w:w w:val="84"/>
              </w:rPr>
              <w:t>September 30,</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2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center"/>
              <w:ind w:left="142"/>
              <w:spacing w:after="0" w:line="159" w:lineRule="exact"/>
              <w:rPr>
                <w:sz w:val="20"/>
                <w:szCs w:val="20"/>
                <w:color w:val="auto"/>
              </w:rPr>
            </w:pPr>
            <w:r>
              <w:rPr>
                <w:rFonts w:ascii="Arial" w:cs="Arial" w:eastAsia="Arial" w:hAnsi="Arial"/>
                <w:sz w:val="14"/>
                <w:szCs w:val="14"/>
                <w:color w:val="auto"/>
                <w:w w:val="83"/>
              </w:rPr>
              <w:t>2011</w:t>
            </w:r>
          </w:p>
        </w:tc>
        <w:tc>
          <w:tcPr>
            <w:tcW w:w="140" w:type="dxa"/>
            <w:vAlign w:val="bottom"/>
            <w:tcBorders>
              <w:bottom w:val="single" w:sz="8" w:color="auto"/>
            </w:tcBorders>
          </w:tcPr>
          <w:p>
            <w:pPr>
              <w:spacing w:after="0"/>
              <w:rPr>
                <w:sz w:val="13"/>
                <w:szCs w:val="13"/>
                <w:color w:val="auto"/>
              </w:rPr>
            </w:pPr>
          </w:p>
        </w:tc>
        <w:tc>
          <w:tcPr>
            <w:tcW w:w="320" w:type="dxa"/>
            <w:vAlign w:val="bottom"/>
            <w:tcBorders>
              <w:bottom w:val="single" w:sz="8" w:color="E5E5E5"/>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jc w:val="center"/>
              <w:spacing w:after="0" w:line="159" w:lineRule="exact"/>
              <w:rPr>
                <w:sz w:val="20"/>
                <w:szCs w:val="20"/>
                <w:color w:val="auto"/>
              </w:rPr>
            </w:pPr>
            <w:r>
              <w:rPr>
                <w:rFonts w:ascii="Arial" w:cs="Arial" w:eastAsia="Arial" w:hAnsi="Arial"/>
                <w:sz w:val="14"/>
                <w:szCs w:val="14"/>
                <w:color w:val="auto"/>
                <w:w w:val="89"/>
              </w:rPr>
              <w:t>2010</w:t>
            </w:r>
          </w:p>
        </w:tc>
        <w:tc>
          <w:tcPr>
            <w:tcW w:w="340" w:type="dxa"/>
            <w:vAlign w:val="bottom"/>
            <w:tcBorders>
              <w:bottom w:val="single" w:sz="8" w:color="E5E5E5"/>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44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ind w:right="415"/>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52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6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440"/>
              <w:spacing w:after="0"/>
              <w:rPr>
                <w:sz w:val="20"/>
                <w:szCs w:val="20"/>
                <w:color w:val="auto"/>
              </w:rPr>
            </w:pPr>
            <w:r>
              <w:rPr>
                <w:rFonts w:ascii="Arial" w:cs="Arial" w:eastAsia="Arial" w:hAnsi="Arial"/>
                <w:sz w:val="18"/>
                <w:szCs w:val="18"/>
                <w:color w:val="auto"/>
              </w:rPr>
              <w:t>Advertising</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center"/>
              <w:ind w:right="122"/>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79"/>
              </w:rPr>
              <w:t>974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8"/>
                <w:szCs w:val="18"/>
                <w:color w:val="auto"/>
                <w:w w:val="79"/>
              </w:rPr>
              <w:t>$</w:t>
            </w:r>
          </w:p>
        </w:tc>
        <w:tc>
          <w:tcPr>
            <w:tcW w:w="3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975</w:t>
            </w:r>
          </w:p>
        </w:tc>
        <w:tc>
          <w:tcPr>
            <w:tcW w:w="340" w:type="dxa"/>
            <w:vAlign w:val="bottom"/>
          </w:tcPr>
          <w:p>
            <w:pPr>
              <w:spacing w:after="0"/>
              <w:rPr>
                <w:sz w:val="18"/>
                <w:szCs w:val="18"/>
                <w:color w:val="auto"/>
              </w:rPr>
            </w:pPr>
          </w:p>
        </w:tc>
        <w:tc>
          <w:tcPr>
            <w:tcW w:w="46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20"/>
              <w:spacing w:after="0"/>
              <w:rPr>
                <w:sz w:val="20"/>
                <w:szCs w:val="20"/>
                <w:color w:val="auto"/>
              </w:rPr>
            </w:pPr>
            <w:r>
              <w:rPr>
                <w:rFonts w:ascii="Arial" w:cs="Arial" w:eastAsia="Arial" w:hAnsi="Arial"/>
                <w:sz w:val="18"/>
                <w:szCs w:val="18"/>
                <w:color w:val="auto"/>
              </w:rPr>
              <w:t>(1)</w:t>
            </w: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2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Content licensing</w:t>
            </w:r>
          </w:p>
        </w:tc>
        <w:tc>
          <w:tcPr>
            <w:tcW w:w="26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399</w:t>
            </w:r>
          </w:p>
        </w:tc>
        <w:tc>
          <w:tcPr>
            <w:tcW w:w="1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3"/>
              </w:rPr>
              <w:t>343</w:t>
            </w:r>
          </w:p>
        </w:tc>
        <w:tc>
          <w:tcPr>
            <w:tcW w:w="34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280"/>
              <w:spacing w:after="0"/>
              <w:rPr>
                <w:sz w:val="20"/>
                <w:szCs w:val="20"/>
                <w:color w:val="auto"/>
              </w:rPr>
            </w:pPr>
            <w:r>
              <w:rPr>
                <w:rFonts w:ascii="Arial" w:cs="Arial" w:eastAsia="Arial" w:hAnsi="Arial"/>
                <w:sz w:val="18"/>
                <w:szCs w:val="18"/>
                <w:color w:val="auto"/>
                <w:w w:val="99"/>
              </w:rPr>
              <w:t>56</w:t>
            </w:r>
          </w:p>
        </w:tc>
        <w:tc>
          <w:tcPr>
            <w:tcW w:w="88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52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138</w:t>
            </w: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E5E5E5"/>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150</w:t>
            </w:r>
          </w:p>
        </w:tc>
        <w:tc>
          <w:tcPr>
            <w:tcW w:w="340" w:type="dxa"/>
            <w:vAlign w:val="bottom"/>
            <w:tcBorders>
              <w:bottom w:val="single" w:sz="8" w:color="E5E5E5"/>
            </w:tcBorders>
          </w:tcPr>
          <w:p>
            <w:pPr>
              <w:spacing w:after="0"/>
              <w:rPr>
                <w:sz w:val="18"/>
                <w:szCs w:val="18"/>
                <w:color w:val="auto"/>
              </w:rPr>
            </w:pPr>
          </w:p>
        </w:tc>
        <w:tc>
          <w:tcPr>
            <w:tcW w:w="10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(12)</w:t>
            </w:r>
          </w:p>
        </w:tc>
        <w:tc>
          <w:tcPr>
            <w:tcW w:w="8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0"/>
        </w:trPr>
        <w:tc>
          <w:tcPr>
            <w:tcW w:w="52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104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1,511</w:t>
            </w:r>
          </w:p>
        </w:tc>
        <w:tc>
          <w:tcPr>
            <w:tcW w:w="1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880" w:type="dxa"/>
            <w:vAlign w:val="bottom"/>
            <w:gridSpan w:val="3"/>
            <w:shd w:val="clear" w:color="auto" w:fill="E5E5E5"/>
          </w:tcPr>
          <w:p>
            <w:pPr>
              <w:jc w:val="right"/>
              <w:spacing w:after="0"/>
              <w:rPr>
                <w:sz w:val="20"/>
                <w:szCs w:val="20"/>
                <w:color w:val="auto"/>
              </w:rPr>
            </w:pPr>
            <w:r>
              <w:rPr>
                <w:rFonts w:ascii="Arial" w:cs="Arial" w:eastAsia="Arial" w:hAnsi="Arial"/>
                <w:sz w:val="18"/>
                <w:szCs w:val="18"/>
                <w:color w:val="auto"/>
              </w:rPr>
              <w:t>1,468</w:t>
            </w:r>
          </w:p>
        </w:tc>
        <w:tc>
          <w:tcPr>
            <w:tcW w:w="34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280"/>
              <w:spacing w:after="0"/>
              <w:rPr>
                <w:sz w:val="20"/>
                <w:szCs w:val="20"/>
                <w:color w:val="auto"/>
              </w:rPr>
            </w:pPr>
            <w:r>
              <w:rPr>
                <w:rFonts w:ascii="Arial" w:cs="Arial" w:eastAsia="Arial" w:hAnsi="Arial"/>
                <w:sz w:val="18"/>
                <w:szCs w:val="18"/>
                <w:color w:val="auto"/>
                <w:w w:val="99"/>
              </w:rPr>
              <w:t>43</w:t>
            </w:r>
          </w:p>
        </w:tc>
        <w:tc>
          <w:tcPr>
            <w:tcW w:w="88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1,518</w:t>
            </w: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E5E5E5"/>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1,398</w:t>
            </w:r>
          </w:p>
        </w:tc>
        <w:tc>
          <w:tcPr>
            <w:tcW w:w="340" w:type="dxa"/>
            <w:vAlign w:val="bottom"/>
            <w:tcBorders>
              <w:bottom w:val="single" w:sz="8" w:color="E5E5E5"/>
            </w:tcBorders>
          </w:tcPr>
          <w:p>
            <w:pPr>
              <w:spacing w:after="0"/>
              <w:rPr>
                <w:sz w:val="18"/>
                <w:szCs w:val="18"/>
                <w:color w:val="auto"/>
              </w:rPr>
            </w:pPr>
          </w:p>
        </w:tc>
        <w:tc>
          <w:tcPr>
            <w:tcW w:w="104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color w:val="auto"/>
              </w:rPr>
              <w:t>120</w:t>
            </w:r>
          </w:p>
        </w:tc>
        <w:tc>
          <w:tcPr>
            <w:tcW w:w="88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7"/>
        </w:trPr>
        <w:tc>
          <w:tcPr>
            <w:tcW w:w="52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2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spacing w:after="0"/>
              <w:rPr>
                <w:sz w:val="18"/>
                <w:szCs w:val="18"/>
                <w:color w:val="auto"/>
              </w:rPr>
            </w:pPr>
          </w:p>
        </w:tc>
        <w:tc>
          <w:tcPr>
            <w:tcW w:w="160" w:type="dxa"/>
            <w:vAlign w:val="bottom"/>
            <w:tcBorders>
              <w:bottom w:val="single" w:sz="8" w:color="auto"/>
            </w:tcBorders>
            <w:shd w:val="clear" w:color="auto" w:fill="E5E5E5"/>
          </w:tcPr>
          <w:p>
            <w:pPr>
              <w:spacing w:after="0"/>
              <w:rPr>
                <w:sz w:val="18"/>
                <w:szCs w:val="18"/>
                <w:color w:val="auto"/>
              </w:rPr>
            </w:pPr>
          </w:p>
        </w:tc>
        <w:tc>
          <w:tcPr>
            <w:tcW w:w="6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center"/>
              <w:ind w:right="122"/>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bottom w:val="single" w:sz="8" w:color="auto"/>
            </w:tcBorders>
            <w:gridSpan w:val="2"/>
            <w:shd w:val="clear" w:color="auto" w:fill="E5E5E5"/>
          </w:tcPr>
          <w:p>
            <w:pPr>
              <w:jc w:val="right"/>
              <w:ind w:right="18"/>
              <w:spacing w:after="0"/>
              <w:rPr>
                <w:sz w:val="20"/>
                <w:szCs w:val="20"/>
                <w:color w:val="auto"/>
              </w:rPr>
            </w:pPr>
            <w:r>
              <w:rPr>
                <w:rFonts w:ascii="Arial" w:cs="Arial" w:eastAsia="Arial" w:hAnsi="Arial"/>
                <w:sz w:val="18"/>
                <w:szCs w:val="18"/>
                <w:b w:val="1"/>
                <w:bCs w:val="1"/>
                <w:color w:val="auto"/>
              </w:rPr>
              <w:t>(7)</w:t>
            </w:r>
          </w:p>
        </w:tc>
        <w:tc>
          <w:tcPr>
            <w:tcW w:w="320" w:type="dxa"/>
            <w:vAlign w:val="bottom"/>
            <w:tcBorders>
              <w:bottom w:val="single" w:sz="8" w:color="E5E5E5"/>
            </w:tcBorders>
            <w:shd w:val="clear" w:color="auto" w:fill="E5E5E5"/>
          </w:tcPr>
          <w:p>
            <w:pPr>
              <w:spacing w:after="0"/>
              <w:rPr>
                <w:sz w:val="18"/>
                <w:szCs w:val="18"/>
                <w:color w:val="auto"/>
              </w:rPr>
            </w:pPr>
          </w:p>
        </w:tc>
        <w:tc>
          <w:tcPr>
            <w:tcW w:w="300" w:type="dxa"/>
            <w:vAlign w:val="bottom"/>
            <w:tcBorders>
              <w:bottom w:val="single" w:sz="8" w:color="auto"/>
            </w:tcBorders>
            <w:shd w:val="clear" w:color="auto" w:fill="E5E5E5"/>
          </w:tcPr>
          <w:p>
            <w:pPr>
              <w:spacing w:after="0"/>
              <w:rPr>
                <w:sz w:val="18"/>
                <w:szCs w:val="18"/>
                <w:color w:val="auto"/>
              </w:rPr>
            </w:pPr>
          </w:p>
        </w:tc>
        <w:tc>
          <w:tcPr>
            <w:tcW w:w="200" w:type="dxa"/>
            <w:vAlign w:val="bottom"/>
            <w:tcBorders>
              <w:bottom w:val="single" w:sz="8" w:color="auto"/>
            </w:tcBorders>
            <w:shd w:val="clear" w:color="auto" w:fill="E5E5E5"/>
          </w:tcPr>
          <w:p>
            <w:pPr>
              <w:jc w:val="right"/>
              <w:ind w:right="21"/>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70</w:t>
            </w:r>
          </w:p>
        </w:tc>
        <w:tc>
          <w:tcPr>
            <w:tcW w:w="340" w:type="dxa"/>
            <w:vAlign w:val="bottom"/>
            <w:tcBorders>
              <w:bottom w:val="single" w:sz="8" w:color="E5E5E5"/>
            </w:tcBorders>
            <w:shd w:val="clear" w:color="auto" w:fill="E5E5E5"/>
          </w:tcPr>
          <w:p>
            <w:pPr>
              <w:spacing w:after="0"/>
              <w:rPr>
                <w:sz w:val="18"/>
                <w:szCs w:val="18"/>
                <w:color w:val="auto"/>
              </w:rPr>
            </w:pPr>
          </w:p>
        </w:tc>
        <w:tc>
          <w:tcPr>
            <w:tcW w:w="1040" w:type="dxa"/>
            <w:vAlign w:val="bottom"/>
            <w:tcBorders>
              <w:bottom w:val="single" w:sz="8" w:color="auto"/>
            </w:tcBorders>
            <w:gridSpan w:val="3"/>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 (77)</w:t>
            </w:r>
          </w:p>
        </w:tc>
        <w:tc>
          <w:tcPr>
            <w:tcW w:w="8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(109.6)%</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w w:val="89"/>
              </w:rPr>
              <w:t>2011</w:t>
            </w: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w w:val="83"/>
              </w:rPr>
              <w:t>2010</w:t>
            </w:r>
          </w:p>
        </w:tc>
        <w:tc>
          <w:tcPr>
            <w:tcW w:w="200" w:type="dxa"/>
            <w:vAlign w:val="bottom"/>
          </w:tcPr>
          <w:p>
            <w:pPr>
              <w:spacing w:after="0"/>
              <w:rPr>
                <w:sz w:val="18"/>
                <w:szCs w:val="18"/>
                <w:color w:val="auto"/>
              </w:rPr>
            </w:pPr>
          </w:p>
        </w:tc>
        <w:tc>
          <w:tcPr>
            <w:tcW w:w="1720" w:type="dxa"/>
            <w:vAlign w:val="bottom"/>
            <w:gridSpan w:val="3"/>
            <w:vMerge w:val="restart"/>
          </w:tcPr>
          <w:p>
            <w:pPr>
              <w:ind w:left="240"/>
              <w:spacing w:after="0"/>
              <w:rPr>
                <w:sz w:val="20"/>
                <w:szCs w:val="20"/>
                <w:color w:val="auto"/>
              </w:rPr>
            </w:pPr>
            <w:r>
              <w:rPr>
                <w:rFonts w:ascii="Arial" w:cs="Arial" w:eastAsia="Arial" w:hAnsi="Arial"/>
                <w:sz w:val="14"/>
                <w:szCs w:val="14"/>
                <w:color w:val="auto"/>
              </w:rPr>
              <w:t>Pro Forma Combined</w:t>
            </w:r>
          </w:p>
        </w:tc>
        <w:tc>
          <w:tcPr>
            <w:tcW w:w="0" w:type="dxa"/>
            <w:vAlign w:val="bottom"/>
          </w:tcPr>
          <w:p>
            <w:pPr>
              <w:spacing w:after="0"/>
              <w:rPr>
                <w:sz w:val="1"/>
                <w:szCs w:val="1"/>
                <w:color w:val="auto"/>
              </w:rPr>
            </w:pPr>
          </w:p>
        </w:tc>
      </w:tr>
      <w:tr>
        <w:trPr>
          <w:trHeight w:val="115"/>
        </w:trPr>
        <w:tc>
          <w:tcPr>
            <w:tcW w:w="5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vMerge w:val="restart"/>
          </w:tcPr>
          <w:p>
            <w:pPr>
              <w:jc w:val="center"/>
              <w:ind w:right="119"/>
              <w:spacing w:after="0"/>
              <w:rPr>
                <w:sz w:val="20"/>
                <w:szCs w:val="20"/>
                <w:color w:val="auto"/>
              </w:rPr>
            </w:pPr>
            <w:r>
              <w:rPr>
                <w:rFonts w:ascii="Arial" w:cs="Arial" w:eastAsia="Arial" w:hAnsi="Arial"/>
                <w:sz w:val="14"/>
                <w:szCs w:val="14"/>
                <w:color w:val="auto"/>
                <w:w w:val="84"/>
              </w:rPr>
              <w:t>Actual</w:t>
            </w:r>
            <w:r>
              <w:rPr>
                <w:rFonts w:ascii="Arial" w:cs="Arial" w:eastAsia="Arial" w:hAnsi="Arial"/>
                <w:sz w:val="22"/>
                <w:szCs w:val="22"/>
                <w:color w:val="auto"/>
                <w:w w:val="84"/>
                <w:vertAlign w:val="superscript"/>
              </w:rPr>
              <w:t>(a)</w:t>
            </w:r>
          </w:p>
        </w:tc>
        <w:tc>
          <w:tcPr>
            <w:tcW w:w="160" w:type="dxa"/>
            <w:vAlign w:val="bottom"/>
          </w:tcPr>
          <w:p>
            <w:pPr>
              <w:spacing w:after="0"/>
              <w:rPr>
                <w:sz w:val="10"/>
                <w:szCs w:val="10"/>
                <w:color w:val="auto"/>
              </w:rPr>
            </w:pPr>
          </w:p>
        </w:tc>
        <w:tc>
          <w:tcPr>
            <w:tcW w:w="820" w:type="dxa"/>
            <w:vAlign w:val="bottom"/>
            <w:gridSpan w:val="2"/>
            <w:vMerge w:val="restart"/>
          </w:tcPr>
          <w:p>
            <w:pPr>
              <w:jc w:val="center"/>
              <w:ind w:right="22"/>
              <w:spacing w:after="0"/>
              <w:rPr>
                <w:sz w:val="20"/>
                <w:szCs w:val="20"/>
                <w:color w:val="auto"/>
              </w:rPr>
            </w:pPr>
            <w:r>
              <w:rPr>
                <w:rFonts w:ascii="Arial" w:cs="Arial" w:eastAsia="Arial" w:hAnsi="Arial"/>
                <w:sz w:val="14"/>
                <w:szCs w:val="14"/>
                <w:color w:val="auto"/>
                <w:w w:val="85"/>
              </w:rPr>
              <w:t>Pro Forma</w:t>
            </w:r>
            <w:r>
              <w:rPr>
                <w:rFonts w:ascii="Arial" w:cs="Arial" w:eastAsia="Arial" w:hAnsi="Arial"/>
                <w:sz w:val="22"/>
                <w:szCs w:val="22"/>
                <w:color w:val="auto"/>
                <w:w w:val="85"/>
                <w:vertAlign w:val="superscript"/>
              </w:rPr>
              <w:t>(b)</w:t>
            </w:r>
          </w:p>
        </w:tc>
        <w:tc>
          <w:tcPr>
            <w:tcW w:w="280" w:type="dxa"/>
            <w:vAlign w:val="bottom"/>
          </w:tcPr>
          <w:p>
            <w:pPr>
              <w:spacing w:after="0"/>
              <w:rPr>
                <w:sz w:val="10"/>
                <w:szCs w:val="10"/>
                <w:color w:val="auto"/>
              </w:rPr>
            </w:pPr>
          </w:p>
        </w:tc>
        <w:tc>
          <w:tcPr>
            <w:tcW w:w="760" w:type="dxa"/>
            <w:vAlign w:val="bottom"/>
            <w:gridSpan w:val="3"/>
          </w:tcPr>
          <w:p>
            <w:pPr>
              <w:jc w:val="center"/>
              <w:ind w:right="180"/>
              <w:spacing w:after="0" w:line="115" w:lineRule="exact"/>
              <w:rPr>
                <w:sz w:val="20"/>
                <w:szCs w:val="20"/>
                <w:color w:val="auto"/>
              </w:rPr>
            </w:pPr>
            <w:r>
              <w:rPr>
                <w:rFonts w:ascii="Arial" w:cs="Arial" w:eastAsia="Arial" w:hAnsi="Arial"/>
                <w:sz w:val="12"/>
                <w:szCs w:val="12"/>
                <w:color w:val="auto"/>
              </w:rPr>
              <w:t>Pro Forma</w:t>
            </w:r>
          </w:p>
        </w:tc>
        <w:tc>
          <w:tcPr>
            <w:tcW w:w="200" w:type="dxa"/>
            <w:vAlign w:val="bottom"/>
          </w:tcPr>
          <w:p>
            <w:pPr>
              <w:spacing w:after="0"/>
              <w:rPr>
                <w:sz w:val="10"/>
                <w:szCs w:val="10"/>
                <w:color w:val="auto"/>
              </w:rPr>
            </w:pPr>
          </w:p>
        </w:tc>
        <w:tc>
          <w:tcPr>
            <w:tcW w:w="1020" w:type="dxa"/>
            <w:vAlign w:val="bottom"/>
            <w:gridSpan w:val="3"/>
            <w:vMerge w:val="restart"/>
          </w:tcPr>
          <w:p>
            <w:pPr>
              <w:jc w:val="center"/>
              <w:ind w:left="9"/>
              <w:spacing w:after="0"/>
              <w:rPr>
                <w:sz w:val="20"/>
                <w:szCs w:val="20"/>
                <w:color w:val="auto"/>
              </w:rPr>
            </w:pPr>
            <w:r>
              <w:rPr>
                <w:rFonts w:ascii="Arial" w:cs="Arial" w:eastAsia="Arial" w:hAnsi="Arial"/>
                <w:sz w:val="14"/>
                <w:szCs w:val="14"/>
                <w:color w:val="auto"/>
                <w:w w:val="83"/>
              </w:rPr>
              <w:t>Pro Forma</w:t>
            </w:r>
            <w:r>
              <w:rPr>
                <w:rFonts w:ascii="Arial" w:cs="Arial" w:eastAsia="Arial" w:hAnsi="Arial"/>
                <w:sz w:val="22"/>
                <w:szCs w:val="22"/>
                <w:color w:val="auto"/>
                <w:w w:val="83"/>
                <w:vertAlign w:val="superscript"/>
              </w:rPr>
              <w:t>(b)</w:t>
            </w:r>
          </w:p>
        </w:tc>
        <w:tc>
          <w:tcPr>
            <w:tcW w:w="200" w:type="dxa"/>
            <w:vAlign w:val="bottom"/>
          </w:tcPr>
          <w:p>
            <w:pPr>
              <w:spacing w:after="0"/>
              <w:rPr>
                <w:sz w:val="10"/>
                <w:szCs w:val="10"/>
                <w:color w:val="auto"/>
              </w:rPr>
            </w:pPr>
          </w:p>
        </w:tc>
        <w:tc>
          <w:tcPr>
            <w:tcW w:w="17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5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vMerge w:val="continue"/>
          </w:tcPr>
          <w:p>
            <w:pPr>
              <w:spacing w:after="0"/>
              <w:rPr>
                <w:sz w:val="15"/>
                <w:szCs w:val="15"/>
                <w:color w:val="auto"/>
              </w:rPr>
            </w:pPr>
          </w:p>
        </w:tc>
        <w:tc>
          <w:tcPr>
            <w:tcW w:w="1040" w:type="dxa"/>
            <w:vAlign w:val="bottom"/>
            <w:tcBorders>
              <w:bottom w:val="single" w:sz="8" w:color="auto"/>
            </w:tcBorders>
            <w:gridSpan w:val="4"/>
          </w:tcPr>
          <w:p>
            <w:pPr>
              <w:jc w:val="center"/>
              <w:ind w:left="40"/>
              <w:spacing w:after="0" w:line="176" w:lineRule="exact"/>
              <w:rPr>
                <w:sz w:val="20"/>
                <w:szCs w:val="20"/>
                <w:color w:val="auto"/>
              </w:rPr>
            </w:pPr>
            <w:r>
              <w:rPr>
                <w:rFonts w:ascii="Arial" w:cs="Arial" w:eastAsia="Arial" w:hAnsi="Arial"/>
                <w:sz w:val="13"/>
                <w:szCs w:val="13"/>
                <w:color w:val="auto"/>
                <w:w w:val="90"/>
              </w:rPr>
              <w:t>Combined</w:t>
            </w:r>
            <w:r>
              <w:rPr>
                <w:rFonts w:ascii="Arial" w:cs="Arial" w:eastAsia="Arial" w:hAnsi="Arial"/>
                <w:sz w:val="20"/>
                <w:szCs w:val="20"/>
                <w:color w:val="auto"/>
                <w:w w:val="90"/>
                <w:vertAlign w:val="superscript"/>
              </w:rPr>
              <w:t>(c)</w:t>
            </w:r>
          </w:p>
        </w:tc>
        <w:tc>
          <w:tcPr>
            <w:tcW w:w="200" w:type="dxa"/>
            <w:vAlign w:val="bottom"/>
          </w:tcPr>
          <w:p>
            <w:pPr>
              <w:spacing w:after="0"/>
              <w:rPr>
                <w:sz w:val="15"/>
                <w:szCs w:val="15"/>
                <w:color w:val="auto"/>
              </w:rPr>
            </w:pPr>
          </w:p>
        </w:tc>
        <w:tc>
          <w:tcPr>
            <w:tcW w:w="1020" w:type="dxa"/>
            <w:vAlign w:val="bottom"/>
            <w:tcBorders>
              <w:bottom w:val="single" w:sz="8" w:color="auto"/>
            </w:tcBorders>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right"/>
              <w:ind w:right="275"/>
              <w:spacing w:after="0"/>
              <w:rPr>
                <w:sz w:val="20"/>
                <w:szCs w:val="20"/>
                <w:color w:val="auto"/>
              </w:rPr>
            </w:pPr>
            <w:r>
              <w:rPr>
                <w:rFonts w:ascii="Arial" w:cs="Arial" w:eastAsia="Arial" w:hAnsi="Arial"/>
                <w:sz w:val="14"/>
                <w:szCs w:val="14"/>
                <w:color w:val="auto"/>
                <w:w w:val="85"/>
              </w:rPr>
              <w:t>Increase/(Decrease)</w:t>
            </w:r>
          </w:p>
        </w:tc>
        <w:tc>
          <w:tcPr>
            <w:tcW w:w="0" w:type="dxa"/>
            <w:vAlign w:val="bottom"/>
          </w:tcPr>
          <w:p>
            <w:pPr>
              <w:spacing w:after="0"/>
              <w:rPr>
                <w:sz w:val="1"/>
                <w:szCs w:val="1"/>
                <w:color w:val="auto"/>
              </w:rPr>
            </w:pPr>
          </w:p>
        </w:tc>
      </w:tr>
      <w:tr>
        <w:trPr>
          <w:trHeight w:val="131"/>
        </w:trPr>
        <w:tc>
          <w:tcPr>
            <w:tcW w:w="5200" w:type="dxa"/>
            <w:vAlign w:val="bottom"/>
          </w:tcPr>
          <w:p>
            <w:pPr>
              <w:spacing w:after="0"/>
              <w:rPr>
                <w:sz w:val="11"/>
                <w:szCs w:val="11"/>
                <w:color w:val="auto"/>
              </w:rPr>
            </w:pPr>
          </w:p>
        </w:tc>
        <w:tc>
          <w:tcPr>
            <w:tcW w:w="106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7"/>
              </w:rPr>
              <w:t>For the period</w:t>
            </w:r>
          </w:p>
        </w:tc>
        <w:tc>
          <w:tcPr>
            <w:tcW w:w="980" w:type="dxa"/>
            <w:vAlign w:val="bottom"/>
            <w:gridSpan w:val="3"/>
          </w:tcPr>
          <w:p>
            <w:pPr>
              <w:jc w:val="center"/>
              <w:spacing w:after="0" w:line="131" w:lineRule="exact"/>
              <w:rPr>
                <w:sz w:val="20"/>
                <w:szCs w:val="20"/>
                <w:color w:val="auto"/>
              </w:rPr>
            </w:pPr>
            <w:r>
              <w:rPr>
                <w:rFonts w:ascii="Arial" w:cs="Arial" w:eastAsia="Arial" w:hAnsi="Arial"/>
                <w:sz w:val="14"/>
                <w:szCs w:val="14"/>
                <w:color w:val="auto"/>
                <w:w w:val="87"/>
              </w:rPr>
              <w:t>For the period</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center"/>
              <w:ind w:right="139"/>
              <w:spacing w:after="0" w:line="149" w:lineRule="exact"/>
              <w:rPr>
                <w:sz w:val="20"/>
                <w:szCs w:val="20"/>
                <w:color w:val="auto"/>
              </w:rPr>
            </w:pPr>
            <w:r>
              <w:rPr>
                <w:rFonts w:ascii="Arial" w:cs="Arial" w:eastAsia="Arial" w:hAnsi="Arial"/>
                <w:sz w:val="14"/>
                <w:szCs w:val="14"/>
                <w:color w:val="auto"/>
                <w:w w:val="83"/>
              </w:rPr>
              <w:t>January 29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center"/>
              <w:ind w:right="82"/>
              <w:spacing w:after="0" w:line="149" w:lineRule="exact"/>
              <w:rPr>
                <w:sz w:val="20"/>
                <w:szCs w:val="20"/>
                <w:color w:val="auto"/>
              </w:rPr>
            </w:pPr>
            <w:r>
              <w:rPr>
                <w:rFonts w:ascii="Arial" w:cs="Arial" w:eastAsia="Arial" w:hAnsi="Arial"/>
                <w:sz w:val="14"/>
                <w:szCs w:val="14"/>
                <w:color w:val="auto"/>
                <w:w w:val="84"/>
              </w:rPr>
              <w:t>January 1</w:t>
            </w:r>
          </w:p>
        </w:tc>
        <w:tc>
          <w:tcPr>
            <w:tcW w:w="1040" w:type="dxa"/>
            <w:vAlign w:val="bottom"/>
            <w:gridSpan w:val="4"/>
          </w:tcPr>
          <w:p>
            <w:pPr>
              <w:jc w:val="center"/>
              <w:ind w:left="20"/>
              <w:spacing w:after="0" w:line="149" w:lineRule="exact"/>
              <w:rPr>
                <w:sz w:val="20"/>
                <w:szCs w:val="20"/>
                <w:color w:val="auto"/>
              </w:rPr>
            </w:pPr>
            <w:r>
              <w:rPr>
                <w:rFonts w:ascii="Arial" w:cs="Arial" w:eastAsia="Arial" w:hAnsi="Arial"/>
                <w:sz w:val="14"/>
                <w:szCs w:val="14"/>
                <w:color w:val="auto"/>
                <w:w w:val="89"/>
              </w:rPr>
              <w:t>Nine Months</w:t>
            </w:r>
          </w:p>
        </w:tc>
        <w:tc>
          <w:tcPr>
            <w:tcW w:w="200" w:type="dxa"/>
            <w:vAlign w:val="bottom"/>
          </w:tcPr>
          <w:p>
            <w:pPr>
              <w:spacing w:after="0"/>
              <w:rPr>
                <w:sz w:val="12"/>
                <w:szCs w:val="12"/>
                <w:color w:val="auto"/>
              </w:rPr>
            </w:pPr>
          </w:p>
        </w:tc>
        <w:tc>
          <w:tcPr>
            <w:tcW w:w="1020" w:type="dxa"/>
            <w:vAlign w:val="bottom"/>
            <w:gridSpan w:val="3"/>
          </w:tcPr>
          <w:p>
            <w:pPr>
              <w:jc w:val="center"/>
              <w:ind w:left="9"/>
              <w:spacing w:after="0" w:line="149" w:lineRule="exact"/>
              <w:rPr>
                <w:sz w:val="20"/>
                <w:szCs w:val="20"/>
                <w:color w:val="auto"/>
              </w:rPr>
            </w:pPr>
            <w:r>
              <w:rPr>
                <w:rFonts w:ascii="Arial" w:cs="Arial" w:eastAsia="Arial" w:hAnsi="Arial"/>
                <w:sz w:val="14"/>
                <w:szCs w:val="14"/>
                <w:color w:val="auto"/>
                <w:w w:val="89"/>
              </w:rPr>
              <w:t>Nine Months</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center"/>
              <w:ind w:right="139"/>
              <w:spacing w:after="0" w:line="149" w:lineRule="exact"/>
              <w:rPr>
                <w:sz w:val="20"/>
                <w:szCs w:val="20"/>
                <w:color w:val="auto"/>
              </w:rPr>
            </w:pPr>
            <w:r>
              <w:rPr>
                <w:rFonts w:ascii="Arial" w:cs="Arial" w:eastAsia="Arial" w:hAnsi="Arial"/>
                <w:sz w:val="14"/>
                <w:szCs w:val="14"/>
                <w:color w:val="auto"/>
                <w:w w:val="88"/>
              </w:rPr>
              <w:t>through</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center"/>
              <w:ind w:right="62"/>
              <w:spacing w:after="0" w:line="149" w:lineRule="exact"/>
              <w:rPr>
                <w:sz w:val="20"/>
                <w:szCs w:val="20"/>
                <w:color w:val="auto"/>
              </w:rPr>
            </w:pPr>
            <w:r>
              <w:rPr>
                <w:rFonts w:ascii="Arial" w:cs="Arial" w:eastAsia="Arial" w:hAnsi="Arial"/>
                <w:sz w:val="14"/>
                <w:szCs w:val="14"/>
                <w:color w:val="auto"/>
                <w:w w:val="88"/>
              </w:rPr>
              <w:t>through</w:t>
            </w:r>
          </w:p>
        </w:tc>
        <w:tc>
          <w:tcPr>
            <w:tcW w:w="280" w:type="dxa"/>
            <w:vAlign w:val="bottom"/>
          </w:tcPr>
          <w:p>
            <w:pPr>
              <w:spacing w:after="0"/>
              <w:rPr>
                <w:sz w:val="12"/>
                <w:szCs w:val="12"/>
                <w:color w:val="auto"/>
              </w:rPr>
            </w:pPr>
          </w:p>
        </w:tc>
        <w:tc>
          <w:tcPr>
            <w:tcW w:w="76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83"/>
              </w:rPr>
              <w:t>Ended</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3"/>
              </w:rPr>
              <w:t>Ended</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2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106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84"/>
              </w:rPr>
              <w:t>September 30</w:t>
            </w: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82"/>
              <w:spacing w:after="0" w:line="159" w:lineRule="exact"/>
              <w:rPr>
                <w:sz w:val="20"/>
                <w:szCs w:val="20"/>
                <w:color w:val="auto"/>
              </w:rPr>
            </w:pPr>
            <w:r>
              <w:rPr>
                <w:rFonts w:ascii="Arial" w:cs="Arial" w:eastAsia="Arial" w:hAnsi="Arial"/>
                <w:sz w:val="14"/>
                <w:szCs w:val="14"/>
                <w:color w:val="auto"/>
                <w:w w:val="86"/>
              </w:rPr>
              <w:t>January 28</w:t>
            </w:r>
          </w:p>
        </w:tc>
        <w:tc>
          <w:tcPr>
            <w:tcW w:w="1040" w:type="dxa"/>
            <w:vAlign w:val="bottom"/>
            <w:tcBorders>
              <w:bottom w:val="single" w:sz="8" w:color="auto"/>
            </w:tcBorders>
            <w:gridSpan w:val="4"/>
          </w:tcPr>
          <w:p>
            <w:pPr>
              <w:jc w:val="center"/>
              <w:ind w:left="20"/>
              <w:spacing w:after="0" w:line="159" w:lineRule="exact"/>
              <w:rPr>
                <w:sz w:val="20"/>
                <w:szCs w:val="20"/>
                <w:color w:val="auto"/>
              </w:rPr>
            </w:pPr>
            <w:r>
              <w:rPr>
                <w:rFonts w:ascii="Arial" w:cs="Arial" w:eastAsia="Arial" w:hAnsi="Arial"/>
                <w:sz w:val="14"/>
                <w:szCs w:val="14"/>
                <w:color w:val="auto"/>
                <w:w w:val="84"/>
              </w:rPr>
              <w:t>September 30</w:t>
            </w:r>
          </w:p>
        </w:tc>
        <w:tc>
          <w:tcPr>
            <w:tcW w:w="200" w:type="dxa"/>
            <w:vAlign w:val="bottom"/>
            <w:tcBorders>
              <w:bottom w:val="single" w:sz="8" w:color="E5E5E5"/>
            </w:tcBorders>
          </w:tcPr>
          <w:p>
            <w:pPr>
              <w:spacing w:after="0"/>
              <w:rPr>
                <w:sz w:val="13"/>
                <w:szCs w:val="13"/>
                <w:color w:val="auto"/>
              </w:rPr>
            </w:pPr>
          </w:p>
        </w:tc>
        <w:tc>
          <w:tcPr>
            <w:tcW w:w="1020" w:type="dxa"/>
            <w:vAlign w:val="bottom"/>
            <w:tcBorders>
              <w:bottom w:val="single" w:sz="8" w:color="auto"/>
            </w:tcBorders>
            <w:gridSpan w:val="3"/>
          </w:tcPr>
          <w:p>
            <w:pPr>
              <w:jc w:val="center"/>
              <w:ind w:left="9"/>
              <w:spacing w:after="0" w:line="159" w:lineRule="exact"/>
              <w:rPr>
                <w:sz w:val="20"/>
                <w:szCs w:val="20"/>
                <w:color w:val="auto"/>
              </w:rPr>
            </w:pPr>
            <w:r>
              <w:rPr>
                <w:rFonts w:ascii="Arial" w:cs="Arial" w:eastAsia="Arial" w:hAnsi="Arial"/>
                <w:sz w:val="14"/>
                <w:szCs w:val="14"/>
                <w:color w:val="auto"/>
                <w:w w:val="84"/>
              </w:rPr>
              <w:t>September 30</w:t>
            </w:r>
          </w:p>
        </w:tc>
        <w:tc>
          <w:tcPr>
            <w:tcW w:w="200" w:type="dxa"/>
            <w:vAlign w:val="bottom"/>
            <w:tcBorders>
              <w:bottom w:val="single" w:sz="8" w:color="E5E5E5"/>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395"/>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52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6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440"/>
              <w:spacing w:after="0"/>
              <w:rPr>
                <w:sz w:val="20"/>
                <w:szCs w:val="20"/>
                <w:color w:val="auto"/>
              </w:rPr>
            </w:pPr>
            <w:r>
              <w:rPr>
                <w:rFonts w:ascii="Arial" w:cs="Arial" w:eastAsia="Arial" w:hAnsi="Arial"/>
                <w:sz w:val="18"/>
                <w:szCs w:val="18"/>
                <w:color w:val="auto"/>
              </w:rPr>
              <w:t>Advertising</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9"/>
              <w:spacing w:after="0"/>
              <w:rPr>
                <w:sz w:val="20"/>
                <w:szCs w:val="20"/>
                <w:color w:val="auto"/>
              </w:rPr>
            </w:pPr>
            <w:r>
              <w:rPr>
                <w:rFonts w:ascii="Arial" w:cs="Arial" w:eastAsia="Arial" w:hAnsi="Arial"/>
                <w:sz w:val="18"/>
                <w:szCs w:val="18"/>
                <w:color w:val="auto"/>
              </w:rPr>
              <w:t>2,683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
              <w:spacing w:after="0"/>
              <w:rPr>
                <w:sz w:val="20"/>
                <w:szCs w:val="20"/>
                <w:color w:val="auto"/>
              </w:rPr>
            </w:pPr>
            <w:r>
              <w:rPr>
                <w:rFonts w:ascii="Arial" w:cs="Arial" w:eastAsia="Arial" w:hAnsi="Arial"/>
                <w:sz w:val="18"/>
                <w:szCs w:val="18"/>
                <w:color w:val="auto"/>
              </w:rPr>
              <w:t>315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2,998</w:t>
            </w:r>
          </w:p>
        </w:tc>
        <w:tc>
          <w:tcPr>
            <w:tcW w:w="500" w:type="dxa"/>
            <w:vAlign w:val="bottom"/>
            <w:gridSpan w:val="2"/>
          </w:tcPr>
          <w:p>
            <w:pPr>
              <w:jc w:val="center"/>
              <w:ind w:left="261"/>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3,468</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 (470)</w:t>
            </w:r>
          </w:p>
        </w:tc>
        <w:tc>
          <w:tcPr>
            <w:tcW w:w="88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52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Content licensing</w:t>
            </w:r>
          </w:p>
        </w:tc>
        <w:tc>
          <w:tcPr>
            <w:tcW w:w="2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9"/>
              <w:spacing w:after="0"/>
              <w:rPr>
                <w:sz w:val="20"/>
                <w:szCs w:val="20"/>
                <w:color w:val="auto"/>
              </w:rPr>
            </w:pPr>
            <w:r>
              <w:rPr>
                <w:rFonts w:ascii="Arial" w:cs="Arial" w:eastAsia="Arial" w:hAnsi="Arial"/>
                <w:sz w:val="18"/>
                <w:szCs w:val="18"/>
                <w:color w:val="auto"/>
              </w:rPr>
              <w:t>1,080</w:t>
            </w:r>
          </w:p>
        </w:tc>
        <w:tc>
          <w:tcPr>
            <w:tcW w:w="16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
              <w:spacing w:after="0"/>
              <w:rPr>
                <w:sz w:val="20"/>
                <w:szCs w:val="20"/>
                <w:color w:val="auto"/>
              </w:rPr>
            </w:pPr>
            <w:r>
              <w:rPr>
                <w:rFonts w:ascii="Arial" w:cs="Arial" w:eastAsia="Arial" w:hAnsi="Arial"/>
                <w:sz w:val="18"/>
                <w:szCs w:val="18"/>
                <w:color w:val="auto"/>
              </w:rPr>
              <w:t>111</w:t>
            </w:r>
          </w:p>
        </w:tc>
        <w:tc>
          <w:tcPr>
            <w:tcW w:w="280" w:type="dxa"/>
            <w:vAlign w:val="bottom"/>
            <w:shd w:val="clear" w:color="auto" w:fill="E5E5E5"/>
          </w:tcPr>
          <w:p>
            <w:pPr>
              <w:spacing w:after="0"/>
              <w:rPr>
                <w:sz w:val="18"/>
                <w:szCs w:val="18"/>
                <w:color w:val="auto"/>
              </w:rPr>
            </w:pPr>
          </w:p>
        </w:tc>
        <w:tc>
          <w:tcPr>
            <w:tcW w:w="760" w:type="dxa"/>
            <w:vAlign w:val="bottom"/>
            <w:gridSpan w:val="3"/>
            <w:shd w:val="clear" w:color="auto" w:fill="E5E5E5"/>
          </w:tcPr>
          <w:p>
            <w:pPr>
              <w:jc w:val="right"/>
              <w:ind w:right="80"/>
              <w:spacing w:after="0"/>
              <w:rPr>
                <w:sz w:val="20"/>
                <w:szCs w:val="20"/>
                <w:color w:val="auto"/>
              </w:rPr>
            </w:pPr>
            <w:r>
              <w:rPr>
                <w:rFonts w:ascii="Arial" w:cs="Arial" w:eastAsia="Arial" w:hAnsi="Arial"/>
                <w:sz w:val="18"/>
                <w:szCs w:val="18"/>
                <w:color w:val="auto"/>
              </w:rPr>
              <w:t>1,191</w:t>
            </w:r>
          </w:p>
        </w:tc>
        <w:tc>
          <w:tcPr>
            <w:tcW w:w="2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927</w:t>
            </w:r>
          </w:p>
        </w:tc>
        <w:tc>
          <w:tcPr>
            <w:tcW w:w="2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20"/>
              <w:spacing w:after="0"/>
              <w:rPr>
                <w:sz w:val="20"/>
                <w:szCs w:val="20"/>
                <w:color w:val="auto"/>
              </w:rPr>
            </w:pPr>
            <w:r>
              <w:rPr>
                <w:rFonts w:ascii="Arial" w:cs="Arial" w:eastAsia="Arial" w:hAnsi="Arial"/>
                <w:sz w:val="18"/>
                <w:szCs w:val="18"/>
                <w:color w:val="auto"/>
              </w:rPr>
              <w:t>264</w:t>
            </w:r>
          </w:p>
        </w:tc>
        <w:tc>
          <w:tcPr>
            <w:tcW w:w="88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52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331</w:t>
            </w: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38</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369</w:t>
            </w:r>
          </w:p>
        </w:tc>
        <w:tc>
          <w:tcPr>
            <w:tcW w:w="200" w:type="dxa"/>
            <w:vAlign w:val="bottom"/>
            <w:tcBorders>
              <w:bottom w:val="single" w:sz="8" w:color="E5E5E5"/>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581</w:t>
            </w:r>
          </w:p>
        </w:tc>
        <w:tc>
          <w:tcPr>
            <w:tcW w:w="200" w:type="dxa"/>
            <w:vAlign w:val="bottom"/>
            <w:tcBorders>
              <w:bottom w:val="single" w:sz="8" w:color="E5E5E5"/>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60"/>
              <w:spacing w:after="0"/>
              <w:rPr>
                <w:sz w:val="20"/>
                <w:szCs w:val="20"/>
                <w:color w:val="auto"/>
              </w:rPr>
            </w:pPr>
            <w:r>
              <w:rPr>
                <w:rFonts w:ascii="Arial" w:cs="Arial" w:eastAsia="Arial" w:hAnsi="Arial"/>
                <w:sz w:val="18"/>
                <w:szCs w:val="18"/>
                <w:color w:val="auto"/>
                <w:w w:val="99"/>
              </w:rPr>
              <w:t>(212)</w:t>
            </w:r>
          </w:p>
        </w:tc>
        <w:tc>
          <w:tcPr>
            <w:tcW w:w="88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0"/>
        </w:trPr>
        <w:tc>
          <w:tcPr>
            <w:tcW w:w="52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9"/>
              <w:spacing w:after="0"/>
              <w:rPr>
                <w:sz w:val="20"/>
                <w:szCs w:val="20"/>
                <w:color w:val="auto"/>
              </w:rPr>
            </w:pPr>
            <w:r>
              <w:rPr>
                <w:rFonts w:ascii="Arial" w:cs="Arial" w:eastAsia="Arial" w:hAnsi="Arial"/>
                <w:sz w:val="18"/>
                <w:szCs w:val="18"/>
                <w:color w:val="auto"/>
              </w:rPr>
              <w:t>4,094</w:t>
            </w:r>
          </w:p>
        </w:tc>
        <w:tc>
          <w:tcPr>
            <w:tcW w:w="16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
              <w:spacing w:after="0"/>
              <w:rPr>
                <w:sz w:val="20"/>
                <w:szCs w:val="20"/>
                <w:color w:val="auto"/>
              </w:rPr>
            </w:pPr>
            <w:r>
              <w:rPr>
                <w:rFonts w:ascii="Arial" w:cs="Arial" w:eastAsia="Arial" w:hAnsi="Arial"/>
                <w:sz w:val="18"/>
                <w:szCs w:val="18"/>
                <w:color w:val="auto"/>
              </w:rPr>
              <w:t>464</w:t>
            </w:r>
          </w:p>
        </w:tc>
        <w:tc>
          <w:tcPr>
            <w:tcW w:w="280" w:type="dxa"/>
            <w:vAlign w:val="bottom"/>
            <w:shd w:val="clear" w:color="auto" w:fill="E5E5E5"/>
          </w:tcPr>
          <w:p>
            <w:pPr>
              <w:spacing w:after="0"/>
              <w:rPr>
                <w:sz w:val="18"/>
                <w:szCs w:val="18"/>
                <w:color w:val="auto"/>
              </w:rPr>
            </w:pPr>
          </w:p>
        </w:tc>
        <w:tc>
          <w:tcPr>
            <w:tcW w:w="760" w:type="dxa"/>
            <w:vAlign w:val="bottom"/>
            <w:gridSpan w:val="3"/>
            <w:shd w:val="clear" w:color="auto" w:fill="E5E5E5"/>
          </w:tcPr>
          <w:p>
            <w:pPr>
              <w:jc w:val="right"/>
              <w:ind w:right="80"/>
              <w:spacing w:after="0"/>
              <w:rPr>
                <w:sz w:val="20"/>
                <w:szCs w:val="20"/>
                <w:color w:val="auto"/>
              </w:rPr>
            </w:pPr>
            <w:r>
              <w:rPr>
                <w:rFonts w:ascii="Arial" w:cs="Arial" w:eastAsia="Arial" w:hAnsi="Arial"/>
                <w:sz w:val="18"/>
                <w:szCs w:val="18"/>
                <w:color w:val="auto"/>
              </w:rPr>
              <w:t>4,558</w:t>
            </w:r>
          </w:p>
        </w:tc>
        <w:tc>
          <w:tcPr>
            <w:tcW w:w="2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4,976</w:t>
            </w:r>
          </w:p>
        </w:tc>
        <w:tc>
          <w:tcPr>
            <w:tcW w:w="2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60"/>
              <w:spacing w:after="0"/>
              <w:rPr>
                <w:sz w:val="20"/>
                <w:szCs w:val="20"/>
                <w:color w:val="auto"/>
              </w:rPr>
            </w:pPr>
            <w:r>
              <w:rPr>
                <w:rFonts w:ascii="Arial" w:cs="Arial" w:eastAsia="Arial" w:hAnsi="Arial"/>
                <w:sz w:val="18"/>
                <w:szCs w:val="18"/>
                <w:color w:val="auto"/>
                <w:w w:val="99"/>
              </w:rPr>
              <w:t>(418)</w:t>
            </w:r>
          </w:p>
        </w:tc>
        <w:tc>
          <w:tcPr>
            <w:tcW w:w="88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3,876</w:t>
            </w: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479</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4,355</w:t>
            </w:r>
          </w:p>
        </w:tc>
        <w:tc>
          <w:tcPr>
            <w:tcW w:w="200" w:type="dxa"/>
            <w:vAlign w:val="bottom"/>
            <w:tcBorders>
              <w:bottom w:val="single" w:sz="8" w:color="E5E5E5"/>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4,913</w:t>
            </w:r>
          </w:p>
        </w:tc>
        <w:tc>
          <w:tcPr>
            <w:tcW w:w="200" w:type="dxa"/>
            <w:vAlign w:val="bottom"/>
            <w:tcBorders>
              <w:bottom w:val="single" w:sz="8" w:color="E5E5E5"/>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60"/>
              <w:spacing w:after="0"/>
              <w:rPr>
                <w:sz w:val="20"/>
                <w:szCs w:val="20"/>
                <w:color w:val="auto"/>
              </w:rPr>
            </w:pPr>
            <w:r>
              <w:rPr>
                <w:rFonts w:ascii="Arial" w:cs="Arial" w:eastAsia="Arial" w:hAnsi="Arial"/>
                <w:sz w:val="18"/>
                <w:szCs w:val="18"/>
                <w:color w:val="auto"/>
                <w:w w:val="99"/>
              </w:rPr>
              <w:t>(558)</w:t>
            </w:r>
          </w:p>
        </w:tc>
        <w:tc>
          <w:tcPr>
            <w:tcW w:w="88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7"/>
        </w:trPr>
        <w:tc>
          <w:tcPr>
            <w:tcW w:w="52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39"/>
              <w:spacing w:after="0"/>
              <w:rPr>
                <w:sz w:val="20"/>
                <w:szCs w:val="20"/>
                <w:color w:val="auto"/>
              </w:rPr>
            </w:pPr>
            <w:r>
              <w:rPr>
                <w:rFonts w:ascii="Arial" w:cs="Arial" w:eastAsia="Arial" w:hAnsi="Arial"/>
                <w:sz w:val="18"/>
                <w:szCs w:val="18"/>
                <w:b w:val="1"/>
                <w:bCs w:val="1"/>
                <w:color w:val="auto"/>
              </w:rPr>
              <w:t>218</w:t>
            </w:r>
          </w:p>
        </w:tc>
        <w:tc>
          <w:tcPr>
            <w:tcW w:w="22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(15)</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gridSpan w:val="3"/>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203</w:t>
            </w:r>
          </w:p>
        </w:tc>
        <w:tc>
          <w:tcPr>
            <w:tcW w:w="200" w:type="dxa"/>
            <w:vAlign w:val="bottom"/>
            <w:tcBorders>
              <w:bottom w:val="single" w:sz="8" w:color="E5E5E5"/>
            </w:tcBorders>
            <w:shd w:val="clear" w:color="auto" w:fill="E5E5E5"/>
          </w:tcPr>
          <w:p>
            <w:pPr>
              <w:spacing w:after="0"/>
              <w:rPr>
                <w:sz w:val="18"/>
                <w:szCs w:val="18"/>
                <w:color w:val="auto"/>
              </w:rPr>
            </w:pPr>
          </w:p>
        </w:tc>
        <w:tc>
          <w:tcPr>
            <w:tcW w:w="300" w:type="dxa"/>
            <w:vAlign w:val="bottom"/>
            <w:tcBorders>
              <w:bottom w:val="single" w:sz="8" w:color="auto"/>
            </w:tcBorders>
            <w:shd w:val="clear" w:color="auto" w:fill="E5E5E5"/>
          </w:tcPr>
          <w:p>
            <w:pPr>
              <w:jc w:val="center"/>
              <w:ind w:left="69"/>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63</w:t>
            </w:r>
          </w:p>
        </w:tc>
        <w:tc>
          <w:tcPr>
            <w:tcW w:w="200" w:type="dxa"/>
            <w:vAlign w:val="bottom"/>
            <w:tcBorders>
              <w:bottom w:val="single" w:sz="8" w:color="E5E5E5"/>
            </w:tcBorders>
            <w:shd w:val="clear" w:color="auto" w:fill="E5E5E5"/>
          </w:tcPr>
          <w:p>
            <w:pPr>
              <w:spacing w:after="0"/>
              <w:rPr>
                <w:sz w:val="18"/>
                <w:szCs w:val="18"/>
                <w:color w:val="auto"/>
              </w:rPr>
            </w:pP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140</w:t>
            </w:r>
          </w:p>
        </w:tc>
        <w:tc>
          <w:tcPr>
            <w:tcW w:w="8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222.6%</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line="239"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Actual amounts include the results of operations for the NBCUniversal acquired businesses for the three months ended September 30, 2011 and for the period January 29, 2011 through September 30, 2011.</w:t>
      </w:r>
    </w:p>
    <w:p>
      <w:pPr>
        <w:spacing w:after="0" w:line="43" w:lineRule="exact"/>
        <w:rPr>
          <w:rFonts w:ascii="Arial" w:cs="Arial" w:eastAsia="Arial" w:hAnsi="Arial"/>
          <w:sz w:val="14"/>
          <w:szCs w:val="14"/>
          <w:color w:val="auto"/>
        </w:rPr>
      </w:pPr>
    </w:p>
    <w:p>
      <w:pPr>
        <w:jc w:val="both"/>
        <w:ind w:left="340" w:hanging="332"/>
        <w:spacing w:after="0" w:line="278" w:lineRule="auto"/>
        <w:tabs>
          <w:tab w:leader="none" w:pos="3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Pro forma amounts include the results of operations for the NBCUniversal acquired businesses for the period January 1, 2011 through January 28, 2011 and for the three and nine months ended September 30, 2010. These amounts also include pro forma adjustments as if the NBCUniversal transaction had occurred on January 1, 2010, including the effects of acquisition accounting and the elimination of operating costs and expenses directly related to the transaction, but do not include adjustments for costs related to integration activities, cost savings or synergies that have been or may be achieved by the combined businesses. Pro forma amounts are not necessarily indicative of what the results would have been had we operated the businesses since January 1, 2010.</w:t>
      </w:r>
    </w:p>
    <w:p>
      <w:pPr>
        <w:spacing w:after="0" w:line="22" w:lineRule="exact"/>
        <w:rPr>
          <w:rFonts w:ascii="Arial" w:cs="Arial" w:eastAsia="Arial" w:hAnsi="Arial"/>
          <w:sz w:val="12"/>
          <w:szCs w:val="12"/>
          <w:color w:val="auto"/>
        </w:rPr>
      </w:pPr>
    </w:p>
    <w:p>
      <w:pPr>
        <w:ind w:left="340" w:hanging="332"/>
        <w:spacing w:after="0" w:line="239"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Pro forma combined amounts represent our pro forma results of operations as if the NBCUniversal transaction had occurred on January 1, 2010 but are not necessarily indicative of what the results would have been had we operated the businesses since January 1, 2010.</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Broadcast Television Segment—Revenue</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Broadcast Television segment revenue consists primarily of advertising revenue and content licensing revenue. Advertising revenue is generated from the sale of commercial time on our broadcast networks, owned local television stations and related digital media properties. Content licensing revenue includes content license fees and other revenue generated from the exploitation of our owned programming in the U.S. and internationally. We also generate other revenue from the sale of our owned programming on DVDs through electronic sell-through and in other formats, and from the licensing of our brands and characters for consumer products.</w:t>
      </w:r>
    </w:p>
    <w:p>
      <w:pPr>
        <w:spacing w:after="0" w:line="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advertising revenue is generally based on audience ratings, the value of the demographics of our broadcast networks’ and owned television stations’ viewers to advertisers, and the number of advertising units we can place in our broadcast networks’ and owned television stations’ programming schedules. Advertising revenue is affected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by the strength of the advertising market, general economic conditions and the success of our programming. To date, the NBC network has experienced lower audience ratings for its 2011 fall primetime schedule than its 2010 schedule. Our U.S. advertising revenue is generally higher in the second and fourth quarters of each year due to seasonal increases in consumer advertising.</w:t>
      </w:r>
    </w:p>
    <w:p>
      <w:pPr>
        <w:spacing w:after="0" w:line="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Content licensing revenue depends on the length and terms of the initial network license for our owned programming and our ability to subsequently license that programming to other networks, both in the U.S. and internationally, and to individual local U.S. television stations. In recent years, the production and distribution costs related to our owned programming have exceeded the license fees generated from the initial network license by an increasing amount. Exploitation of our owned television programming after the initial network license is critical to the financial success of a television series. Other revenue from further exploitation of our owned programming and intellectual property is driven primarily by the popularity of our broadcast networks and series and, therefore, fluctuates based on consumer spending and acceptance.</w:t>
      </w:r>
    </w:p>
    <w:p>
      <w:pPr>
        <w:spacing w:after="0" w:line="5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Advertising revenue for the three months ended September 30, 2011 remained comparable to the same period in 2010, as an increase in the price of advertising units sold was substantially offset by lower political advertising at our owned local television stations, as well as a decline in audience ratings, primarily in our primetime schedule. A continued decline in audience ratings could negatively affect our advertising revenue in future periods. Pro forma combined advertising revenue for the nine months ended September 30, 2011 decreased compared to the same period in 2010 primarily due to revenue recognized in 2010 related to the 2010 Vancouver Olympics. Content licensing revenue for the three months ended September 30, 2011 and pro forma combined content licensing revenue for the nine months ended September 30, 2011 increased compared to the same periods in 2010 primarily due to increased licensing of our owned content in international markets in the current quarter and the impact of new licensing agreements for certain prior season and library content entered into during the nine months ended September 30, 2011. Other revenue for the three months ended September 30, 2011 and pro forma combined other revenue for the nine months ended September 30, 2011 decreased compared to the same periods in 2010 primarily due to a decline in DVD sales during the three months ended September 30, 2011 and the absence of the Vancouver Olympics during the nine months ended September 30, 2011.</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Broadcast Television Segment—Operating Costs and Expenses</w:t>
      </w:r>
    </w:p>
    <w:p>
      <w:pPr>
        <w:spacing w:after="0" w:line="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Broadcast Television segment operating costs and expenses consist primarily of programming and production costs, advertising and marketing costs, and other operating costs and expenses. Programming and production costs relate to content originating on our broadcast networks and owned local television stations and include the amortization of owned and acquired programming costs, direct production costs, residual and participation payments, production overhead, and on-air talent costs. Advertising and marketing costs consist primarily of the costs incurred in promoting our owned television programming, as well as the replication, distribution and marketing costs of DVDs, costs associated with digital media, and the costs of licensing our programming to third parties and other media platforms. Other operating costs and expenses include salaries, employee benefits, rent and other overhead costs.</w:t>
      </w:r>
    </w:p>
    <w:p>
      <w:pPr>
        <w:spacing w:after="0" w:line="26"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Operating costs and expenses for the three months ended September 30, 2011 increased compared to the same period in 2010 primarily due to increases in programming costs associated with our primetime and news programming and a reduction in bad debt reserves in the same period in 2010. Pro forma combined operating costs and expenses for the nine months ended September 30, 2011 decreased compared to the same period in 2010 primarily due to $1 billion of programming costs recognized in 2010 associated with the 2010 Vancouver Olympics. Excluding the impact of the Vancouver Olympics, operating costs and expenses increased for the nine months ended September 30, 2011 primarily due to higher programming costs associated with a greater number of original primetime series in 2011 and changes in estimates associated with the application of acquisition accounting, as well as an increase in advertising and promotion costs. We have invested and expect to continue to invest in new programming that will cause our programming and production expenses to increase in the future.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Segment—Actual and Pro Forma Results of Operations</w:t>
      </w:r>
    </w:p>
    <w:p>
      <w:pPr>
        <w:spacing w:after="0" w:line="74" w:lineRule="exact"/>
        <w:rPr>
          <w:sz w:val="20"/>
          <w:szCs w:val="20"/>
          <w:color w:val="auto"/>
        </w:rPr>
      </w:pPr>
    </w:p>
    <w:p>
      <w:pPr>
        <w:ind w:right="20"/>
        <w:spacing w:after="0" w:line="324" w:lineRule="auto"/>
        <w:rPr>
          <w:sz w:val="20"/>
          <w:szCs w:val="20"/>
          <w:color w:val="auto"/>
        </w:rPr>
      </w:pPr>
      <w:r>
        <w:rPr>
          <w:rFonts w:ascii="Arial" w:cs="Arial" w:eastAsia="Arial" w:hAnsi="Arial"/>
          <w:sz w:val="16"/>
          <w:szCs w:val="16"/>
          <w:color w:val="auto"/>
        </w:rPr>
        <w:t>Our Filmed Entertainment segment consists of the operations of Universal Pictures, which produces, acquires, markets and distributes filmed entertainment and stage plays worldwide in various media formats for theatrical, home entertainment, television and other distribution platforms.</w:t>
      </w:r>
    </w:p>
    <w:tbl>
      <w:tblPr>
        <w:tblLayout w:type="fixed"/>
        <w:tblInd w:w="0" w:type="dxa"/>
        <w:tblCellMar>
          <w:top w:w="0" w:type="dxa"/>
          <w:left w:w="0" w:type="dxa"/>
          <w:bottom w:w="0" w:type="dxa"/>
          <w:right w:w="0" w:type="dxa"/>
        </w:tblCellMar>
      </w:tblPr>
      <w:tr>
        <w:trPr>
          <w:trHeight w:val="149"/>
        </w:trPr>
        <w:tc>
          <w:tcPr>
            <w:tcW w:w="6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gridSpan w:val="2"/>
            <w:vMerge w:val="restart"/>
          </w:tcPr>
          <w:p>
            <w:pPr>
              <w:jc w:val="center"/>
              <w:ind w:right="540"/>
              <w:spacing w:after="0"/>
              <w:rPr>
                <w:sz w:val="20"/>
                <w:szCs w:val="20"/>
                <w:color w:val="auto"/>
              </w:rPr>
            </w:pPr>
            <w:r>
              <w:rPr>
                <w:rFonts w:ascii="Arial" w:cs="Arial" w:eastAsia="Arial" w:hAnsi="Arial"/>
                <w:sz w:val="14"/>
                <w:szCs w:val="14"/>
                <w:color w:val="auto"/>
                <w:w w:val="84"/>
              </w:rPr>
              <w:t>Actual</w:t>
            </w:r>
            <w:r>
              <w:rPr>
                <w:rFonts w:ascii="Arial" w:cs="Arial" w:eastAsia="Arial" w:hAnsi="Arial"/>
                <w:sz w:val="22"/>
                <w:szCs w:val="22"/>
                <w:color w:val="auto"/>
                <w:w w:val="84"/>
                <w:vertAlign w:val="superscript"/>
              </w:rPr>
              <w:t>(a)</w:t>
            </w:r>
          </w:p>
        </w:tc>
        <w:tc>
          <w:tcPr>
            <w:tcW w:w="1500" w:type="dxa"/>
            <w:vAlign w:val="bottom"/>
            <w:gridSpan w:val="3"/>
            <w:vMerge w:val="restart"/>
          </w:tcPr>
          <w:p>
            <w:pPr>
              <w:jc w:val="center"/>
              <w:ind w:right="120"/>
              <w:spacing w:after="0"/>
              <w:rPr>
                <w:sz w:val="20"/>
                <w:szCs w:val="20"/>
                <w:color w:val="auto"/>
              </w:rPr>
            </w:pPr>
            <w:r>
              <w:rPr>
                <w:rFonts w:ascii="Arial" w:cs="Arial" w:eastAsia="Arial" w:hAnsi="Arial"/>
                <w:sz w:val="14"/>
                <w:szCs w:val="14"/>
                <w:color w:val="auto"/>
                <w:w w:val="83"/>
              </w:rPr>
              <w:t>Pro Forma</w:t>
            </w:r>
            <w:r>
              <w:rPr>
                <w:rFonts w:ascii="Arial" w:cs="Arial" w:eastAsia="Arial" w:hAnsi="Arial"/>
                <w:sz w:val="22"/>
                <w:szCs w:val="22"/>
                <w:color w:val="auto"/>
                <w:w w:val="83"/>
                <w:vertAlign w:val="superscript"/>
              </w:rPr>
              <w:t>(b)</w:t>
            </w: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Pro Forma</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6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500" w:type="dxa"/>
            <w:vAlign w:val="bottom"/>
            <w:gridSpan w:val="3"/>
            <w:vMerge w:val="continue"/>
          </w:tcPr>
          <w:p>
            <w:pPr>
              <w:spacing w:after="0"/>
              <w:rPr>
                <w:sz w:val="13"/>
                <w:szCs w:val="13"/>
                <w:color w:val="auto"/>
              </w:rPr>
            </w:pPr>
          </w:p>
        </w:tc>
        <w:tc>
          <w:tcPr>
            <w:tcW w:w="1920" w:type="dxa"/>
            <w:vAlign w:val="bottom"/>
            <w:gridSpan w:val="2"/>
          </w:tcPr>
          <w:p>
            <w:pPr>
              <w:jc w:val="right"/>
              <w:ind w:right="335"/>
              <w:spacing w:after="0" w:line="159" w:lineRule="exact"/>
              <w:rPr>
                <w:sz w:val="20"/>
                <w:szCs w:val="20"/>
                <w:color w:val="auto"/>
              </w:rPr>
            </w:pPr>
            <w:r>
              <w:rPr>
                <w:rFonts w:ascii="Arial" w:cs="Arial" w:eastAsia="Arial" w:hAnsi="Arial"/>
                <w:sz w:val="14"/>
                <w:szCs w:val="14"/>
                <w:color w:val="auto"/>
              </w:rPr>
              <w:t>Increase/(Decrease)</w:t>
            </w:r>
          </w:p>
        </w:tc>
        <w:tc>
          <w:tcPr>
            <w:tcW w:w="0" w:type="dxa"/>
            <w:vAlign w:val="bottom"/>
          </w:tcPr>
          <w:p>
            <w:pPr>
              <w:spacing w:after="0"/>
              <w:rPr>
                <w:sz w:val="1"/>
                <w:szCs w:val="1"/>
                <w:color w:val="auto"/>
              </w:rPr>
            </w:pPr>
          </w:p>
        </w:tc>
      </w:tr>
      <w:tr>
        <w:trPr>
          <w:trHeight w:val="131"/>
        </w:trPr>
        <w:tc>
          <w:tcPr>
            <w:tcW w:w="65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Borders>
              <w:top w:val="single" w:sz="8" w:color="auto"/>
            </w:tcBorders>
            <w:gridSpan w:val="2"/>
          </w:tcPr>
          <w:p>
            <w:pPr>
              <w:jc w:val="center"/>
              <w:ind w:left="122"/>
              <w:spacing w:after="0" w:line="131" w:lineRule="exact"/>
              <w:rPr>
                <w:sz w:val="20"/>
                <w:szCs w:val="20"/>
                <w:color w:val="auto"/>
              </w:rPr>
            </w:pPr>
            <w:r>
              <w:rPr>
                <w:rFonts w:ascii="Arial" w:cs="Arial" w:eastAsia="Arial" w:hAnsi="Arial"/>
                <w:sz w:val="14"/>
                <w:szCs w:val="14"/>
                <w:color w:val="auto"/>
                <w:w w:val="87"/>
              </w:rPr>
              <w:t>Three Months</w:t>
            </w:r>
          </w:p>
        </w:tc>
        <w:tc>
          <w:tcPr>
            <w:tcW w:w="34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500" w:type="dxa"/>
            <w:vAlign w:val="bottom"/>
          </w:tcPr>
          <w:p>
            <w:pPr>
              <w:spacing w:after="0"/>
              <w:rPr>
                <w:sz w:val="12"/>
                <w:szCs w:val="12"/>
                <w:color w:val="auto"/>
              </w:rPr>
            </w:pPr>
          </w:p>
        </w:tc>
        <w:tc>
          <w:tcPr>
            <w:tcW w:w="150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7"/>
              </w:rPr>
              <w:t>Three Months</w:t>
            </w:r>
          </w:p>
        </w:tc>
        <w:tc>
          <w:tcPr>
            <w:tcW w:w="400" w:type="dxa"/>
            <w:vAlign w:val="bottom"/>
          </w:tcPr>
          <w:p>
            <w:pPr>
              <w:spacing w:after="0"/>
              <w:rPr>
                <w:sz w:val="12"/>
                <w:szCs w:val="12"/>
                <w:color w:val="auto"/>
              </w:rPr>
            </w:pPr>
          </w:p>
        </w:tc>
        <w:tc>
          <w:tcPr>
            <w:tcW w:w="110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83"/>
              </w:rPr>
              <w:t>Ended</w:t>
            </w:r>
          </w:p>
        </w:tc>
        <w:tc>
          <w:tcPr>
            <w:tcW w:w="1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88"/>
              </w:rPr>
              <w:t>Ended</w:t>
            </w:r>
          </w:p>
        </w:tc>
        <w:tc>
          <w:tcPr>
            <w:tcW w:w="400" w:type="dxa"/>
            <w:vAlign w:val="bottom"/>
          </w:tcPr>
          <w:p>
            <w:pPr>
              <w:spacing w:after="0"/>
              <w:rPr>
                <w:sz w:val="12"/>
                <w:szCs w:val="12"/>
                <w:color w:val="auto"/>
              </w:rPr>
            </w:pPr>
          </w:p>
        </w:tc>
        <w:tc>
          <w:tcPr>
            <w:tcW w:w="110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84"/>
              </w:rPr>
              <w:t>September</w:t>
            </w:r>
          </w:p>
        </w:tc>
        <w:tc>
          <w:tcPr>
            <w:tcW w:w="1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tcPr>
          <w:p>
            <w:pPr>
              <w:spacing w:after="0"/>
              <w:rPr>
                <w:sz w:val="12"/>
                <w:szCs w:val="12"/>
                <w:color w:val="auto"/>
              </w:rPr>
            </w:pPr>
          </w:p>
        </w:tc>
        <w:tc>
          <w:tcPr>
            <w:tcW w:w="150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4"/>
              </w:rPr>
              <w:t>September 30,</w:t>
            </w:r>
          </w:p>
        </w:tc>
        <w:tc>
          <w:tcPr>
            <w:tcW w:w="400" w:type="dxa"/>
            <w:vAlign w:val="bottom"/>
          </w:tcPr>
          <w:p>
            <w:pPr>
              <w:spacing w:after="0"/>
              <w:rPr>
                <w:sz w:val="12"/>
                <w:szCs w:val="12"/>
                <w:color w:val="auto"/>
              </w:rPr>
            </w:pPr>
          </w:p>
        </w:tc>
        <w:tc>
          <w:tcPr>
            <w:tcW w:w="760" w:type="dxa"/>
            <w:vAlign w:val="bottom"/>
          </w:tcPr>
          <w:p>
            <w:pPr>
              <w:jc w:val="right"/>
              <w:ind w:right="320"/>
              <w:spacing w:after="0" w:line="149" w:lineRule="exact"/>
              <w:rPr>
                <w:sz w:val="20"/>
                <w:szCs w:val="20"/>
                <w:color w:val="auto"/>
              </w:rPr>
            </w:pPr>
            <w:r>
              <w:rPr>
                <w:rFonts w:ascii="Arial" w:cs="Arial" w:eastAsia="Arial" w:hAnsi="Arial"/>
                <w:sz w:val="14"/>
                <w:szCs w:val="14"/>
                <w:color w:val="auto"/>
              </w:rPr>
              <w:t>30,</w:t>
            </w:r>
          </w:p>
        </w:tc>
        <w:tc>
          <w:tcPr>
            <w:tcW w:w="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65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18"/>
              <w:spacing w:after="0" w:line="159" w:lineRule="exact"/>
              <w:rPr>
                <w:sz w:val="20"/>
                <w:szCs w:val="20"/>
                <w:color w:val="auto"/>
              </w:rPr>
            </w:pPr>
            <w:r>
              <w:rPr>
                <w:rFonts w:ascii="Arial" w:cs="Arial" w:eastAsia="Arial" w:hAnsi="Arial"/>
                <w:sz w:val="14"/>
                <w:szCs w:val="14"/>
                <w:color w:val="auto"/>
                <w:w w:val="89"/>
              </w:rPr>
              <w:t>2011</w:t>
            </w:r>
          </w:p>
        </w:tc>
        <w:tc>
          <w:tcPr>
            <w:tcW w:w="340" w:type="dxa"/>
            <w:vAlign w:val="bottom"/>
            <w:tcBorders>
              <w:bottom w:val="single" w:sz="8" w:color="E5E5E5"/>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60"/>
              <w:spacing w:after="0" w:line="159" w:lineRule="exact"/>
              <w:rPr>
                <w:sz w:val="20"/>
                <w:szCs w:val="20"/>
                <w:color w:val="auto"/>
              </w:rPr>
            </w:pPr>
            <w:r>
              <w:rPr>
                <w:rFonts w:ascii="Arial" w:cs="Arial" w:eastAsia="Arial" w:hAnsi="Arial"/>
                <w:sz w:val="14"/>
                <w:szCs w:val="14"/>
                <w:color w:val="auto"/>
              </w:rPr>
              <w:t>2010</w:t>
            </w:r>
          </w:p>
        </w:tc>
        <w:tc>
          <w:tcPr>
            <w:tcW w:w="340" w:type="dxa"/>
            <w:vAlign w:val="bottom"/>
            <w:tcBorders>
              <w:bottom w:val="single" w:sz="8" w:color="E5E5E5"/>
            </w:tcBorders>
          </w:tcPr>
          <w:p>
            <w:pPr>
              <w:spacing w:after="0"/>
              <w:rPr>
                <w:sz w:val="13"/>
                <w:szCs w:val="13"/>
                <w:color w:val="auto"/>
              </w:rPr>
            </w:pPr>
          </w:p>
        </w:tc>
        <w:tc>
          <w:tcPr>
            <w:tcW w:w="1260" w:type="dxa"/>
            <w:vAlign w:val="bottom"/>
            <w:tcBorders>
              <w:bottom w:val="single" w:sz="8" w:color="auto"/>
            </w:tcBorders>
          </w:tcPr>
          <w:p>
            <w:pPr>
              <w:jc w:val="right"/>
              <w:ind w:right="658"/>
              <w:spacing w:after="0" w:line="159"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15"/>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65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12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Theatrical</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196</w:t>
            </w:r>
          </w:p>
        </w:tc>
        <w:tc>
          <w:tcPr>
            <w:tcW w:w="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288</w:t>
            </w:r>
          </w:p>
        </w:tc>
        <w:tc>
          <w:tcPr>
            <w:tcW w:w="340" w:type="dxa"/>
            <w:vAlign w:val="bottom"/>
          </w:tcPr>
          <w:p>
            <w:pPr>
              <w:spacing w:after="0"/>
              <w:rPr>
                <w:sz w:val="18"/>
                <w:szCs w:val="18"/>
                <w:color w:val="auto"/>
              </w:rPr>
            </w:pPr>
          </w:p>
        </w:tc>
        <w:tc>
          <w:tcPr>
            <w:tcW w:w="1260" w:type="dxa"/>
            <w:vAlign w:val="bottom"/>
          </w:tcPr>
          <w:p>
            <w:pPr>
              <w:jc w:val="right"/>
              <w:ind w:right="438"/>
              <w:spacing w:after="0"/>
              <w:rPr>
                <w:sz w:val="20"/>
                <w:szCs w:val="20"/>
                <w:color w:val="auto"/>
              </w:rPr>
            </w:pPr>
            <w:r>
              <w:rPr>
                <w:rFonts w:ascii="Arial" w:cs="Arial" w:eastAsia="Arial" w:hAnsi="Arial"/>
                <w:sz w:val="18"/>
                <w:szCs w:val="18"/>
                <w:color w:val="auto"/>
              </w:rPr>
              <w:t>$ (92)</w:t>
            </w:r>
          </w:p>
        </w:tc>
        <w:tc>
          <w:tcPr>
            <w:tcW w:w="660" w:type="dxa"/>
            <w:vAlign w:val="bottom"/>
          </w:tcPr>
          <w:p>
            <w:pPr>
              <w:jc w:val="right"/>
              <w:spacing w:after="0"/>
              <w:rPr>
                <w:sz w:val="20"/>
                <w:szCs w:val="20"/>
                <w:color w:val="auto"/>
              </w:rPr>
            </w:pPr>
            <w:r>
              <w:rPr>
                <w:rFonts w:ascii="Arial" w:cs="Arial" w:eastAsia="Arial" w:hAnsi="Arial"/>
                <w:sz w:val="18"/>
                <w:szCs w:val="18"/>
                <w:color w:val="auto"/>
                <w:w w:val="88"/>
              </w:rPr>
              <w:t>(32.2)%</w:t>
            </w:r>
          </w:p>
        </w:tc>
        <w:tc>
          <w:tcPr>
            <w:tcW w:w="0" w:type="dxa"/>
            <w:vAlign w:val="bottom"/>
          </w:tcPr>
          <w:p>
            <w:pPr>
              <w:spacing w:after="0"/>
              <w:rPr>
                <w:sz w:val="1"/>
                <w:szCs w:val="1"/>
                <w:color w:val="auto"/>
              </w:rPr>
            </w:pPr>
          </w:p>
        </w:tc>
      </w:tr>
      <w:tr>
        <w:trPr>
          <w:trHeight w:val="216"/>
        </w:trPr>
        <w:tc>
          <w:tcPr>
            <w:tcW w:w="65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Content licensing</w:t>
            </w:r>
          </w:p>
        </w:tc>
        <w:tc>
          <w:tcPr>
            <w:tcW w:w="400" w:type="dxa"/>
            <w:vAlign w:val="bottom"/>
            <w:shd w:val="clear" w:color="auto" w:fill="E5E5E5"/>
          </w:tcPr>
          <w:p>
            <w:pPr>
              <w:spacing w:after="0"/>
              <w:rPr>
                <w:sz w:val="18"/>
                <w:szCs w:val="18"/>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337</w:t>
            </w:r>
          </w:p>
        </w:tc>
        <w:tc>
          <w:tcPr>
            <w:tcW w:w="3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356</w:t>
            </w:r>
          </w:p>
        </w:tc>
        <w:tc>
          <w:tcPr>
            <w:tcW w:w="340" w:type="dxa"/>
            <w:vAlign w:val="bottom"/>
            <w:shd w:val="clear" w:color="auto" w:fill="E5E5E5"/>
          </w:tcPr>
          <w:p>
            <w:pPr>
              <w:spacing w:after="0"/>
              <w:rPr>
                <w:sz w:val="18"/>
                <w:szCs w:val="18"/>
                <w:color w:val="auto"/>
              </w:rPr>
            </w:pPr>
          </w:p>
        </w:tc>
        <w:tc>
          <w:tcPr>
            <w:tcW w:w="1260" w:type="dxa"/>
            <w:vAlign w:val="bottom"/>
            <w:shd w:val="clear" w:color="auto" w:fill="E5E5E5"/>
          </w:tcPr>
          <w:p>
            <w:pPr>
              <w:jc w:val="right"/>
              <w:ind w:right="438"/>
              <w:spacing w:after="0"/>
              <w:rPr>
                <w:sz w:val="20"/>
                <w:szCs w:val="20"/>
                <w:color w:val="auto"/>
              </w:rPr>
            </w:pPr>
            <w:r>
              <w:rPr>
                <w:rFonts w:ascii="Arial" w:cs="Arial" w:eastAsia="Arial" w:hAnsi="Arial"/>
                <w:sz w:val="18"/>
                <w:szCs w:val="18"/>
                <w:color w:val="auto"/>
              </w:rPr>
              <w:t>(19)</w:t>
            </w:r>
          </w:p>
        </w:tc>
        <w:tc>
          <w:tcPr>
            <w:tcW w:w="66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Home entertainment</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427</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357</w:t>
            </w:r>
          </w:p>
        </w:tc>
        <w:tc>
          <w:tcPr>
            <w:tcW w:w="340" w:type="dxa"/>
            <w:vAlign w:val="bottom"/>
          </w:tcPr>
          <w:p>
            <w:pPr>
              <w:spacing w:after="0"/>
              <w:rPr>
                <w:sz w:val="18"/>
                <w:szCs w:val="18"/>
                <w:color w:val="auto"/>
              </w:rPr>
            </w:pPr>
          </w:p>
        </w:tc>
        <w:tc>
          <w:tcPr>
            <w:tcW w:w="1260" w:type="dxa"/>
            <w:vAlign w:val="bottom"/>
          </w:tcPr>
          <w:p>
            <w:pPr>
              <w:jc w:val="right"/>
              <w:ind w:right="478"/>
              <w:spacing w:after="0"/>
              <w:rPr>
                <w:sz w:val="20"/>
                <w:szCs w:val="20"/>
                <w:color w:val="auto"/>
              </w:rPr>
            </w:pPr>
            <w:r>
              <w:rPr>
                <w:rFonts w:ascii="Arial" w:cs="Arial" w:eastAsia="Arial" w:hAnsi="Arial"/>
                <w:sz w:val="18"/>
                <w:szCs w:val="18"/>
                <w:color w:val="auto"/>
              </w:rPr>
              <w:t>70</w:t>
            </w:r>
          </w:p>
        </w:tc>
        <w:tc>
          <w:tcPr>
            <w:tcW w:w="660" w:type="dxa"/>
            <w:vAlign w:val="bottom"/>
          </w:tcPr>
          <w:p>
            <w:pPr>
              <w:jc w:val="right"/>
              <w:ind w:right="195"/>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650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136</w:t>
            </w:r>
          </w:p>
        </w:tc>
        <w:tc>
          <w:tcPr>
            <w:tcW w:w="340" w:type="dxa"/>
            <w:vAlign w:val="bottom"/>
            <w:tcBorders>
              <w:bottom w:val="single" w:sz="8" w:color="E5E5E5"/>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189</w:t>
            </w:r>
          </w:p>
        </w:tc>
        <w:tc>
          <w:tcPr>
            <w:tcW w:w="340" w:type="dxa"/>
            <w:vAlign w:val="bottom"/>
            <w:tcBorders>
              <w:bottom w:val="single" w:sz="8" w:color="E5E5E5"/>
            </w:tcBorders>
            <w:shd w:val="clear" w:color="auto" w:fill="E5E5E5"/>
          </w:tcPr>
          <w:p>
            <w:pPr>
              <w:spacing w:after="0"/>
              <w:rPr>
                <w:sz w:val="18"/>
                <w:szCs w:val="18"/>
                <w:color w:val="auto"/>
              </w:rPr>
            </w:pPr>
          </w:p>
        </w:tc>
        <w:tc>
          <w:tcPr>
            <w:tcW w:w="1260" w:type="dxa"/>
            <w:vAlign w:val="bottom"/>
            <w:tcBorders>
              <w:bottom w:val="single" w:sz="8" w:color="auto"/>
            </w:tcBorders>
            <w:shd w:val="clear" w:color="auto" w:fill="E5E5E5"/>
          </w:tcPr>
          <w:p>
            <w:pPr>
              <w:jc w:val="right"/>
              <w:ind w:right="438"/>
              <w:spacing w:after="0"/>
              <w:rPr>
                <w:sz w:val="20"/>
                <w:szCs w:val="20"/>
                <w:color w:val="auto"/>
              </w:rPr>
            </w:pPr>
            <w:r>
              <w:rPr>
                <w:rFonts w:ascii="Arial" w:cs="Arial" w:eastAsia="Arial" w:hAnsi="Arial"/>
                <w:sz w:val="18"/>
                <w:szCs w:val="18"/>
                <w:color w:val="auto"/>
              </w:rPr>
              <w:t>(53)</w:t>
            </w:r>
          </w:p>
        </w:tc>
        <w:tc>
          <w:tcPr>
            <w:tcW w:w="66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w w:val="89"/>
              </w:rPr>
              <w:t>(27.9)</w:t>
            </w:r>
          </w:p>
        </w:tc>
        <w:tc>
          <w:tcPr>
            <w:tcW w:w="0" w:type="dxa"/>
            <w:vAlign w:val="bottom"/>
          </w:tcPr>
          <w:p>
            <w:pPr>
              <w:spacing w:after="0"/>
              <w:rPr>
                <w:sz w:val="1"/>
                <w:szCs w:val="1"/>
                <w:color w:val="auto"/>
              </w:rPr>
            </w:pPr>
          </w:p>
        </w:tc>
      </w:tr>
      <w:tr>
        <w:trPr>
          <w:trHeight w:val="210"/>
        </w:trPr>
        <w:tc>
          <w:tcPr>
            <w:tcW w:w="650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1,096</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1,190</w:t>
            </w:r>
          </w:p>
        </w:tc>
        <w:tc>
          <w:tcPr>
            <w:tcW w:w="340" w:type="dxa"/>
            <w:vAlign w:val="bottom"/>
          </w:tcPr>
          <w:p>
            <w:pPr>
              <w:spacing w:after="0"/>
              <w:rPr>
                <w:sz w:val="18"/>
                <w:szCs w:val="18"/>
                <w:color w:val="auto"/>
              </w:rPr>
            </w:pPr>
          </w:p>
        </w:tc>
        <w:tc>
          <w:tcPr>
            <w:tcW w:w="1260" w:type="dxa"/>
            <w:vAlign w:val="bottom"/>
          </w:tcPr>
          <w:p>
            <w:pPr>
              <w:jc w:val="right"/>
              <w:ind w:right="438"/>
              <w:spacing w:after="0"/>
              <w:rPr>
                <w:sz w:val="20"/>
                <w:szCs w:val="20"/>
                <w:color w:val="auto"/>
              </w:rPr>
            </w:pPr>
            <w:r>
              <w:rPr>
                <w:rFonts w:ascii="Arial" w:cs="Arial" w:eastAsia="Arial" w:hAnsi="Arial"/>
                <w:sz w:val="18"/>
                <w:szCs w:val="18"/>
                <w:color w:val="auto"/>
              </w:rPr>
              <w:t>(94)</w:t>
            </w:r>
          </w:p>
        </w:tc>
        <w:tc>
          <w:tcPr>
            <w:tcW w:w="660" w:type="dxa"/>
            <w:vAlign w:val="bottom"/>
          </w:tcPr>
          <w:p>
            <w:pPr>
              <w:jc w:val="right"/>
              <w:ind w:right="135"/>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65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Operating costs and expenses</w:t>
            </w:r>
          </w:p>
        </w:tc>
        <w:tc>
          <w:tcPr>
            <w:tcW w:w="4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1,042</w:t>
            </w:r>
          </w:p>
        </w:tc>
        <w:tc>
          <w:tcPr>
            <w:tcW w:w="340" w:type="dxa"/>
            <w:vAlign w:val="bottom"/>
            <w:tcBorders>
              <w:bottom w:val="single" w:sz="8" w:color="E5E5E5"/>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1,124</w:t>
            </w:r>
          </w:p>
        </w:tc>
        <w:tc>
          <w:tcPr>
            <w:tcW w:w="340" w:type="dxa"/>
            <w:vAlign w:val="bottom"/>
            <w:tcBorders>
              <w:bottom w:val="single" w:sz="8" w:color="E5E5E5"/>
            </w:tcBorders>
            <w:shd w:val="clear" w:color="auto" w:fill="E5E5E5"/>
          </w:tcPr>
          <w:p>
            <w:pPr>
              <w:spacing w:after="0"/>
              <w:rPr>
                <w:sz w:val="18"/>
                <w:szCs w:val="18"/>
                <w:color w:val="auto"/>
              </w:rPr>
            </w:pPr>
          </w:p>
        </w:tc>
        <w:tc>
          <w:tcPr>
            <w:tcW w:w="1260" w:type="dxa"/>
            <w:vAlign w:val="bottom"/>
            <w:tcBorders>
              <w:bottom w:val="single" w:sz="8" w:color="auto"/>
            </w:tcBorders>
            <w:shd w:val="clear" w:color="auto" w:fill="E5E5E5"/>
          </w:tcPr>
          <w:p>
            <w:pPr>
              <w:jc w:val="right"/>
              <w:ind w:right="438"/>
              <w:spacing w:after="0"/>
              <w:rPr>
                <w:sz w:val="20"/>
                <w:szCs w:val="20"/>
                <w:color w:val="auto"/>
              </w:rPr>
            </w:pPr>
            <w:r>
              <w:rPr>
                <w:rFonts w:ascii="Arial" w:cs="Arial" w:eastAsia="Arial" w:hAnsi="Arial"/>
                <w:sz w:val="18"/>
                <w:szCs w:val="18"/>
                <w:color w:val="auto"/>
              </w:rPr>
              <w:t>(82)</w:t>
            </w:r>
          </w:p>
        </w:tc>
        <w:tc>
          <w:tcPr>
            <w:tcW w:w="66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7"/>
        </w:trPr>
        <w:tc>
          <w:tcPr>
            <w:tcW w:w="6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w:t>
            </w:r>
          </w:p>
        </w:tc>
        <w:tc>
          <w:tcPr>
            <w:tcW w:w="34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w:t>
            </w:r>
          </w:p>
        </w:tc>
        <w:tc>
          <w:tcPr>
            <w:tcW w:w="340" w:type="dxa"/>
            <w:vAlign w:val="bottom"/>
          </w:tcPr>
          <w:p>
            <w:pPr>
              <w:spacing w:after="0"/>
              <w:rPr>
                <w:sz w:val="18"/>
                <w:szCs w:val="18"/>
                <w:color w:val="auto"/>
              </w:rPr>
            </w:pPr>
          </w:p>
        </w:tc>
        <w:tc>
          <w:tcPr>
            <w:tcW w:w="1260" w:type="dxa"/>
            <w:vAlign w:val="bottom"/>
            <w:tcBorders>
              <w:bottom w:val="single" w:sz="8" w:color="auto"/>
            </w:tcBorders>
          </w:tcPr>
          <w:p>
            <w:pPr>
              <w:jc w:val="right"/>
              <w:ind w:right="438"/>
              <w:spacing w:after="0"/>
              <w:rPr>
                <w:sz w:val="20"/>
                <w:szCs w:val="20"/>
                <w:color w:val="auto"/>
              </w:rPr>
            </w:pPr>
            <w:r>
              <w:rPr>
                <w:rFonts w:ascii="Arial" w:cs="Arial" w:eastAsia="Arial" w:hAnsi="Arial"/>
                <w:sz w:val="18"/>
                <w:szCs w:val="18"/>
                <w:b w:val="1"/>
                <w:bCs w:val="1"/>
                <w:color w:val="auto"/>
              </w:rPr>
              <w:t>$ (12)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(16.9)%</w:t>
            </w:r>
          </w:p>
        </w:tc>
        <w:tc>
          <w:tcPr>
            <w:tcW w:w="0" w:type="dxa"/>
            <w:vAlign w:val="bottom"/>
          </w:tcPr>
          <w:p>
            <w:pPr>
              <w:spacing w:after="0"/>
              <w:rPr>
                <w:sz w:val="1"/>
                <w:szCs w:val="1"/>
                <w:color w:val="auto"/>
              </w:rPr>
            </w:pPr>
          </w:p>
        </w:tc>
      </w:tr>
    </w:tbl>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color w:val="auto"/>
                <w:w w:val="83"/>
              </w:rPr>
              <w:t>2011</w:t>
            </w: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color w:val="auto"/>
                <w:w w:val="89"/>
              </w:rPr>
              <w:t>2010</w:t>
            </w:r>
          </w:p>
        </w:tc>
        <w:tc>
          <w:tcPr>
            <w:tcW w:w="320" w:type="dxa"/>
            <w:vAlign w:val="bottom"/>
          </w:tcPr>
          <w:p>
            <w:pPr>
              <w:spacing w:after="0"/>
              <w:rPr>
                <w:sz w:val="14"/>
                <w:szCs w:val="14"/>
                <w:color w:val="auto"/>
              </w:rPr>
            </w:pPr>
          </w:p>
        </w:tc>
        <w:tc>
          <w:tcPr>
            <w:tcW w:w="2020" w:type="dxa"/>
            <w:vAlign w:val="bottom"/>
            <w:gridSpan w:val="2"/>
            <w:vMerge w:val="restart"/>
          </w:tcPr>
          <w:p>
            <w:pPr>
              <w:jc w:val="right"/>
              <w:ind w:right="335"/>
              <w:spacing w:after="0"/>
              <w:rPr>
                <w:sz w:val="20"/>
                <w:szCs w:val="20"/>
                <w:color w:val="auto"/>
              </w:rPr>
            </w:pPr>
            <w:r>
              <w:rPr>
                <w:rFonts w:ascii="Arial" w:cs="Arial" w:eastAsia="Arial" w:hAnsi="Arial"/>
                <w:sz w:val="14"/>
                <w:szCs w:val="14"/>
                <w:color w:val="auto"/>
              </w:rPr>
              <w:t>Pro Forma Combined</w:t>
            </w:r>
          </w:p>
        </w:tc>
        <w:tc>
          <w:tcPr>
            <w:tcW w:w="0" w:type="dxa"/>
            <w:vAlign w:val="bottom"/>
          </w:tcPr>
          <w:p>
            <w:pPr>
              <w:spacing w:after="0"/>
              <w:rPr>
                <w:sz w:val="1"/>
                <w:szCs w:val="1"/>
                <w:color w:val="auto"/>
              </w:rPr>
            </w:pPr>
          </w:p>
        </w:tc>
      </w:tr>
      <w:tr>
        <w:trPr>
          <w:trHeight w:val="115"/>
        </w:trPr>
        <w:tc>
          <w:tcPr>
            <w:tcW w:w="39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vMerge w:val="restart"/>
          </w:tcPr>
          <w:p>
            <w:pPr>
              <w:jc w:val="center"/>
              <w:ind w:right="258"/>
              <w:spacing w:after="0"/>
              <w:rPr>
                <w:sz w:val="20"/>
                <w:szCs w:val="20"/>
                <w:color w:val="auto"/>
              </w:rPr>
            </w:pPr>
            <w:r>
              <w:rPr>
                <w:rFonts w:ascii="Arial" w:cs="Arial" w:eastAsia="Arial" w:hAnsi="Arial"/>
                <w:sz w:val="14"/>
                <w:szCs w:val="14"/>
                <w:color w:val="auto"/>
                <w:w w:val="84"/>
              </w:rPr>
              <w:t>Actual</w:t>
            </w:r>
            <w:r>
              <w:rPr>
                <w:rFonts w:ascii="Arial" w:cs="Arial" w:eastAsia="Arial" w:hAnsi="Arial"/>
                <w:sz w:val="22"/>
                <w:szCs w:val="22"/>
                <w:color w:val="auto"/>
                <w:w w:val="84"/>
                <w:vertAlign w:val="superscript"/>
              </w:rPr>
              <w:t>(a)</w:t>
            </w:r>
          </w:p>
        </w:tc>
        <w:tc>
          <w:tcPr>
            <w:tcW w:w="1200" w:type="dxa"/>
            <w:vAlign w:val="bottom"/>
            <w:gridSpan w:val="2"/>
            <w:vMerge w:val="restart"/>
          </w:tcPr>
          <w:p>
            <w:pPr>
              <w:jc w:val="center"/>
              <w:spacing w:after="0"/>
              <w:rPr>
                <w:sz w:val="20"/>
                <w:szCs w:val="20"/>
                <w:color w:val="auto"/>
              </w:rPr>
            </w:pPr>
            <w:r>
              <w:rPr>
                <w:rFonts w:ascii="Arial" w:cs="Arial" w:eastAsia="Arial" w:hAnsi="Arial"/>
                <w:sz w:val="14"/>
                <w:szCs w:val="14"/>
                <w:color w:val="auto"/>
                <w:w w:val="83"/>
              </w:rPr>
              <w:t>Pro Forma</w:t>
            </w:r>
            <w:r>
              <w:rPr>
                <w:rFonts w:ascii="Arial" w:cs="Arial" w:eastAsia="Arial" w:hAnsi="Arial"/>
                <w:sz w:val="22"/>
                <w:szCs w:val="22"/>
                <w:color w:val="auto"/>
                <w:w w:val="83"/>
                <w:vertAlign w:val="superscript"/>
              </w:rPr>
              <w:t>(b)</w:t>
            </w:r>
          </w:p>
        </w:tc>
        <w:tc>
          <w:tcPr>
            <w:tcW w:w="280" w:type="dxa"/>
            <w:vAlign w:val="bottom"/>
          </w:tcPr>
          <w:p>
            <w:pPr>
              <w:spacing w:after="0"/>
              <w:rPr>
                <w:sz w:val="10"/>
                <w:szCs w:val="10"/>
                <w:color w:val="auto"/>
              </w:rPr>
            </w:pPr>
          </w:p>
        </w:tc>
        <w:tc>
          <w:tcPr>
            <w:tcW w:w="780" w:type="dxa"/>
            <w:vAlign w:val="bottom"/>
          </w:tcPr>
          <w:p>
            <w:pPr>
              <w:jc w:val="center"/>
              <w:ind w:right="97"/>
              <w:spacing w:after="0" w:line="115" w:lineRule="exact"/>
              <w:rPr>
                <w:sz w:val="20"/>
                <w:szCs w:val="20"/>
                <w:color w:val="auto"/>
              </w:rPr>
            </w:pPr>
            <w:r>
              <w:rPr>
                <w:rFonts w:ascii="Arial" w:cs="Arial" w:eastAsia="Arial" w:hAnsi="Arial"/>
                <w:sz w:val="12"/>
                <w:szCs w:val="12"/>
                <w:color w:val="auto"/>
                <w:w w:val="98"/>
              </w:rPr>
              <w:t>Pro Forma</w:t>
            </w:r>
          </w:p>
        </w:tc>
        <w:tc>
          <w:tcPr>
            <w:tcW w:w="340" w:type="dxa"/>
            <w:vAlign w:val="bottom"/>
          </w:tcPr>
          <w:p>
            <w:pPr>
              <w:spacing w:after="0"/>
              <w:rPr>
                <w:sz w:val="10"/>
                <w:szCs w:val="10"/>
                <w:color w:val="auto"/>
              </w:rPr>
            </w:pPr>
          </w:p>
        </w:tc>
        <w:tc>
          <w:tcPr>
            <w:tcW w:w="1480" w:type="dxa"/>
            <w:vAlign w:val="bottom"/>
            <w:gridSpan w:val="3"/>
            <w:vMerge w:val="restart"/>
          </w:tcPr>
          <w:p>
            <w:pPr>
              <w:jc w:val="center"/>
              <w:ind w:right="140"/>
              <w:spacing w:after="0"/>
              <w:rPr>
                <w:sz w:val="20"/>
                <w:szCs w:val="20"/>
                <w:color w:val="auto"/>
              </w:rPr>
            </w:pPr>
            <w:r>
              <w:rPr>
                <w:rFonts w:ascii="Arial" w:cs="Arial" w:eastAsia="Arial" w:hAnsi="Arial"/>
                <w:sz w:val="14"/>
                <w:szCs w:val="14"/>
                <w:color w:val="auto"/>
                <w:w w:val="83"/>
              </w:rPr>
              <w:t>Pro Forma</w:t>
            </w:r>
            <w:r>
              <w:rPr>
                <w:rFonts w:ascii="Arial" w:cs="Arial" w:eastAsia="Arial" w:hAnsi="Arial"/>
                <w:sz w:val="22"/>
                <w:szCs w:val="22"/>
                <w:color w:val="auto"/>
                <w:w w:val="83"/>
                <w:vertAlign w:val="superscript"/>
              </w:rPr>
              <w:t>(b)</w:t>
            </w:r>
          </w:p>
        </w:tc>
        <w:tc>
          <w:tcPr>
            <w:tcW w:w="2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400" w:type="dxa"/>
            <w:vAlign w:val="bottom"/>
            <w:gridSpan w:val="3"/>
          </w:tcPr>
          <w:p>
            <w:pPr>
              <w:jc w:val="center"/>
              <w:ind w:right="240"/>
              <w:spacing w:after="0" w:line="176" w:lineRule="exact"/>
              <w:rPr>
                <w:sz w:val="20"/>
                <w:szCs w:val="20"/>
                <w:color w:val="auto"/>
              </w:rPr>
            </w:pPr>
            <w:r>
              <w:rPr>
                <w:rFonts w:ascii="Arial" w:cs="Arial" w:eastAsia="Arial" w:hAnsi="Arial"/>
                <w:sz w:val="13"/>
                <w:szCs w:val="13"/>
                <w:color w:val="auto"/>
                <w:w w:val="90"/>
              </w:rPr>
              <w:t>Combined</w:t>
            </w:r>
            <w:r>
              <w:rPr>
                <w:rFonts w:ascii="Arial" w:cs="Arial" w:eastAsia="Arial" w:hAnsi="Arial"/>
                <w:sz w:val="20"/>
                <w:szCs w:val="20"/>
                <w:color w:val="auto"/>
                <w:w w:val="90"/>
                <w:vertAlign w:val="superscript"/>
              </w:rPr>
              <w:t>(c)</w:t>
            </w:r>
          </w:p>
        </w:tc>
        <w:tc>
          <w:tcPr>
            <w:tcW w:w="1480" w:type="dxa"/>
            <w:vAlign w:val="bottom"/>
            <w:gridSpan w:val="3"/>
            <w:vMerge w:val="continue"/>
          </w:tcPr>
          <w:p>
            <w:pPr>
              <w:spacing w:after="0"/>
              <w:rPr>
                <w:sz w:val="15"/>
                <w:szCs w:val="15"/>
                <w:color w:val="auto"/>
              </w:rPr>
            </w:pPr>
          </w:p>
        </w:tc>
        <w:tc>
          <w:tcPr>
            <w:tcW w:w="2020" w:type="dxa"/>
            <w:vAlign w:val="bottom"/>
            <w:gridSpan w:val="2"/>
          </w:tcPr>
          <w:p>
            <w:pPr>
              <w:jc w:val="right"/>
              <w:ind w:right="375"/>
              <w:spacing w:after="0"/>
              <w:rPr>
                <w:sz w:val="20"/>
                <w:szCs w:val="20"/>
                <w:color w:val="auto"/>
              </w:rPr>
            </w:pPr>
            <w:r>
              <w:rPr>
                <w:rFonts w:ascii="Arial" w:cs="Arial" w:eastAsia="Arial" w:hAnsi="Arial"/>
                <w:sz w:val="14"/>
                <w:szCs w:val="14"/>
                <w:color w:val="auto"/>
              </w:rPr>
              <w:t>Increase/(Decrease)</w:t>
            </w:r>
          </w:p>
        </w:tc>
        <w:tc>
          <w:tcPr>
            <w:tcW w:w="0" w:type="dxa"/>
            <w:vAlign w:val="bottom"/>
          </w:tcPr>
          <w:p>
            <w:pPr>
              <w:spacing w:after="0"/>
              <w:rPr>
                <w:sz w:val="1"/>
                <w:szCs w:val="1"/>
                <w:color w:val="auto"/>
              </w:rPr>
            </w:pPr>
          </w:p>
        </w:tc>
      </w:tr>
      <w:tr>
        <w:trPr>
          <w:trHeight w:val="131"/>
        </w:trPr>
        <w:tc>
          <w:tcPr>
            <w:tcW w:w="3920" w:type="dxa"/>
            <w:vAlign w:val="bottom"/>
          </w:tcPr>
          <w:p>
            <w:pPr>
              <w:spacing w:after="0"/>
              <w:rPr>
                <w:sz w:val="11"/>
                <w:szCs w:val="11"/>
                <w:color w:val="auto"/>
              </w:rPr>
            </w:pPr>
          </w:p>
        </w:tc>
        <w:tc>
          <w:tcPr>
            <w:tcW w:w="1400" w:type="dxa"/>
            <w:vAlign w:val="bottom"/>
            <w:tcBorders>
              <w:top w:val="single" w:sz="8" w:color="auto"/>
            </w:tcBorders>
            <w:gridSpan w:val="2"/>
          </w:tcPr>
          <w:p>
            <w:pPr>
              <w:jc w:val="center"/>
              <w:ind w:left="42"/>
              <w:spacing w:after="0" w:line="131" w:lineRule="exact"/>
              <w:rPr>
                <w:sz w:val="20"/>
                <w:szCs w:val="20"/>
                <w:color w:val="auto"/>
              </w:rPr>
            </w:pPr>
            <w:r>
              <w:rPr>
                <w:rFonts w:ascii="Arial" w:cs="Arial" w:eastAsia="Arial" w:hAnsi="Arial"/>
                <w:sz w:val="14"/>
                <w:szCs w:val="14"/>
                <w:color w:val="auto"/>
                <w:w w:val="87"/>
              </w:rPr>
              <w:t>For the period</w:t>
            </w:r>
          </w:p>
        </w:tc>
        <w:tc>
          <w:tcPr>
            <w:tcW w:w="1200" w:type="dxa"/>
            <w:vAlign w:val="bottom"/>
            <w:tcBorders>
              <w:top w:val="single" w:sz="8" w:color="auto"/>
            </w:tcBorders>
            <w:gridSpan w:val="2"/>
          </w:tcPr>
          <w:p>
            <w:pPr>
              <w:jc w:val="center"/>
              <w:spacing w:after="0" w:line="131" w:lineRule="exact"/>
              <w:rPr>
                <w:sz w:val="20"/>
                <w:szCs w:val="20"/>
                <w:color w:val="auto"/>
              </w:rPr>
            </w:pPr>
            <w:r>
              <w:rPr>
                <w:rFonts w:ascii="Arial" w:cs="Arial" w:eastAsia="Arial" w:hAnsi="Arial"/>
                <w:sz w:val="14"/>
                <w:szCs w:val="14"/>
                <w:color w:val="auto"/>
                <w:w w:val="89"/>
              </w:rPr>
              <w:t>For the period</w:t>
            </w:r>
          </w:p>
        </w:tc>
        <w:tc>
          <w:tcPr>
            <w:tcW w:w="2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jc w:val="center"/>
              <w:ind w:right="278"/>
              <w:spacing w:after="0" w:line="149" w:lineRule="exact"/>
              <w:rPr>
                <w:sz w:val="20"/>
                <w:szCs w:val="20"/>
                <w:color w:val="auto"/>
              </w:rPr>
            </w:pPr>
            <w:r>
              <w:rPr>
                <w:rFonts w:ascii="Arial" w:cs="Arial" w:eastAsia="Arial" w:hAnsi="Arial"/>
                <w:sz w:val="14"/>
                <w:szCs w:val="14"/>
                <w:color w:val="auto"/>
                <w:w w:val="83"/>
              </w:rPr>
              <w:t>January 29</w:t>
            </w:r>
          </w:p>
        </w:tc>
        <w:tc>
          <w:tcPr>
            <w:tcW w:w="280" w:type="dxa"/>
            <w:vAlign w:val="bottom"/>
          </w:tcPr>
          <w:p>
            <w:pPr>
              <w:spacing w:after="0"/>
              <w:rPr>
                <w:sz w:val="12"/>
                <w:szCs w:val="12"/>
                <w:color w:val="auto"/>
              </w:rPr>
            </w:pPr>
          </w:p>
        </w:tc>
        <w:tc>
          <w:tcPr>
            <w:tcW w:w="920" w:type="dxa"/>
            <w:vAlign w:val="bottom"/>
          </w:tcPr>
          <w:p>
            <w:pPr>
              <w:jc w:val="center"/>
              <w:ind w:right="260"/>
              <w:spacing w:after="0" w:line="149" w:lineRule="exact"/>
              <w:rPr>
                <w:sz w:val="20"/>
                <w:szCs w:val="20"/>
                <w:color w:val="auto"/>
              </w:rPr>
            </w:pPr>
            <w:r>
              <w:rPr>
                <w:rFonts w:ascii="Arial" w:cs="Arial" w:eastAsia="Arial" w:hAnsi="Arial"/>
                <w:sz w:val="14"/>
                <w:szCs w:val="14"/>
                <w:color w:val="auto"/>
                <w:w w:val="87"/>
              </w:rPr>
              <w:t>January 1</w:t>
            </w:r>
          </w:p>
        </w:tc>
        <w:tc>
          <w:tcPr>
            <w:tcW w:w="140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1"/>
              </w:rPr>
              <w:t>Nine Months</w:t>
            </w:r>
          </w:p>
        </w:tc>
        <w:tc>
          <w:tcPr>
            <w:tcW w:w="148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1"/>
              </w:rPr>
              <w:t>Nine Months</w:t>
            </w:r>
          </w:p>
        </w:tc>
        <w:tc>
          <w:tcPr>
            <w:tcW w:w="1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jc w:val="center"/>
              <w:ind w:right="278"/>
              <w:spacing w:after="0" w:line="149" w:lineRule="exact"/>
              <w:rPr>
                <w:sz w:val="20"/>
                <w:szCs w:val="20"/>
                <w:color w:val="auto"/>
              </w:rPr>
            </w:pPr>
            <w:r>
              <w:rPr>
                <w:rFonts w:ascii="Arial" w:cs="Arial" w:eastAsia="Arial" w:hAnsi="Arial"/>
                <w:sz w:val="14"/>
                <w:szCs w:val="14"/>
                <w:color w:val="auto"/>
                <w:w w:val="88"/>
              </w:rPr>
              <w:t>through</w:t>
            </w:r>
          </w:p>
        </w:tc>
        <w:tc>
          <w:tcPr>
            <w:tcW w:w="280" w:type="dxa"/>
            <w:vAlign w:val="bottom"/>
          </w:tcPr>
          <w:p>
            <w:pPr>
              <w:spacing w:after="0"/>
              <w:rPr>
                <w:sz w:val="12"/>
                <w:szCs w:val="12"/>
                <w:color w:val="auto"/>
              </w:rPr>
            </w:pPr>
          </w:p>
        </w:tc>
        <w:tc>
          <w:tcPr>
            <w:tcW w:w="920" w:type="dxa"/>
            <w:vAlign w:val="bottom"/>
          </w:tcPr>
          <w:p>
            <w:pPr>
              <w:jc w:val="center"/>
              <w:ind w:right="260"/>
              <w:spacing w:after="0" w:line="149" w:lineRule="exact"/>
              <w:rPr>
                <w:sz w:val="20"/>
                <w:szCs w:val="20"/>
                <w:color w:val="auto"/>
              </w:rPr>
            </w:pPr>
            <w:r>
              <w:rPr>
                <w:rFonts w:ascii="Arial" w:cs="Arial" w:eastAsia="Arial" w:hAnsi="Arial"/>
                <w:sz w:val="14"/>
                <w:szCs w:val="14"/>
                <w:color w:val="auto"/>
                <w:w w:val="88"/>
              </w:rPr>
              <w:t>through</w:t>
            </w:r>
          </w:p>
        </w:tc>
        <w:tc>
          <w:tcPr>
            <w:tcW w:w="280" w:type="dxa"/>
            <w:vAlign w:val="bottom"/>
          </w:tcPr>
          <w:p>
            <w:pPr>
              <w:spacing w:after="0"/>
              <w:rPr>
                <w:sz w:val="12"/>
                <w:szCs w:val="12"/>
                <w:color w:val="auto"/>
              </w:rPr>
            </w:pP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88"/>
              </w:rPr>
              <w:t>Ended</w:t>
            </w:r>
          </w:p>
        </w:tc>
        <w:tc>
          <w:tcPr>
            <w:tcW w:w="440" w:type="dxa"/>
            <w:vAlign w:val="bottom"/>
          </w:tcPr>
          <w:p>
            <w:pPr>
              <w:spacing w:after="0"/>
              <w:rPr>
                <w:sz w:val="12"/>
                <w:szCs w:val="12"/>
                <w:color w:val="auto"/>
              </w:rPr>
            </w:pPr>
          </w:p>
        </w:tc>
        <w:tc>
          <w:tcPr>
            <w:tcW w:w="104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3"/>
              </w:rPr>
              <w:t>Ended</w:t>
            </w:r>
          </w:p>
        </w:tc>
        <w:tc>
          <w:tcPr>
            <w:tcW w:w="1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920" w:type="dxa"/>
            <w:vAlign w:val="bottom"/>
          </w:tcPr>
          <w:p>
            <w:pPr>
              <w:spacing w:after="0" w:line="159" w:lineRule="exact"/>
              <w:rPr>
                <w:sz w:val="20"/>
                <w:szCs w:val="20"/>
                <w:color w:val="auto"/>
              </w:rPr>
            </w:pPr>
            <w:r>
              <w:rPr>
                <w:rFonts w:ascii="Arial" w:cs="Arial" w:eastAsia="Arial" w:hAnsi="Arial"/>
                <w:sz w:val="14"/>
                <w:szCs w:val="14"/>
                <w:color w:val="auto"/>
              </w:rPr>
              <w:t>(in millions)</w:t>
            </w:r>
          </w:p>
        </w:tc>
        <w:tc>
          <w:tcPr>
            <w:tcW w:w="1400" w:type="dxa"/>
            <w:vAlign w:val="bottom"/>
            <w:gridSpan w:val="2"/>
          </w:tcPr>
          <w:p>
            <w:pPr>
              <w:jc w:val="center"/>
              <w:ind w:left="22"/>
              <w:spacing w:after="0" w:line="159" w:lineRule="exact"/>
              <w:rPr>
                <w:sz w:val="20"/>
                <w:szCs w:val="20"/>
                <w:color w:val="auto"/>
              </w:rPr>
            </w:pPr>
            <w:r>
              <w:rPr>
                <w:rFonts w:ascii="Arial" w:cs="Arial" w:eastAsia="Arial" w:hAnsi="Arial"/>
                <w:sz w:val="14"/>
                <w:szCs w:val="14"/>
                <w:color w:val="auto"/>
                <w:w w:val="84"/>
              </w:rPr>
              <w:t>September 30</w:t>
            </w:r>
          </w:p>
        </w:tc>
        <w:tc>
          <w:tcPr>
            <w:tcW w:w="280" w:type="dxa"/>
            <w:vAlign w:val="bottom"/>
          </w:tcPr>
          <w:p>
            <w:pPr>
              <w:spacing w:after="0"/>
              <w:rPr>
                <w:sz w:val="13"/>
                <w:szCs w:val="13"/>
                <w:color w:val="auto"/>
              </w:rPr>
            </w:pPr>
          </w:p>
        </w:tc>
        <w:tc>
          <w:tcPr>
            <w:tcW w:w="920" w:type="dxa"/>
            <w:vAlign w:val="bottom"/>
          </w:tcPr>
          <w:p>
            <w:pPr>
              <w:jc w:val="center"/>
              <w:ind w:right="260"/>
              <w:spacing w:after="0" w:line="159" w:lineRule="exact"/>
              <w:rPr>
                <w:sz w:val="20"/>
                <w:szCs w:val="20"/>
                <w:color w:val="auto"/>
              </w:rPr>
            </w:pPr>
            <w:r>
              <w:rPr>
                <w:rFonts w:ascii="Arial" w:cs="Arial" w:eastAsia="Arial" w:hAnsi="Arial"/>
                <w:sz w:val="14"/>
                <w:szCs w:val="14"/>
                <w:color w:val="auto"/>
                <w:w w:val="83"/>
              </w:rPr>
              <w:t>January 28</w:t>
            </w:r>
          </w:p>
        </w:tc>
        <w:tc>
          <w:tcPr>
            <w:tcW w:w="1400" w:type="dxa"/>
            <w:vAlign w:val="bottom"/>
            <w:gridSpan w:val="3"/>
          </w:tcPr>
          <w:p>
            <w:pPr>
              <w:jc w:val="center"/>
              <w:ind w:right="240"/>
              <w:spacing w:after="0" w:line="159" w:lineRule="exact"/>
              <w:rPr>
                <w:sz w:val="20"/>
                <w:szCs w:val="20"/>
                <w:color w:val="auto"/>
              </w:rPr>
            </w:pPr>
            <w:r>
              <w:rPr>
                <w:rFonts w:ascii="Arial" w:cs="Arial" w:eastAsia="Arial" w:hAnsi="Arial"/>
                <w:sz w:val="14"/>
                <w:szCs w:val="14"/>
                <w:color w:val="auto"/>
                <w:w w:val="86"/>
              </w:rPr>
              <w:t>September 30</w:t>
            </w:r>
          </w:p>
        </w:tc>
        <w:tc>
          <w:tcPr>
            <w:tcW w:w="1480" w:type="dxa"/>
            <w:vAlign w:val="bottom"/>
            <w:gridSpan w:val="3"/>
          </w:tcPr>
          <w:p>
            <w:pPr>
              <w:jc w:val="center"/>
              <w:ind w:right="120"/>
              <w:spacing w:after="0" w:line="159" w:lineRule="exact"/>
              <w:rPr>
                <w:sz w:val="20"/>
                <w:szCs w:val="20"/>
                <w:color w:val="auto"/>
              </w:rPr>
            </w:pPr>
            <w:r>
              <w:rPr>
                <w:rFonts w:ascii="Arial" w:cs="Arial" w:eastAsia="Arial" w:hAnsi="Arial"/>
                <w:sz w:val="14"/>
                <w:szCs w:val="14"/>
                <w:color w:val="auto"/>
                <w:w w:val="86"/>
              </w:rPr>
              <w:t>September 30</w:t>
            </w:r>
          </w:p>
        </w:tc>
        <w:tc>
          <w:tcPr>
            <w:tcW w:w="1040" w:type="dxa"/>
            <w:vAlign w:val="bottom"/>
          </w:tcPr>
          <w:p>
            <w:pPr>
              <w:jc w:val="right"/>
              <w:ind w:right="398"/>
              <w:spacing w:after="0" w:line="15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435"/>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39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60" w:type="dxa"/>
            <w:vAlign w:val="bottom"/>
            <w:tcBorders>
              <w:top w:val="single" w:sz="8" w:color="auto"/>
            </w:tcBorders>
            <w:shd w:val="clear" w:color="auto" w:fill="E5E5E5"/>
          </w:tcPr>
          <w:p>
            <w:pPr>
              <w:spacing w:after="0"/>
              <w:rPr>
                <w:sz w:val="18"/>
                <w:szCs w:val="18"/>
                <w:color w:val="auto"/>
              </w:rPr>
            </w:pPr>
          </w:p>
        </w:tc>
        <w:tc>
          <w:tcPr>
            <w:tcW w:w="94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92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E5E5E5"/>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E5E5E5"/>
            </w:tcBorders>
            <w:shd w:val="clear" w:color="auto" w:fill="E5E5E5"/>
          </w:tcPr>
          <w:p>
            <w:pPr>
              <w:spacing w:after="0"/>
              <w:rPr>
                <w:sz w:val="18"/>
                <w:szCs w:val="18"/>
                <w:color w:val="auto"/>
              </w:rPr>
            </w:pPr>
          </w:p>
        </w:tc>
        <w:tc>
          <w:tcPr>
            <w:tcW w:w="1040" w:type="dxa"/>
            <w:vAlign w:val="bottom"/>
            <w:tcBorders>
              <w:top w:val="single" w:sz="8" w:color="auto"/>
            </w:tcBorders>
            <w:shd w:val="clear" w:color="auto" w:fill="E5E5E5"/>
          </w:tcPr>
          <w:p>
            <w:pPr>
              <w:spacing w:after="0"/>
              <w:rPr>
                <w:sz w:val="18"/>
                <w:szCs w:val="18"/>
                <w:color w:val="auto"/>
              </w:rPr>
            </w:pPr>
          </w:p>
        </w:tc>
        <w:tc>
          <w:tcPr>
            <w:tcW w:w="98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Arial" w:cs="Arial" w:eastAsia="Arial" w:hAnsi="Arial"/>
                <w:sz w:val="18"/>
                <w:szCs w:val="18"/>
                <w:color w:val="auto"/>
              </w:rPr>
              <w:t>Theatrical</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78"/>
              <w:spacing w:after="0"/>
              <w:rPr>
                <w:sz w:val="20"/>
                <w:szCs w:val="20"/>
                <w:color w:val="auto"/>
              </w:rPr>
            </w:pPr>
            <w:r>
              <w:rPr>
                <w:rFonts w:ascii="Arial" w:cs="Arial" w:eastAsia="Arial" w:hAnsi="Arial"/>
                <w:sz w:val="18"/>
                <w:szCs w:val="18"/>
                <w:color w:val="auto"/>
              </w:rPr>
              <w:t>816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60"/>
              <w:spacing w:after="0"/>
              <w:rPr>
                <w:sz w:val="20"/>
                <w:szCs w:val="20"/>
                <w:color w:val="auto"/>
              </w:rPr>
            </w:pPr>
            <w:r>
              <w:rPr>
                <w:rFonts w:ascii="Arial" w:cs="Arial" w:eastAsia="Arial" w:hAnsi="Arial"/>
                <w:sz w:val="18"/>
                <w:szCs w:val="18"/>
                <w:color w:val="auto"/>
              </w:rPr>
              <w:t>58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874</w:t>
            </w: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7"/>
              <w:spacing w:after="0"/>
              <w:rPr>
                <w:sz w:val="20"/>
                <w:szCs w:val="20"/>
                <w:color w:val="auto"/>
              </w:rPr>
            </w:pPr>
            <w:r>
              <w:rPr>
                <w:rFonts w:ascii="Arial" w:cs="Arial" w:eastAsia="Arial" w:hAnsi="Arial"/>
                <w:sz w:val="18"/>
                <w:szCs w:val="18"/>
                <w:color w:val="auto"/>
              </w:rPr>
              <w:t>724</w:t>
            </w:r>
          </w:p>
        </w:tc>
        <w:tc>
          <w:tcPr>
            <w:tcW w:w="320" w:type="dxa"/>
            <w:vAlign w:val="bottom"/>
          </w:tcPr>
          <w:p>
            <w:pPr>
              <w:spacing w:after="0"/>
              <w:rPr>
                <w:sz w:val="18"/>
                <w:szCs w:val="18"/>
                <w:color w:val="auto"/>
              </w:rPr>
            </w:pPr>
          </w:p>
        </w:tc>
        <w:tc>
          <w:tcPr>
            <w:tcW w:w="1040" w:type="dxa"/>
            <w:vAlign w:val="bottom"/>
          </w:tcPr>
          <w:p>
            <w:pPr>
              <w:jc w:val="right"/>
              <w:ind w:right="198"/>
              <w:spacing w:after="0"/>
              <w:rPr>
                <w:sz w:val="20"/>
                <w:szCs w:val="20"/>
                <w:color w:val="auto"/>
              </w:rPr>
            </w:pPr>
            <w:r>
              <w:rPr>
                <w:rFonts w:ascii="Arial" w:cs="Arial" w:eastAsia="Arial" w:hAnsi="Arial"/>
                <w:sz w:val="18"/>
                <w:szCs w:val="18"/>
                <w:color w:val="auto"/>
              </w:rPr>
              <w:t>$ 150</w:t>
            </w: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39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Content licensing</w:t>
            </w:r>
          </w:p>
        </w:tc>
        <w:tc>
          <w:tcPr>
            <w:tcW w:w="46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178"/>
              <w:spacing w:after="0"/>
              <w:rPr>
                <w:sz w:val="20"/>
                <w:szCs w:val="20"/>
                <w:color w:val="auto"/>
              </w:rPr>
            </w:pPr>
            <w:r>
              <w:rPr>
                <w:rFonts w:ascii="Arial" w:cs="Arial" w:eastAsia="Arial" w:hAnsi="Arial"/>
                <w:sz w:val="18"/>
                <w:szCs w:val="18"/>
                <w:color w:val="auto"/>
              </w:rPr>
              <w:t>867</w:t>
            </w:r>
          </w:p>
        </w:tc>
        <w:tc>
          <w:tcPr>
            <w:tcW w:w="28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160"/>
              <w:spacing w:after="0"/>
              <w:rPr>
                <w:sz w:val="20"/>
                <w:szCs w:val="20"/>
                <w:color w:val="auto"/>
              </w:rPr>
            </w:pPr>
            <w:r>
              <w:rPr>
                <w:rFonts w:ascii="Arial" w:cs="Arial" w:eastAsia="Arial" w:hAnsi="Arial"/>
                <w:sz w:val="18"/>
                <w:szCs w:val="18"/>
                <w:color w:val="auto"/>
              </w:rPr>
              <w:t>171</w:t>
            </w:r>
          </w:p>
        </w:tc>
        <w:tc>
          <w:tcPr>
            <w:tcW w:w="2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1,038</w:t>
            </w:r>
          </w:p>
        </w:tc>
        <w:tc>
          <w:tcPr>
            <w:tcW w:w="3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1,007</w:t>
            </w:r>
          </w:p>
        </w:tc>
        <w:tc>
          <w:tcPr>
            <w:tcW w:w="320" w:type="dxa"/>
            <w:vAlign w:val="bottom"/>
            <w:shd w:val="clear" w:color="auto" w:fill="E5E5E5"/>
          </w:tcPr>
          <w:p>
            <w:pPr>
              <w:spacing w:after="0"/>
              <w:rPr>
                <w:sz w:val="18"/>
                <w:szCs w:val="18"/>
                <w:color w:val="auto"/>
              </w:rPr>
            </w:pPr>
          </w:p>
        </w:tc>
        <w:tc>
          <w:tcPr>
            <w:tcW w:w="1040" w:type="dxa"/>
            <w:vAlign w:val="bottom"/>
            <w:shd w:val="clear" w:color="auto" w:fill="E5E5E5"/>
          </w:tcPr>
          <w:p>
            <w:pPr>
              <w:jc w:val="right"/>
              <w:ind w:right="198"/>
              <w:spacing w:after="0"/>
              <w:rPr>
                <w:sz w:val="20"/>
                <w:szCs w:val="20"/>
                <w:color w:val="auto"/>
              </w:rPr>
            </w:pPr>
            <w:r>
              <w:rPr>
                <w:rFonts w:ascii="Arial" w:cs="Arial" w:eastAsia="Arial" w:hAnsi="Arial"/>
                <w:sz w:val="18"/>
                <w:szCs w:val="18"/>
                <w:color w:val="auto"/>
              </w:rPr>
              <w:t>31</w:t>
            </w:r>
          </w:p>
        </w:tc>
        <w:tc>
          <w:tcPr>
            <w:tcW w:w="98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Arial" w:cs="Arial" w:eastAsia="Arial" w:hAnsi="Arial"/>
                <w:sz w:val="18"/>
                <w:szCs w:val="18"/>
                <w:color w:val="auto"/>
              </w:rPr>
              <w:t>Home entertainment</w:t>
            </w:r>
          </w:p>
        </w:tc>
        <w:tc>
          <w:tcPr>
            <w:tcW w:w="460" w:type="dxa"/>
            <w:vAlign w:val="bottom"/>
          </w:tcPr>
          <w:p>
            <w:pPr>
              <w:spacing w:after="0"/>
              <w:rPr>
                <w:sz w:val="18"/>
                <w:szCs w:val="18"/>
                <w:color w:val="auto"/>
              </w:rPr>
            </w:pPr>
          </w:p>
        </w:tc>
        <w:tc>
          <w:tcPr>
            <w:tcW w:w="940" w:type="dxa"/>
            <w:vAlign w:val="bottom"/>
          </w:tcPr>
          <w:p>
            <w:pPr>
              <w:jc w:val="right"/>
              <w:ind w:right="178"/>
              <w:spacing w:after="0"/>
              <w:rPr>
                <w:sz w:val="20"/>
                <w:szCs w:val="20"/>
                <w:color w:val="auto"/>
              </w:rPr>
            </w:pPr>
            <w:r>
              <w:rPr>
                <w:rFonts w:ascii="Arial" w:cs="Arial" w:eastAsia="Arial" w:hAnsi="Arial"/>
                <w:sz w:val="18"/>
                <w:szCs w:val="18"/>
                <w:color w:val="auto"/>
              </w:rPr>
              <w:t>947</w:t>
            </w:r>
          </w:p>
        </w:tc>
        <w:tc>
          <w:tcPr>
            <w:tcW w:w="280" w:type="dxa"/>
            <w:vAlign w:val="bottom"/>
          </w:tcPr>
          <w:p>
            <w:pPr>
              <w:spacing w:after="0"/>
              <w:rPr>
                <w:sz w:val="18"/>
                <w:szCs w:val="18"/>
                <w:color w:val="auto"/>
              </w:rPr>
            </w:pPr>
          </w:p>
        </w:tc>
        <w:tc>
          <w:tcPr>
            <w:tcW w:w="920" w:type="dxa"/>
            <w:vAlign w:val="bottom"/>
          </w:tcPr>
          <w:p>
            <w:pPr>
              <w:jc w:val="right"/>
              <w:ind w:right="160"/>
              <w:spacing w:after="0"/>
              <w:rPr>
                <w:sz w:val="20"/>
                <w:szCs w:val="20"/>
                <w:color w:val="auto"/>
              </w:rPr>
            </w:pPr>
            <w:r>
              <w:rPr>
                <w:rFonts w:ascii="Arial" w:cs="Arial" w:eastAsia="Arial" w:hAnsi="Arial"/>
                <w:sz w:val="18"/>
                <w:szCs w:val="18"/>
                <w:color w:val="auto"/>
              </w:rPr>
              <w:t>96</w:t>
            </w:r>
          </w:p>
        </w:tc>
        <w:tc>
          <w:tcPr>
            <w:tcW w:w="280" w:type="dxa"/>
            <w:vAlign w:val="bottom"/>
          </w:tcPr>
          <w:p>
            <w:pPr>
              <w:spacing w:after="0"/>
              <w:rPr>
                <w:sz w:val="18"/>
                <w:szCs w:val="18"/>
                <w:color w:val="auto"/>
              </w:rPr>
            </w:pP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1,043</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jc w:val="right"/>
              <w:ind w:right="17"/>
              <w:spacing w:after="0"/>
              <w:rPr>
                <w:sz w:val="20"/>
                <w:szCs w:val="20"/>
                <w:color w:val="auto"/>
              </w:rPr>
            </w:pPr>
            <w:r>
              <w:rPr>
                <w:rFonts w:ascii="Arial" w:cs="Arial" w:eastAsia="Arial" w:hAnsi="Arial"/>
                <w:sz w:val="18"/>
                <w:szCs w:val="18"/>
                <w:color w:val="auto"/>
              </w:rPr>
              <w:t>1,090</w:t>
            </w:r>
          </w:p>
        </w:tc>
        <w:tc>
          <w:tcPr>
            <w:tcW w:w="320" w:type="dxa"/>
            <w:vAlign w:val="bottom"/>
          </w:tcPr>
          <w:p>
            <w:pPr>
              <w:spacing w:after="0"/>
              <w:rPr>
                <w:sz w:val="18"/>
                <w:szCs w:val="18"/>
                <w:color w:val="auto"/>
              </w:rPr>
            </w:pPr>
          </w:p>
        </w:tc>
        <w:tc>
          <w:tcPr>
            <w:tcW w:w="1040" w:type="dxa"/>
            <w:vAlign w:val="bottom"/>
          </w:tcPr>
          <w:p>
            <w:pPr>
              <w:jc w:val="right"/>
              <w:ind w:right="158"/>
              <w:spacing w:after="0"/>
              <w:rPr>
                <w:sz w:val="20"/>
                <w:szCs w:val="20"/>
                <w:color w:val="auto"/>
              </w:rPr>
            </w:pPr>
            <w:r>
              <w:rPr>
                <w:rFonts w:ascii="Arial" w:cs="Arial" w:eastAsia="Arial" w:hAnsi="Arial"/>
                <w:sz w:val="18"/>
                <w:szCs w:val="18"/>
                <w:color w:val="auto"/>
              </w:rPr>
              <w:t>(47)</w:t>
            </w:r>
          </w:p>
        </w:tc>
        <w:tc>
          <w:tcPr>
            <w:tcW w:w="980" w:type="dxa"/>
            <w:vAlign w:val="bottom"/>
          </w:tcPr>
          <w:p>
            <w:pPr>
              <w:jc w:val="right"/>
              <w:ind w:right="135"/>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jc w:val="right"/>
              <w:ind w:right="178"/>
              <w:spacing w:after="0"/>
              <w:rPr>
                <w:sz w:val="20"/>
                <w:szCs w:val="20"/>
                <w:color w:val="auto"/>
              </w:rPr>
            </w:pPr>
            <w:r>
              <w:rPr>
                <w:rFonts w:ascii="Arial" w:cs="Arial" w:eastAsia="Arial" w:hAnsi="Arial"/>
                <w:sz w:val="18"/>
                <w:szCs w:val="18"/>
                <w:color w:val="auto"/>
              </w:rPr>
              <w:t>342</w:t>
            </w:r>
          </w:p>
        </w:tc>
        <w:tc>
          <w:tcPr>
            <w:tcW w:w="28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jc w:val="right"/>
              <w:ind w:right="160"/>
              <w:spacing w:after="0"/>
              <w:rPr>
                <w:sz w:val="20"/>
                <w:szCs w:val="20"/>
                <w:color w:val="auto"/>
              </w:rPr>
            </w:pPr>
            <w:r>
              <w:rPr>
                <w:rFonts w:ascii="Arial" w:cs="Arial" w:eastAsia="Arial" w:hAnsi="Arial"/>
                <w:sz w:val="18"/>
                <w:szCs w:val="18"/>
                <w:color w:val="auto"/>
              </w:rPr>
              <w:t>28</w:t>
            </w:r>
          </w:p>
        </w:tc>
        <w:tc>
          <w:tcPr>
            <w:tcW w:w="2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rPr>
              <w:t>370</w:t>
            </w:r>
          </w:p>
        </w:tc>
        <w:tc>
          <w:tcPr>
            <w:tcW w:w="340" w:type="dxa"/>
            <w:vAlign w:val="bottom"/>
            <w:tcBorders>
              <w:bottom w:val="single" w:sz="8" w:color="E5E5E5"/>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rPr>
              <w:t>466</w:t>
            </w:r>
          </w:p>
        </w:tc>
        <w:tc>
          <w:tcPr>
            <w:tcW w:w="320" w:type="dxa"/>
            <w:vAlign w:val="bottom"/>
            <w:tcBorders>
              <w:bottom w:val="single" w:sz="8" w:color="E5E5E5"/>
            </w:tcBorders>
            <w:shd w:val="clear" w:color="auto" w:fill="E5E5E5"/>
          </w:tcPr>
          <w:p>
            <w:pPr>
              <w:spacing w:after="0"/>
              <w:rPr>
                <w:sz w:val="18"/>
                <w:szCs w:val="18"/>
                <w:color w:val="auto"/>
              </w:rPr>
            </w:pPr>
          </w:p>
        </w:tc>
        <w:tc>
          <w:tcPr>
            <w:tcW w:w="1040" w:type="dxa"/>
            <w:vAlign w:val="bottom"/>
            <w:tcBorders>
              <w:bottom w:val="single" w:sz="8" w:color="auto"/>
            </w:tcBorders>
            <w:shd w:val="clear" w:color="auto" w:fill="E5E5E5"/>
          </w:tcPr>
          <w:p>
            <w:pPr>
              <w:jc w:val="right"/>
              <w:ind w:right="158"/>
              <w:spacing w:after="0"/>
              <w:rPr>
                <w:sz w:val="20"/>
                <w:szCs w:val="20"/>
                <w:color w:val="auto"/>
              </w:rPr>
            </w:pPr>
            <w:r>
              <w:rPr>
                <w:rFonts w:ascii="Arial" w:cs="Arial" w:eastAsia="Arial" w:hAnsi="Arial"/>
                <w:sz w:val="18"/>
                <w:szCs w:val="18"/>
                <w:color w:val="auto"/>
              </w:rPr>
              <w:t>(96)</w:t>
            </w:r>
          </w:p>
        </w:tc>
        <w:tc>
          <w:tcPr>
            <w:tcW w:w="98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0"/>
        </w:trPr>
        <w:tc>
          <w:tcPr>
            <w:tcW w:w="392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460" w:type="dxa"/>
            <w:vAlign w:val="bottom"/>
          </w:tcPr>
          <w:p>
            <w:pPr>
              <w:spacing w:after="0"/>
              <w:rPr>
                <w:sz w:val="18"/>
                <w:szCs w:val="18"/>
                <w:color w:val="auto"/>
              </w:rPr>
            </w:pPr>
          </w:p>
        </w:tc>
        <w:tc>
          <w:tcPr>
            <w:tcW w:w="940" w:type="dxa"/>
            <w:vAlign w:val="bottom"/>
          </w:tcPr>
          <w:p>
            <w:pPr>
              <w:jc w:val="right"/>
              <w:ind w:right="178"/>
              <w:spacing w:after="0"/>
              <w:rPr>
                <w:sz w:val="20"/>
                <w:szCs w:val="20"/>
                <w:color w:val="auto"/>
              </w:rPr>
            </w:pPr>
            <w:r>
              <w:rPr>
                <w:rFonts w:ascii="Arial" w:cs="Arial" w:eastAsia="Arial" w:hAnsi="Arial"/>
                <w:sz w:val="18"/>
                <w:szCs w:val="18"/>
                <w:color w:val="auto"/>
              </w:rPr>
              <w:t>2,972</w:t>
            </w:r>
          </w:p>
        </w:tc>
        <w:tc>
          <w:tcPr>
            <w:tcW w:w="280" w:type="dxa"/>
            <w:vAlign w:val="bottom"/>
          </w:tcPr>
          <w:p>
            <w:pPr>
              <w:spacing w:after="0"/>
              <w:rPr>
                <w:sz w:val="18"/>
                <w:szCs w:val="18"/>
                <w:color w:val="auto"/>
              </w:rPr>
            </w:pPr>
          </w:p>
        </w:tc>
        <w:tc>
          <w:tcPr>
            <w:tcW w:w="920" w:type="dxa"/>
            <w:vAlign w:val="bottom"/>
          </w:tcPr>
          <w:p>
            <w:pPr>
              <w:jc w:val="right"/>
              <w:ind w:right="160"/>
              <w:spacing w:after="0"/>
              <w:rPr>
                <w:sz w:val="20"/>
                <w:szCs w:val="20"/>
                <w:color w:val="auto"/>
              </w:rPr>
            </w:pPr>
            <w:r>
              <w:rPr>
                <w:rFonts w:ascii="Arial" w:cs="Arial" w:eastAsia="Arial" w:hAnsi="Arial"/>
                <w:sz w:val="18"/>
                <w:szCs w:val="18"/>
                <w:color w:val="auto"/>
              </w:rPr>
              <w:t>353</w:t>
            </w:r>
          </w:p>
        </w:tc>
        <w:tc>
          <w:tcPr>
            <w:tcW w:w="280" w:type="dxa"/>
            <w:vAlign w:val="bottom"/>
          </w:tcPr>
          <w:p>
            <w:pPr>
              <w:spacing w:after="0"/>
              <w:rPr>
                <w:sz w:val="18"/>
                <w:szCs w:val="18"/>
                <w:color w:val="auto"/>
              </w:rPr>
            </w:pP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3,325</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jc w:val="right"/>
              <w:ind w:right="17"/>
              <w:spacing w:after="0"/>
              <w:rPr>
                <w:sz w:val="20"/>
                <w:szCs w:val="20"/>
                <w:color w:val="auto"/>
              </w:rPr>
            </w:pPr>
            <w:r>
              <w:rPr>
                <w:rFonts w:ascii="Arial" w:cs="Arial" w:eastAsia="Arial" w:hAnsi="Arial"/>
                <w:sz w:val="18"/>
                <w:szCs w:val="18"/>
                <w:color w:val="auto"/>
              </w:rPr>
              <w:t>3,287</w:t>
            </w:r>
          </w:p>
        </w:tc>
        <w:tc>
          <w:tcPr>
            <w:tcW w:w="320" w:type="dxa"/>
            <w:vAlign w:val="bottom"/>
          </w:tcPr>
          <w:p>
            <w:pPr>
              <w:spacing w:after="0"/>
              <w:rPr>
                <w:sz w:val="18"/>
                <w:szCs w:val="18"/>
                <w:color w:val="auto"/>
              </w:rPr>
            </w:pPr>
          </w:p>
        </w:tc>
        <w:tc>
          <w:tcPr>
            <w:tcW w:w="1040" w:type="dxa"/>
            <w:vAlign w:val="bottom"/>
          </w:tcPr>
          <w:p>
            <w:pPr>
              <w:jc w:val="right"/>
              <w:ind w:right="198"/>
              <w:spacing w:after="0"/>
              <w:rPr>
                <w:sz w:val="20"/>
                <w:szCs w:val="20"/>
                <w:color w:val="auto"/>
              </w:rPr>
            </w:pPr>
            <w:r>
              <w:rPr>
                <w:rFonts w:ascii="Arial" w:cs="Arial" w:eastAsia="Arial" w:hAnsi="Arial"/>
                <w:sz w:val="18"/>
                <w:szCs w:val="18"/>
                <w:color w:val="auto"/>
              </w:rPr>
              <w:t>38</w:t>
            </w:r>
          </w:p>
        </w:tc>
        <w:tc>
          <w:tcPr>
            <w:tcW w:w="980" w:type="dxa"/>
            <w:vAlign w:val="bottom"/>
          </w:tcPr>
          <w:p>
            <w:pPr>
              <w:jc w:val="right"/>
              <w:ind w:right="195"/>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Operating costs and expenses</w:t>
            </w:r>
          </w:p>
        </w:tc>
        <w:tc>
          <w:tcPr>
            <w:tcW w:w="46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jc w:val="right"/>
              <w:ind w:right="178"/>
              <w:spacing w:after="0"/>
              <w:rPr>
                <w:sz w:val="20"/>
                <w:szCs w:val="20"/>
                <w:color w:val="auto"/>
              </w:rPr>
            </w:pPr>
            <w:r>
              <w:rPr>
                <w:rFonts w:ascii="Arial" w:cs="Arial" w:eastAsia="Arial" w:hAnsi="Arial"/>
                <w:sz w:val="18"/>
                <w:szCs w:val="18"/>
                <w:color w:val="auto"/>
              </w:rPr>
              <w:t>3,034</w:t>
            </w:r>
          </w:p>
        </w:tc>
        <w:tc>
          <w:tcPr>
            <w:tcW w:w="28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jc w:val="right"/>
              <w:ind w:right="160"/>
              <w:spacing w:after="0"/>
              <w:rPr>
                <w:sz w:val="20"/>
                <w:szCs w:val="20"/>
                <w:color w:val="auto"/>
              </w:rPr>
            </w:pPr>
            <w:r>
              <w:rPr>
                <w:rFonts w:ascii="Arial" w:cs="Arial" w:eastAsia="Arial" w:hAnsi="Arial"/>
                <w:sz w:val="18"/>
                <w:szCs w:val="18"/>
                <w:color w:val="auto"/>
              </w:rPr>
              <w:t>356</w:t>
            </w:r>
          </w:p>
        </w:tc>
        <w:tc>
          <w:tcPr>
            <w:tcW w:w="2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rPr>
              <w:t>3,390</w:t>
            </w:r>
          </w:p>
        </w:tc>
        <w:tc>
          <w:tcPr>
            <w:tcW w:w="340" w:type="dxa"/>
            <w:vAlign w:val="bottom"/>
            <w:tcBorders>
              <w:bottom w:val="single" w:sz="8" w:color="E5E5E5"/>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rPr>
              <w:t>3,229</w:t>
            </w:r>
          </w:p>
        </w:tc>
        <w:tc>
          <w:tcPr>
            <w:tcW w:w="320" w:type="dxa"/>
            <w:vAlign w:val="bottom"/>
            <w:tcBorders>
              <w:bottom w:val="single" w:sz="8" w:color="E5E5E5"/>
            </w:tcBorders>
            <w:shd w:val="clear" w:color="auto" w:fill="E5E5E5"/>
          </w:tcPr>
          <w:p>
            <w:pPr>
              <w:spacing w:after="0"/>
              <w:rPr>
                <w:sz w:val="18"/>
                <w:szCs w:val="18"/>
                <w:color w:val="auto"/>
              </w:rPr>
            </w:pPr>
          </w:p>
        </w:tc>
        <w:tc>
          <w:tcPr>
            <w:tcW w:w="1040" w:type="dxa"/>
            <w:vAlign w:val="bottom"/>
            <w:tcBorders>
              <w:bottom w:val="single" w:sz="8" w:color="auto"/>
            </w:tcBorders>
            <w:shd w:val="clear" w:color="auto" w:fill="E5E5E5"/>
          </w:tcPr>
          <w:p>
            <w:pPr>
              <w:jc w:val="right"/>
              <w:ind w:right="198"/>
              <w:spacing w:after="0"/>
              <w:rPr>
                <w:sz w:val="20"/>
                <w:szCs w:val="20"/>
                <w:color w:val="auto"/>
              </w:rPr>
            </w:pPr>
            <w:r>
              <w:rPr>
                <w:rFonts w:ascii="Arial" w:cs="Arial" w:eastAsia="Arial" w:hAnsi="Arial"/>
                <w:sz w:val="18"/>
                <w:szCs w:val="18"/>
                <w:color w:val="auto"/>
              </w:rPr>
              <w:t>161</w:t>
            </w:r>
          </w:p>
        </w:tc>
        <w:tc>
          <w:tcPr>
            <w:tcW w:w="98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5"/>
        </w:trPr>
        <w:tc>
          <w:tcPr>
            <w:tcW w:w="3920" w:type="dxa"/>
            <w:vAlign w:val="bottom"/>
          </w:tcPr>
          <w:p>
            <w:pPr>
              <w:spacing w:after="0" w:line="195" w:lineRule="exact"/>
              <w:rPr>
                <w:sz w:val="20"/>
                <w:szCs w:val="20"/>
                <w:color w:val="auto"/>
              </w:rPr>
            </w:pPr>
            <w:r>
              <w:rPr>
                <w:rFonts w:ascii="Arial" w:cs="Arial" w:eastAsia="Arial" w:hAnsi="Arial"/>
                <w:sz w:val="18"/>
                <w:szCs w:val="18"/>
                <w:b w:val="1"/>
                <w:bCs w:val="1"/>
                <w:color w:val="auto"/>
              </w:rPr>
              <w:t>Operating income before depreciation and</w:t>
            </w: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9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amortization</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b w:val="1"/>
                <w:bCs w:val="1"/>
                <w:color w:val="auto"/>
              </w:rPr>
              <w:t>(62)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8"/>
                <w:szCs w:val="18"/>
                <w:b w:val="1"/>
                <w:bCs w:val="1"/>
                <w:color w:val="auto"/>
              </w:rPr>
              <w:t>(3)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w:t>
            </w:r>
          </w:p>
        </w:tc>
        <w:tc>
          <w:tcPr>
            <w:tcW w:w="340" w:type="dxa"/>
            <w:vAlign w:val="bottom"/>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58</w:t>
            </w:r>
          </w:p>
        </w:tc>
        <w:tc>
          <w:tcPr>
            <w:tcW w:w="320" w:type="dxa"/>
            <w:vAlign w:val="bottom"/>
          </w:tcPr>
          <w:p>
            <w:pPr>
              <w:spacing w:after="0"/>
              <w:rPr>
                <w:sz w:val="20"/>
                <w:szCs w:val="20"/>
                <w:color w:val="auto"/>
              </w:rPr>
            </w:pPr>
          </w:p>
        </w:tc>
        <w:tc>
          <w:tcPr>
            <w:tcW w:w="104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b w:val="1"/>
                <w:bCs w:val="1"/>
                <w:color w:val="auto"/>
              </w:rPr>
              <w:t>$ (123)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(212.0)%</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line="239"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Actual amounts include the results of operations for the NBCUniversal acquired businesses for the three months ended September 30, 2011 and for the period January 29, 2011 through September 30, 2011.</w:t>
      </w:r>
    </w:p>
    <w:p>
      <w:pPr>
        <w:spacing w:after="0" w:line="43" w:lineRule="exact"/>
        <w:rPr>
          <w:rFonts w:ascii="Arial" w:cs="Arial" w:eastAsia="Arial" w:hAnsi="Arial"/>
          <w:sz w:val="14"/>
          <w:szCs w:val="14"/>
          <w:color w:val="auto"/>
        </w:rPr>
      </w:pPr>
    </w:p>
    <w:p>
      <w:pPr>
        <w:jc w:val="both"/>
        <w:ind w:left="340" w:hanging="332"/>
        <w:spacing w:after="0" w:line="278" w:lineRule="auto"/>
        <w:tabs>
          <w:tab w:leader="none" w:pos="3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Pro forma amounts include the results of operations for the NBCUniversal acquired businesses for the period January 1, 2011 through January 28, 2011 and for the three and nine months ended September 30, 2010. These amounts also include pro forma adjustments as if the NBCUniversal transaction had occurred on January 1, 2010, including the effects of acquisition accounting and the elimination of operating costs and expenses directly related to the transaction, but do not include adjustments for costs related to integration activities, cost savings or synergies that have been or may be achieved by the combined businesses. Pro forma amounts are not necessarily indicative of what the results would have been had we operated the businesses since January 1, 2010.</w:t>
      </w:r>
    </w:p>
    <w:p>
      <w:pPr>
        <w:spacing w:after="0" w:line="22" w:lineRule="exact"/>
        <w:rPr>
          <w:rFonts w:ascii="Arial" w:cs="Arial" w:eastAsia="Arial" w:hAnsi="Arial"/>
          <w:sz w:val="12"/>
          <w:szCs w:val="12"/>
          <w:color w:val="auto"/>
        </w:rPr>
      </w:pPr>
    </w:p>
    <w:p>
      <w:pPr>
        <w:ind w:left="340" w:hanging="332"/>
        <w:spacing w:after="0" w:line="239"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Pro forma combined amounts represent our pro forma results of operations as if the NBCUniversal transaction had occurred on January 1, 2010 but are not necessarily indicative of what the results would have been had we operated the businesses since January 1, 2010.</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Filmed Entertainment Segment—Revenue</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Filmed Entertainment segment revenue consists primarily of theatrical revenue, content licensing revenue and home entertainment revenue. Theatrical revenue is generated from the worldwide theatrical release of our owned and acquired films. Content licensing revenue is generated primarily from the licensing of owned and acquired films to pay and advertising-supported television distribution platforms. Home entertainment revenue is generated from the license or sale of our owned and acquired films through DVD sales to retail stores and through digital media platforms, including electronic sell-through. We also generate revenue from distributing third parties’ filmed entertainment, producing stage plays, publishing music and licensing consumer products.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Revenue in our Filmed Entertainment segment is significantly affected by the timing and number of our theatrical and home entertainment releases, as well as their acceptance by consumers. Theatrical and home entertainment release dates are determined by several factors, including production schedules, vacation and holiday periods, and the timing of competitive releases. Theatrical revenue is affected by the number of exhibition screens, ticket prices, the percentage of ticket sale retention by theatrical exhibitors and the popularity of competing films at the time our films are released. As a result, revenue may fluctuate from period to period and is typically highest in the fourth quarter of each year. The theatrical success of a film is a significant factor in determining the revenue a film is likely to generate in succeeding distribution platforms.</w:t>
      </w:r>
    </w:p>
    <w:p>
      <w:pPr>
        <w:spacing w:after="0" w:line="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Theatrical revenue for the three months ended September 30, 2011 decreased compared to the same period in 2010 primarily due to the strong performance of our prior year release of </w:t>
      </w:r>
      <w:r>
        <w:rPr>
          <w:rFonts w:ascii="Arial" w:cs="Arial" w:eastAsia="Arial" w:hAnsi="Arial"/>
          <w:sz w:val="18"/>
          <w:szCs w:val="18"/>
          <w:i w:val="1"/>
          <w:iCs w:val="1"/>
          <w:color w:val="auto"/>
        </w:rPr>
        <w:t>Despicable Me</w:t>
      </w:r>
      <w:r>
        <w:rPr>
          <w:rFonts w:ascii="Arial" w:cs="Arial" w:eastAsia="Arial" w:hAnsi="Arial"/>
          <w:sz w:val="18"/>
          <w:szCs w:val="18"/>
          <w:color w:val="auto"/>
        </w:rPr>
        <w:t xml:space="preserve">. Pro forma combined theatrical revenue for the nine months ended September 30, 2011 increased compared to the same period in 2010 primarily due to an increase in the number of theatrical releases in our 2011 slate and the strong performance of the second quarter 2011 releases of </w:t>
      </w:r>
      <w:r>
        <w:rPr>
          <w:rFonts w:ascii="Arial" w:cs="Arial" w:eastAsia="Arial" w:hAnsi="Arial"/>
          <w:sz w:val="18"/>
          <w:szCs w:val="18"/>
          <w:i w:val="1"/>
          <w:iCs w:val="1"/>
          <w:color w:val="auto"/>
        </w:rPr>
        <w:t>Fast Five</w:t>
      </w:r>
      <w:r>
        <w:rPr>
          <w:rFonts w:ascii="Arial" w:cs="Arial" w:eastAsia="Arial" w:hAnsi="Arial"/>
          <w:sz w:val="18"/>
          <w:szCs w:val="18"/>
          <w:color w:val="auto"/>
        </w:rPr>
        <w:t xml:space="preserve"> and </w:t>
      </w:r>
      <w:r>
        <w:rPr>
          <w:rFonts w:ascii="Arial" w:cs="Arial" w:eastAsia="Arial" w:hAnsi="Arial"/>
          <w:sz w:val="18"/>
          <w:szCs w:val="18"/>
          <w:i w:val="1"/>
          <w:iCs w:val="1"/>
          <w:color w:val="auto"/>
        </w:rPr>
        <w:t>Bridesmaids</w:t>
      </w:r>
      <w:r>
        <w:rPr>
          <w:rFonts w:ascii="Arial" w:cs="Arial" w:eastAsia="Arial" w:hAnsi="Arial"/>
          <w:sz w:val="18"/>
          <w:szCs w:val="18"/>
          <w:color w:val="auto"/>
        </w:rPr>
        <w:t>.</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Content licensing revenue for the three months ended September 30, 2011 decreased compared to the same period in 2010 and pro forma combined content licensing revenue for the nine months ended September 30, 2011 increased compared to the same period in 2010. The changes for both periods were primarily due to the timing of when our owned and acquired films were made available to licensees.</w:t>
      </w:r>
    </w:p>
    <w:p>
      <w:pPr>
        <w:spacing w:after="0" w:line="46"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 xml:space="preserve">Home entertainment revenue for the three months ended September 30, 2011 increased compared to the same period in 2010 primarily due to the number of new releases in 2011 as well as increased sales primarily related to </w:t>
      </w:r>
      <w:r>
        <w:rPr>
          <w:rFonts w:ascii="Arial" w:cs="Arial" w:eastAsia="Arial" w:hAnsi="Arial"/>
          <w:sz w:val="15"/>
          <w:szCs w:val="15"/>
          <w:i w:val="1"/>
          <w:iCs w:val="1"/>
          <w:color w:val="auto"/>
        </w:rPr>
        <w:t>Fast Five</w:t>
      </w:r>
      <w:r>
        <w:rPr>
          <w:rFonts w:ascii="Arial" w:cs="Arial" w:eastAsia="Arial" w:hAnsi="Arial"/>
          <w:sz w:val="15"/>
          <w:szCs w:val="15"/>
          <w:color w:val="auto"/>
        </w:rPr>
        <w:t xml:space="preserve"> and </w:t>
      </w:r>
      <w:r>
        <w:rPr>
          <w:rFonts w:ascii="Arial" w:cs="Arial" w:eastAsia="Arial" w:hAnsi="Arial"/>
          <w:sz w:val="15"/>
          <w:szCs w:val="15"/>
          <w:i w:val="1"/>
          <w:iCs w:val="1"/>
          <w:color w:val="auto"/>
        </w:rPr>
        <w:t>Bridesmaids</w:t>
      </w:r>
      <w:r>
        <w:rPr>
          <w:rFonts w:ascii="Arial" w:cs="Arial" w:eastAsia="Arial" w:hAnsi="Arial"/>
          <w:sz w:val="15"/>
          <w:szCs w:val="15"/>
          <w:color w:val="auto"/>
        </w:rPr>
        <w:t xml:space="preserve"> in the current year. Pro forma combined home entertainment revenue for the nine months ended September 30, 2011 decreased compared to the same period in 2010 primarily due to declines in DVD sales in the U.S. resulting from fewer and a different mix of titles released compared to the same period in 2010 and an overall decline in the DVD market. Several factors have contributed to the overall decline in the DVD market, including weak economic conditions, the maturation of the standard-definition DVD format, piracy, and intense competition for consumer discretionary spending and leisure time. DVD sales have also been negatively affected by an increasing shift by consumers toward subscription rental services, discount rental kiosks and digital forms of entertainment, such as video on demand services, which generate less revenue per transaction than DVD sales. We expect that overall home entertainment revenue in 2011 will continue to be negatively affected by an overall decline in DVD sales.</w:t>
      </w:r>
    </w:p>
    <w:p>
      <w:pPr>
        <w:spacing w:after="0" w:line="14"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Other revenue for the three months ended September 30, 2011 and pro forma combined other revenue for the nine months ended September 30, 2011 decreased compared to the same periods in 2010 primarily due to decreases in revenue generated from our stage plays as a result of fewer shows.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Filmed Entertainment Segment—Operating Costs and Expenses</w:t>
      </w:r>
    </w:p>
    <w:p>
      <w:pPr>
        <w:spacing w:after="0" w:line="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Filmed Entertainment segment operating costs and expenses consist primarily of amortization of capitalized film production and acquisition costs, residual and participation payments, and distribution and marketing costs. Residual payments represent amounts payable to certain of our employees who are represented by labor unions or guilds, such as the Writers Guild of America, the Screen Actors Guild and the Directors Guild of America, and are based on post-theatrical revenue. Participation payments are primarily based on film performance and represent contingent consideration payable to creative talent and other parties involved in the production of a film, including producers, writers, directors, actors, and technical and production personnel, under employment or other agreements and to our film cofinancing partners under cofinancing agreements. Distribution and marketing costs consist primarily of the costs associated with theatrical prints and advertising and the replication, distribution and marketing of DVDs. Other operating costs and expenses include salaries, employee benefits, rent and other overhead costs.</w:t>
      </w:r>
    </w:p>
    <w:p>
      <w:pPr>
        <w:spacing w:after="0" w:line="5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incur significant marketing costs before and throughout the theatrical release of a film and in connection with the release of a film on other distribution platforms. As a result, we typically incur losses on a film prior to and during the film’s theatrical exhibition and may not realize profits, if any, until the film generates home entertainment and content licensing revenue. The costs of producing and marketing films have generally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increased in recent years and may continue to increase in the future, particularly if competition within the filmed entertainment industry continues to intensify.</w:t>
      </w:r>
    </w:p>
    <w:p>
      <w:pPr>
        <w:spacing w:after="0" w:line="10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Operating costs and expenses for the three months ended September 30, 2011 decreased compared to the same period in 2010 primarily due to decreases in marketing expenses associated with promoting our theatrical releases, film cost amortization resulting from corresponding decreases in theatrical revenue and changes in estimates associated with the application of acquisition accounting, partially offset by film valuation adjustments. Pro forma combined operating costs and expenses for the nine months ended September 30, 2011 increased compared to the same period in 2010 primarily due to an increase in marketing expenses associated with promoting our theatrical releases occurring in the second and third quarters of 2011, as well as increases in film cost amortization resulting from corresponding increases in theatrical revenue.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Segment—Actual and Pro Forma Results of Operations</w:t>
      </w:r>
    </w:p>
    <w:p>
      <w:pPr>
        <w:spacing w:after="0" w:line="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Theme Parks segment consists primarily of our Universal theme parks in Orlando and Hollywood, our Wet ‘n Wild water park, and fees from intellectual property licenses and other services from third parties that own and operate Universal Studios Japan and Universal Studios Singapore. Through June 30, 2011, NBCUniversal held a 50% equity interest in and received special and other fees from UCDP, which owns Universal Studios Florida and Universal’s Islands of Adventure in Orlando, Florida. On July 1, 2011, NBCUniversal completed the acquisition of the 50% equity interest in UCDP that it did not already own for $1 billion. As a result, UCDP is now a wholly owned consolidated subsidiary of NBCUniversal. The tables below include 100% of the results of operation for UCDP for all periods presented in order to reflect our current measure of operating income (loss) before depreciation and amortization for our Theme Parks segment.</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restart"/>
          </w:tcPr>
          <w:p>
            <w:pPr>
              <w:jc w:val="center"/>
              <w:ind w:left="165"/>
              <w:spacing w:after="0"/>
              <w:rPr>
                <w:sz w:val="20"/>
                <w:szCs w:val="20"/>
                <w:color w:val="auto"/>
              </w:rPr>
            </w:pPr>
            <w:r>
              <w:rPr>
                <w:rFonts w:ascii="Arial" w:cs="Arial" w:eastAsia="Arial" w:hAnsi="Arial"/>
                <w:sz w:val="14"/>
                <w:szCs w:val="14"/>
                <w:color w:val="auto"/>
                <w:w w:val="84"/>
              </w:rPr>
              <w:t>Actual</w:t>
            </w:r>
            <w:r>
              <w:rPr>
                <w:rFonts w:ascii="Arial" w:cs="Arial" w:eastAsia="Arial" w:hAnsi="Arial"/>
                <w:sz w:val="22"/>
                <w:szCs w:val="22"/>
                <w:color w:val="auto"/>
                <w:w w:val="84"/>
                <w:vertAlign w:val="superscript"/>
              </w:rPr>
              <w:t>(a)</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5"/>
            <w:vMerge w:val="restart"/>
          </w:tcPr>
          <w:p>
            <w:pPr>
              <w:jc w:val="center"/>
              <w:ind w:right="280"/>
              <w:spacing w:after="0"/>
              <w:rPr>
                <w:sz w:val="20"/>
                <w:szCs w:val="20"/>
                <w:color w:val="auto"/>
              </w:rPr>
            </w:pPr>
            <w:r>
              <w:rPr>
                <w:rFonts w:ascii="Arial" w:cs="Arial" w:eastAsia="Arial" w:hAnsi="Arial"/>
                <w:sz w:val="14"/>
                <w:szCs w:val="14"/>
                <w:color w:val="auto"/>
                <w:w w:val="83"/>
              </w:rPr>
              <w:t>Pro Forma</w:t>
            </w:r>
            <w:r>
              <w:rPr>
                <w:rFonts w:ascii="Arial" w:cs="Arial" w:eastAsia="Arial" w:hAnsi="Arial"/>
                <w:sz w:val="22"/>
                <w:szCs w:val="22"/>
                <w:color w:val="auto"/>
                <w:w w:val="83"/>
                <w:vertAlign w:val="superscript"/>
              </w:rPr>
              <w:t>(b)</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center"/>
              <w:ind w:left="141"/>
              <w:spacing w:after="0"/>
              <w:rPr>
                <w:sz w:val="20"/>
                <w:szCs w:val="20"/>
                <w:color w:val="auto"/>
              </w:rPr>
            </w:pPr>
            <w:r>
              <w:rPr>
                <w:rFonts w:ascii="Arial" w:cs="Arial" w:eastAsia="Arial" w:hAnsi="Arial"/>
                <w:sz w:val="14"/>
                <w:szCs w:val="14"/>
                <w:color w:val="auto"/>
                <w:w w:val="84"/>
              </w:rPr>
              <w:t>Pro Forma</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5"/>
            <w:vMerge w:val="continue"/>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2"/>
          </w:tcPr>
          <w:p>
            <w:pPr>
              <w:jc w:val="center"/>
              <w:ind w:right="277"/>
              <w:spacing w:after="0" w:line="159" w:lineRule="exact"/>
              <w:rPr>
                <w:sz w:val="20"/>
                <w:szCs w:val="20"/>
                <w:color w:val="auto"/>
              </w:rPr>
            </w:pPr>
            <w:r>
              <w:rPr>
                <w:rFonts w:ascii="Arial" w:cs="Arial" w:eastAsia="Arial" w:hAnsi="Arial"/>
                <w:sz w:val="14"/>
                <w:szCs w:val="14"/>
                <w:color w:val="auto"/>
                <w:w w:val="85"/>
              </w:rPr>
              <w:t>Increase/(Decrease)</w:t>
            </w:r>
          </w:p>
        </w:tc>
        <w:tc>
          <w:tcPr>
            <w:tcW w:w="0" w:type="dxa"/>
            <w:vAlign w:val="bottom"/>
          </w:tcPr>
          <w:p>
            <w:pPr>
              <w:spacing w:after="0"/>
              <w:rPr>
                <w:sz w:val="1"/>
                <w:szCs w:val="1"/>
                <w:color w:val="auto"/>
              </w:rPr>
            </w:pPr>
          </w:p>
        </w:tc>
      </w:tr>
      <w:tr>
        <w:trPr>
          <w:trHeight w:val="131"/>
        </w:trPr>
        <w:tc>
          <w:tcPr>
            <w:tcW w:w="5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ind w:right="186"/>
              <w:spacing w:after="0" w:line="131" w:lineRule="exact"/>
              <w:rPr>
                <w:sz w:val="20"/>
                <w:szCs w:val="20"/>
                <w:color w:val="auto"/>
              </w:rPr>
            </w:pPr>
            <w:r>
              <w:rPr>
                <w:rFonts w:ascii="Arial" w:cs="Arial" w:eastAsia="Arial" w:hAnsi="Arial"/>
                <w:sz w:val="14"/>
                <w:szCs w:val="14"/>
                <w:color w:val="auto"/>
                <w:w w:val="87"/>
              </w:rPr>
              <w:t>Three</w:t>
            </w:r>
          </w:p>
        </w:tc>
        <w:tc>
          <w:tcPr>
            <w:tcW w:w="4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center"/>
              <w:ind w:right="60"/>
              <w:spacing w:after="0" w:line="131" w:lineRule="exact"/>
              <w:rPr>
                <w:sz w:val="20"/>
                <w:szCs w:val="20"/>
                <w:color w:val="auto"/>
              </w:rPr>
            </w:pPr>
            <w:r>
              <w:rPr>
                <w:rFonts w:ascii="Arial" w:cs="Arial" w:eastAsia="Arial" w:hAnsi="Arial"/>
                <w:sz w:val="14"/>
                <w:szCs w:val="14"/>
                <w:color w:val="auto"/>
                <w:w w:val="87"/>
              </w:rPr>
              <w:t>Three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left="165"/>
              <w:spacing w:after="0" w:line="149" w:lineRule="exact"/>
              <w:rPr>
                <w:sz w:val="20"/>
                <w:szCs w:val="20"/>
                <w:color w:val="auto"/>
              </w:rPr>
            </w:pPr>
            <w:r>
              <w:rPr>
                <w:rFonts w:ascii="Arial" w:cs="Arial" w:eastAsia="Arial" w:hAnsi="Arial"/>
                <w:sz w:val="14"/>
                <w:szCs w:val="14"/>
                <w:color w:val="auto"/>
                <w:w w:val="87"/>
              </w:rPr>
              <w:t>Months</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4"/>
          </w:tcPr>
          <w:p>
            <w:pPr>
              <w:jc w:val="center"/>
              <w:ind w:right="500"/>
              <w:spacing w:after="0" w:line="149" w:lineRule="exact"/>
              <w:rPr>
                <w:sz w:val="20"/>
                <w:szCs w:val="20"/>
                <w:color w:val="auto"/>
              </w:rPr>
            </w:pPr>
            <w:r>
              <w:rPr>
                <w:rFonts w:ascii="Arial" w:cs="Arial" w:eastAsia="Arial" w:hAnsi="Arial"/>
                <w:sz w:val="14"/>
                <w:szCs w:val="14"/>
                <w:color w:val="auto"/>
                <w:w w:val="91"/>
              </w:rPr>
              <w:t>Months</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jc w:val="center"/>
              <w:ind w:right="186"/>
              <w:spacing w:after="0" w:line="149" w:lineRule="exact"/>
              <w:rPr>
                <w:sz w:val="20"/>
                <w:szCs w:val="20"/>
                <w:color w:val="auto"/>
              </w:rPr>
            </w:pPr>
            <w:r>
              <w:rPr>
                <w:rFonts w:ascii="Arial" w:cs="Arial" w:eastAsia="Arial" w:hAnsi="Arial"/>
                <w:sz w:val="14"/>
                <w:szCs w:val="14"/>
                <w:color w:val="auto"/>
                <w:w w:val="88"/>
              </w:rPr>
              <w:t>Ended</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4"/>
          </w:tcPr>
          <w:p>
            <w:pPr>
              <w:jc w:val="center"/>
              <w:ind w:right="500"/>
              <w:spacing w:after="0" w:line="149" w:lineRule="exact"/>
              <w:rPr>
                <w:sz w:val="20"/>
                <w:szCs w:val="20"/>
                <w:color w:val="auto"/>
              </w:rPr>
            </w:pPr>
            <w:r>
              <w:rPr>
                <w:rFonts w:ascii="Arial" w:cs="Arial" w:eastAsia="Arial" w:hAnsi="Arial"/>
                <w:sz w:val="14"/>
                <w:szCs w:val="14"/>
                <w:color w:val="auto"/>
                <w:w w:val="83"/>
              </w:rPr>
              <w:t>Ended</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left="165"/>
              <w:spacing w:after="0" w:line="149" w:lineRule="exact"/>
              <w:rPr>
                <w:sz w:val="20"/>
                <w:szCs w:val="20"/>
                <w:color w:val="auto"/>
              </w:rPr>
            </w:pPr>
            <w:r>
              <w:rPr>
                <w:rFonts w:ascii="Arial" w:cs="Arial" w:eastAsia="Arial" w:hAnsi="Arial"/>
                <w:sz w:val="14"/>
                <w:szCs w:val="14"/>
                <w:color w:val="auto"/>
                <w:w w:val="87"/>
              </w:rPr>
              <w:t>September 30,</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5"/>
          </w:tcPr>
          <w:p>
            <w:pPr>
              <w:jc w:val="center"/>
              <w:ind w:right="280"/>
              <w:spacing w:after="0" w:line="149" w:lineRule="exact"/>
              <w:rPr>
                <w:sz w:val="20"/>
                <w:szCs w:val="20"/>
                <w:color w:val="auto"/>
              </w:rPr>
            </w:pPr>
            <w:r>
              <w:rPr>
                <w:rFonts w:ascii="Arial" w:cs="Arial" w:eastAsia="Arial" w:hAnsi="Arial"/>
                <w:sz w:val="14"/>
                <w:szCs w:val="14"/>
                <w:color w:val="auto"/>
                <w:w w:val="84"/>
              </w:rPr>
              <w:t>September 30,</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2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186"/>
              <w:spacing w:after="0" w:line="159" w:lineRule="exact"/>
              <w:rPr>
                <w:sz w:val="20"/>
                <w:szCs w:val="20"/>
                <w:color w:val="auto"/>
              </w:rPr>
            </w:pPr>
            <w:r>
              <w:rPr>
                <w:rFonts w:ascii="Arial" w:cs="Arial" w:eastAsia="Arial" w:hAnsi="Arial"/>
                <w:sz w:val="14"/>
                <w:szCs w:val="14"/>
                <w:color w:val="auto"/>
                <w:w w:val="89"/>
              </w:rPr>
              <w:t>2011</w:t>
            </w:r>
          </w:p>
        </w:tc>
        <w:tc>
          <w:tcPr>
            <w:tcW w:w="40" w:type="dxa"/>
            <w:vAlign w:val="bottom"/>
            <w:tcBorders>
              <w:bottom w:val="single" w:sz="8" w:color="auto"/>
            </w:tcBorders>
          </w:tcPr>
          <w:p>
            <w:pPr>
              <w:spacing w:after="0"/>
              <w:rPr>
                <w:sz w:val="13"/>
                <w:szCs w:val="13"/>
                <w:color w:val="auto"/>
              </w:rPr>
            </w:pPr>
          </w:p>
        </w:tc>
        <w:tc>
          <w:tcPr>
            <w:tcW w:w="340" w:type="dxa"/>
            <w:vAlign w:val="bottom"/>
            <w:tcBorders>
              <w:bottom w:val="single" w:sz="8" w:color="E5E5E5"/>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ind w:left="420"/>
              <w:spacing w:after="0" w:line="159" w:lineRule="exact"/>
              <w:rPr>
                <w:sz w:val="20"/>
                <w:szCs w:val="20"/>
                <w:color w:val="auto"/>
              </w:rPr>
            </w:pPr>
            <w:r>
              <w:rPr>
                <w:rFonts w:ascii="Arial" w:cs="Arial" w:eastAsia="Arial" w:hAnsi="Arial"/>
                <w:sz w:val="14"/>
                <w:szCs w:val="14"/>
                <w:color w:val="auto"/>
              </w:rPr>
              <w:t>2010</w:t>
            </w:r>
          </w:p>
        </w:tc>
        <w:tc>
          <w:tcPr>
            <w:tcW w:w="220" w:type="dxa"/>
            <w:vAlign w:val="bottom"/>
            <w:tcBorders>
              <w:bottom w:val="single" w:sz="8" w:color="E5E5E5"/>
            </w:tcBorders>
          </w:tcPr>
          <w:p>
            <w:pPr>
              <w:spacing w:after="0"/>
              <w:rPr>
                <w:sz w:val="13"/>
                <w:szCs w:val="13"/>
                <w:color w:val="auto"/>
              </w:rPr>
            </w:pPr>
          </w:p>
        </w:tc>
        <w:tc>
          <w:tcPr>
            <w:tcW w:w="120" w:type="dxa"/>
            <w:vAlign w:val="bottom"/>
            <w:tcBorders>
              <w:bottom w:val="single" w:sz="8" w:color="E5E5E5"/>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40"/>
              <w:spacing w:after="0" w:line="159"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337"/>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522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45"/>
              <w:spacing w:after="0"/>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ind w:left="300"/>
              <w:spacing w:after="0"/>
              <w:rPr>
                <w:sz w:val="20"/>
                <w:szCs w:val="20"/>
                <w:color w:val="auto"/>
              </w:rPr>
            </w:pPr>
            <w:r>
              <w:rPr>
                <w:rFonts w:ascii="Arial" w:cs="Arial" w:eastAsia="Arial" w:hAnsi="Arial"/>
                <w:sz w:val="18"/>
                <w:szCs w:val="18"/>
                <w:color w:val="auto"/>
                <w:w w:val="99"/>
              </w:rPr>
              <w:t>580</w:t>
            </w:r>
          </w:p>
        </w:tc>
        <w:tc>
          <w:tcPr>
            <w:tcW w:w="4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540" w:type="dxa"/>
            <w:vAlign w:val="bottom"/>
            <w:gridSpan w:val="2"/>
            <w:shd w:val="clear" w:color="auto" w:fill="E5E5E5"/>
          </w:tcPr>
          <w:p>
            <w:pPr>
              <w:jc w:val="right"/>
              <w:ind w:right="227"/>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6"/>
              </w:rPr>
              <w:t>531</w:t>
            </w:r>
          </w:p>
        </w:tc>
        <w:tc>
          <w:tcPr>
            <w:tcW w:w="2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42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ind w:left="120"/>
              <w:spacing w:after="0"/>
              <w:rPr>
                <w:sz w:val="20"/>
                <w:szCs w:val="20"/>
                <w:color w:val="auto"/>
              </w:rPr>
            </w:pPr>
            <w:r>
              <w:rPr>
                <w:rFonts w:ascii="Arial" w:cs="Arial" w:eastAsia="Arial" w:hAnsi="Arial"/>
                <w:sz w:val="18"/>
                <w:szCs w:val="18"/>
                <w:color w:val="auto"/>
              </w:rPr>
              <w:t>49</w:t>
            </w: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99"/>
              </w:rPr>
              <w:t>295</w:t>
            </w: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E5E5E5"/>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279</w:t>
            </w:r>
          </w:p>
        </w:tc>
        <w:tc>
          <w:tcPr>
            <w:tcW w:w="220" w:type="dxa"/>
            <w:vAlign w:val="bottom"/>
            <w:tcBorders>
              <w:bottom w:val="single" w:sz="8" w:color="E5E5E5"/>
            </w:tcBorders>
          </w:tcPr>
          <w:p>
            <w:pPr>
              <w:spacing w:after="0"/>
              <w:rPr>
                <w:sz w:val="18"/>
                <w:szCs w:val="18"/>
                <w:color w:val="auto"/>
              </w:rPr>
            </w:pPr>
          </w:p>
        </w:tc>
        <w:tc>
          <w:tcPr>
            <w:tcW w:w="120" w:type="dxa"/>
            <w:vAlign w:val="bottom"/>
            <w:tcBorders>
              <w:bottom w:val="single" w:sz="8" w:color="E5E5E5"/>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16</w:t>
            </w:r>
          </w:p>
        </w:tc>
        <w:tc>
          <w:tcPr>
            <w:tcW w:w="58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7"/>
        </w:trPr>
        <w:tc>
          <w:tcPr>
            <w:tcW w:w="5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3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spacing w:after="0"/>
              <w:rPr>
                <w:sz w:val="18"/>
                <w:szCs w:val="18"/>
                <w:color w:val="auto"/>
              </w:rPr>
            </w:pPr>
          </w:p>
        </w:tc>
        <w:tc>
          <w:tcPr>
            <w:tcW w:w="2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45"/>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ind w:left="300"/>
              <w:spacing w:after="0"/>
              <w:rPr>
                <w:sz w:val="20"/>
                <w:szCs w:val="20"/>
                <w:color w:val="auto"/>
              </w:rPr>
            </w:pPr>
            <w:r>
              <w:rPr>
                <w:rFonts w:ascii="Arial" w:cs="Arial" w:eastAsia="Arial" w:hAnsi="Arial"/>
                <w:sz w:val="18"/>
                <w:szCs w:val="18"/>
                <w:b w:val="1"/>
                <w:bCs w:val="1"/>
                <w:color w:val="auto"/>
                <w:w w:val="99"/>
              </w:rPr>
              <w:t>285</w:t>
            </w:r>
          </w:p>
        </w:tc>
        <w:tc>
          <w:tcPr>
            <w:tcW w:w="4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E5E5E5"/>
            </w:tcBorders>
            <w:shd w:val="clear" w:color="auto" w:fill="E5E5E5"/>
          </w:tcPr>
          <w:p>
            <w:pPr>
              <w:spacing w:after="0"/>
              <w:rPr>
                <w:sz w:val="18"/>
                <w:szCs w:val="18"/>
                <w:color w:val="auto"/>
              </w:rPr>
            </w:pPr>
          </w:p>
        </w:tc>
        <w:tc>
          <w:tcPr>
            <w:tcW w:w="14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gridSpan w:val="2"/>
            <w:shd w:val="clear" w:color="auto" w:fill="E5E5E5"/>
          </w:tcPr>
          <w:p>
            <w:pPr>
              <w:jc w:val="right"/>
              <w:ind w:right="227"/>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8"/>
                <w:szCs w:val="18"/>
                <w:b w:val="1"/>
                <w:bCs w:val="1"/>
                <w:color w:val="auto"/>
                <w:w w:val="86"/>
              </w:rPr>
              <w:t>252</w:t>
            </w:r>
          </w:p>
        </w:tc>
        <w:tc>
          <w:tcPr>
            <w:tcW w:w="220" w:type="dxa"/>
            <w:vAlign w:val="bottom"/>
            <w:tcBorders>
              <w:bottom w:val="single" w:sz="8" w:color="E5E5E5"/>
            </w:tcBorders>
            <w:shd w:val="clear" w:color="auto" w:fill="E5E5E5"/>
          </w:tcPr>
          <w:p>
            <w:pPr>
              <w:spacing w:after="0"/>
              <w:rPr>
                <w:sz w:val="18"/>
                <w:szCs w:val="18"/>
                <w:color w:val="auto"/>
              </w:rPr>
            </w:pPr>
          </w:p>
        </w:tc>
        <w:tc>
          <w:tcPr>
            <w:tcW w:w="120" w:type="dxa"/>
            <w:vAlign w:val="bottom"/>
            <w:tcBorders>
              <w:bottom w:val="single" w:sz="8" w:color="E5E5E5"/>
            </w:tcBorders>
            <w:shd w:val="clear" w:color="auto" w:fill="E5E5E5"/>
          </w:tcPr>
          <w:p>
            <w:pPr>
              <w:spacing w:after="0"/>
              <w:rPr>
                <w:sz w:val="18"/>
                <w:szCs w:val="18"/>
                <w:color w:val="auto"/>
              </w:rPr>
            </w:pPr>
          </w:p>
        </w:tc>
        <w:tc>
          <w:tcPr>
            <w:tcW w:w="42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33</w:t>
            </w: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7"/>
              </w:rPr>
              <w:t>12.6%</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center"/>
              <w:ind w:right="5"/>
              <w:spacing w:after="0"/>
              <w:rPr>
                <w:sz w:val="20"/>
                <w:szCs w:val="20"/>
                <w:color w:val="auto"/>
              </w:rPr>
            </w:pPr>
            <w:r>
              <w:rPr>
                <w:rFonts w:ascii="Arial" w:cs="Arial" w:eastAsia="Arial" w:hAnsi="Arial"/>
                <w:sz w:val="14"/>
                <w:szCs w:val="14"/>
                <w:color w:val="auto"/>
                <w:w w:val="83"/>
              </w:rPr>
              <w:t>2011</w:t>
            </w:r>
          </w:p>
        </w:tc>
        <w:tc>
          <w:tcPr>
            <w:tcW w:w="6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2010</w:t>
            </w:r>
          </w:p>
        </w:tc>
        <w:tc>
          <w:tcPr>
            <w:tcW w:w="2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3"/>
            <w:vMerge w:val="restart"/>
          </w:tcPr>
          <w:p>
            <w:pPr>
              <w:jc w:val="center"/>
              <w:spacing w:after="0"/>
              <w:rPr>
                <w:sz w:val="20"/>
                <w:szCs w:val="20"/>
                <w:color w:val="auto"/>
              </w:rPr>
            </w:pPr>
            <w:r>
              <w:rPr>
                <w:rFonts w:ascii="Arial" w:cs="Arial" w:eastAsia="Arial" w:hAnsi="Arial"/>
                <w:sz w:val="14"/>
                <w:szCs w:val="14"/>
                <w:color w:val="auto"/>
                <w:w w:val="88"/>
              </w:rPr>
              <w:t>Pro Forma Combined</w:t>
            </w:r>
          </w:p>
        </w:tc>
        <w:tc>
          <w:tcPr>
            <w:tcW w:w="0" w:type="dxa"/>
            <w:vAlign w:val="bottom"/>
          </w:tcPr>
          <w:p>
            <w:pPr>
              <w:spacing w:after="0"/>
              <w:rPr>
                <w:sz w:val="1"/>
                <w:szCs w:val="1"/>
                <w:color w:val="auto"/>
              </w:rPr>
            </w:pPr>
          </w:p>
        </w:tc>
      </w:tr>
      <w:tr>
        <w:trPr>
          <w:trHeight w:val="115"/>
        </w:trPr>
        <w:tc>
          <w:tcPr>
            <w:tcW w:w="5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vMerge w:val="restart"/>
          </w:tcPr>
          <w:p>
            <w:pPr>
              <w:jc w:val="center"/>
              <w:ind w:right="164"/>
              <w:spacing w:after="0"/>
              <w:rPr>
                <w:sz w:val="20"/>
                <w:szCs w:val="20"/>
                <w:color w:val="auto"/>
              </w:rPr>
            </w:pPr>
            <w:r>
              <w:rPr>
                <w:rFonts w:ascii="Arial" w:cs="Arial" w:eastAsia="Arial" w:hAnsi="Arial"/>
                <w:sz w:val="14"/>
                <w:szCs w:val="14"/>
                <w:color w:val="auto"/>
                <w:w w:val="87"/>
              </w:rPr>
              <w:t>Actual</w:t>
            </w:r>
            <w:r>
              <w:rPr>
                <w:rFonts w:ascii="Arial" w:cs="Arial" w:eastAsia="Arial" w:hAnsi="Arial"/>
                <w:sz w:val="22"/>
                <w:szCs w:val="22"/>
                <w:color w:val="auto"/>
                <w:w w:val="87"/>
                <w:vertAlign w:val="superscript"/>
              </w:rPr>
              <w:t>(a)</w:t>
            </w:r>
          </w:p>
        </w:tc>
        <w:tc>
          <w:tcPr>
            <w:tcW w:w="240" w:type="dxa"/>
            <w:vAlign w:val="bottom"/>
          </w:tcPr>
          <w:p>
            <w:pPr>
              <w:spacing w:after="0"/>
              <w:rPr>
                <w:sz w:val="10"/>
                <w:szCs w:val="10"/>
                <w:color w:val="auto"/>
              </w:rPr>
            </w:pPr>
          </w:p>
        </w:tc>
        <w:tc>
          <w:tcPr>
            <w:tcW w:w="500" w:type="dxa"/>
            <w:vAlign w:val="bottom"/>
          </w:tcPr>
          <w:p>
            <w:pPr>
              <w:jc w:val="center"/>
              <w:ind w:right="5"/>
              <w:spacing w:after="0" w:line="115" w:lineRule="exact"/>
              <w:rPr>
                <w:sz w:val="20"/>
                <w:szCs w:val="20"/>
                <w:color w:val="auto"/>
              </w:rPr>
            </w:pPr>
            <w:r>
              <w:rPr>
                <w:rFonts w:ascii="Arial" w:cs="Arial" w:eastAsia="Arial" w:hAnsi="Arial"/>
                <w:sz w:val="12"/>
                <w:szCs w:val="12"/>
                <w:color w:val="auto"/>
                <w:w w:val="96"/>
              </w:rPr>
              <w:t>Pro</w:t>
            </w:r>
          </w:p>
        </w:tc>
        <w:tc>
          <w:tcPr>
            <w:tcW w:w="1140" w:type="dxa"/>
            <w:vAlign w:val="bottom"/>
            <w:gridSpan w:val="4"/>
          </w:tcPr>
          <w:p>
            <w:pPr>
              <w:jc w:val="center"/>
              <w:ind w:left="126"/>
              <w:spacing w:after="0" w:line="115" w:lineRule="exact"/>
              <w:rPr>
                <w:sz w:val="20"/>
                <w:szCs w:val="20"/>
                <w:color w:val="auto"/>
              </w:rPr>
            </w:pPr>
            <w:r>
              <w:rPr>
                <w:rFonts w:ascii="Arial" w:cs="Arial" w:eastAsia="Arial" w:hAnsi="Arial"/>
                <w:sz w:val="12"/>
                <w:szCs w:val="12"/>
                <w:color w:val="auto"/>
              </w:rPr>
              <w:t>Pro Forma</w:t>
            </w:r>
          </w:p>
        </w:tc>
        <w:tc>
          <w:tcPr>
            <w:tcW w:w="220" w:type="dxa"/>
            <w:vAlign w:val="bottom"/>
          </w:tcPr>
          <w:p>
            <w:pPr>
              <w:spacing w:after="0"/>
              <w:rPr>
                <w:sz w:val="10"/>
                <w:szCs w:val="10"/>
                <w:color w:val="auto"/>
              </w:rPr>
            </w:pPr>
          </w:p>
        </w:tc>
        <w:tc>
          <w:tcPr>
            <w:tcW w:w="1040" w:type="dxa"/>
            <w:vAlign w:val="bottom"/>
            <w:gridSpan w:val="3"/>
            <w:vMerge w:val="restart"/>
          </w:tcPr>
          <w:p>
            <w:pPr>
              <w:jc w:val="center"/>
              <w:ind w:left="27"/>
              <w:spacing w:after="0"/>
              <w:rPr>
                <w:sz w:val="20"/>
                <w:szCs w:val="20"/>
                <w:color w:val="auto"/>
              </w:rPr>
            </w:pPr>
            <w:r>
              <w:rPr>
                <w:rFonts w:ascii="Arial" w:cs="Arial" w:eastAsia="Arial" w:hAnsi="Arial"/>
                <w:sz w:val="14"/>
                <w:szCs w:val="14"/>
                <w:color w:val="auto"/>
                <w:w w:val="83"/>
              </w:rPr>
              <w:t>Pro Forma</w:t>
            </w:r>
            <w:r>
              <w:rPr>
                <w:rFonts w:ascii="Arial" w:cs="Arial" w:eastAsia="Arial" w:hAnsi="Arial"/>
                <w:sz w:val="22"/>
                <w:szCs w:val="22"/>
                <w:color w:val="auto"/>
                <w:w w:val="83"/>
                <w:vertAlign w:val="superscript"/>
              </w:rPr>
              <w:t>(b)</w:t>
            </w:r>
          </w:p>
        </w:tc>
        <w:tc>
          <w:tcPr>
            <w:tcW w:w="1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7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5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gridSpan w:val="2"/>
          </w:tcPr>
          <w:p>
            <w:pPr>
              <w:jc w:val="center"/>
              <w:ind w:left="65"/>
              <w:spacing w:after="0" w:line="176" w:lineRule="exact"/>
              <w:rPr>
                <w:sz w:val="20"/>
                <w:szCs w:val="20"/>
                <w:color w:val="auto"/>
              </w:rPr>
            </w:pPr>
            <w:r>
              <w:rPr>
                <w:rFonts w:ascii="Arial" w:cs="Arial" w:eastAsia="Arial" w:hAnsi="Arial"/>
                <w:sz w:val="13"/>
                <w:szCs w:val="13"/>
                <w:color w:val="auto"/>
                <w:w w:val="89"/>
              </w:rPr>
              <w:t>Forma</w:t>
            </w:r>
            <w:r>
              <w:rPr>
                <w:rFonts w:ascii="Arial" w:cs="Arial" w:eastAsia="Arial" w:hAnsi="Arial"/>
                <w:sz w:val="20"/>
                <w:szCs w:val="20"/>
                <w:color w:val="auto"/>
                <w:w w:val="89"/>
                <w:vertAlign w:val="superscript"/>
              </w:rPr>
              <w:t>(b)</w:t>
            </w:r>
          </w:p>
        </w:tc>
        <w:tc>
          <w:tcPr>
            <w:tcW w:w="1140" w:type="dxa"/>
            <w:vAlign w:val="bottom"/>
            <w:tcBorders>
              <w:bottom w:val="single" w:sz="8" w:color="auto"/>
            </w:tcBorders>
            <w:gridSpan w:val="4"/>
          </w:tcPr>
          <w:p>
            <w:pPr>
              <w:jc w:val="center"/>
              <w:ind w:left="106"/>
              <w:spacing w:after="0" w:line="176" w:lineRule="exact"/>
              <w:rPr>
                <w:sz w:val="20"/>
                <w:szCs w:val="20"/>
                <w:color w:val="auto"/>
              </w:rPr>
            </w:pPr>
            <w:r>
              <w:rPr>
                <w:rFonts w:ascii="Arial" w:cs="Arial" w:eastAsia="Arial" w:hAnsi="Arial"/>
                <w:sz w:val="13"/>
                <w:szCs w:val="13"/>
                <w:color w:val="auto"/>
                <w:w w:val="90"/>
              </w:rPr>
              <w:t>Combined</w:t>
            </w:r>
            <w:r>
              <w:rPr>
                <w:rFonts w:ascii="Arial" w:cs="Arial" w:eastAsia="Arial" w:hAnsi="Arial"/>
                <w:sz w:val="20"/>
                <w:szCs w:val="20"/>
                <w:color w:val="auto"/>
                <w:w w:val="90"/>
                <w:vertAlign w:val="superscript"/>
              </w:rPr>
              <w:t>(c)</w:t>
            </w:r>
          </w:p>
        </w:tc>
        <w:tc>
          <w:tcPr>
            <w:tcW w:w="220" w:type="dxa"/>
            <w:vAlign w:val="bottom"/>
          </w:tcPr>
          <w:p>
            <w:pPr>
              <w:spacing w:after="0"/>
              <w:rPr>
                <w:sz w:val="15"/>
                <w:szCs w:val="15"/>
                <w:color w:val="auto"/>
              </w:rPr>
            </w:pPr>
          </w:p>
        </w:tc>
        <w:tc>
          <w:tcPr>
            <w:tcW w:w="1040" w:type="dxa"/>
            <w:vAlign w:val="bottom"/>
            <w:tcBorders>
              <w:bottom w:val="single" w:sz="8" w:color="auto"/>
            </w:tcBorders>
            <w:gridSpan w:val="3"/>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right="257"/>
              <w:spacing w:after="0"/>
              <w:rPr>
                <w:sz w:val="20"/>
                <w:szCs w:val="20"/>
                <w:color w:val="auto"/>
              </w:rPr>
            </w:pPr>
            <w:r>
              <w:rPr>
                <w:rFonts w:ascii="Arial" w:cs="Arial" w:eastAsia="Arial" w:hAnsi="Arial"/>
                <w:sz w:val="14"/>
                <w:szCs w:val="14"/>
                <w:color w:val="auto"/>
                <w:w w:val="83"/>
              </w:rPr>
              <w:t>Increase/(Decrease)</w:t>
            </w:r>
          </w:p>
        </w:tc>
        <w:tc>
          <w:tcPr>
            <w:tcW w:w="0" w:type="dxa"/>
            <w:vAlign w:val="bottom"/>
          </w:tcPr>
          <w:p>
            <w:pPr>
              <w:spacing w:after="0"/>
              <w:rPr>
                <w:sz w:val="1"/>
                <w:szCs w:val="1"/>
                <w:color w:val="auto"/>
              </w:rPr>
            </w:pPr>
          </w:p>
        </w:tc>
      </w:tr>
      <w:tr>
        <w:trPr>
          <w:trHeight w:val="131"/>
        </w:trPr>
        <w:tc>
          <w:tcPr>
            <w:tcW w:w="5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jc w:val="center"/>
              <w:ind w:right="164"/>
              <w:spacing w:after="0" w:line="131" w:lineRule="exact"/>
              <w:rPr>
                <w:sz w:val="20"/>
                <w:szCs w:val="20"/>
                <w:color w:val="auto"/>
              </w:rPr>
            </w:pPr>
            <w:r>
              <w:rPr>
                <w:rFonts w:ascii="Arial" w:cs="Arial" w:eastAsia="Arial" w:hAnsi="Arial"/>
                <w:sz w:val="14"/>
                <w:szCs w:val="14"/>
                <w:color w:val="auto"/>
                <w:w w:val="85"/>
              </w:rPr>
              <w:t>For the</w:t>
            </w:r>
          </w:p>
        </w:tc>
        <w:tc>
          <w:tcPr>
            <w:tcW w:w="240" w:type="dxa"/>
            <w:vAlign w:val="bottom"/>
          </w:tcPr>
          <w:p>
            <w:pPr>
              <w:spacing w:after="0"/>
              <w:rPr>
                <w:sz w:val="11"/>
                <w:szCs w:val="11"/>
                <w:color w:val="auto"/>
              </w:rPr>
            </w:pPr>
          </w:p>
        </w:tc>
        <w:tc>
          <w:tcPr>
            <w:tcW w:w="500" w:type="dxa"/>
            <w:vAlign w:val="bottom"/>
          </w:tcPr>
          <w:p>
            <w:pPr>
              <w:jc w:val="center"/>
              <w:ind w:right="5"/>
              <w:spacing w:after="0" w:line="131" w:lineRule="exact"/>
              <w:rPr>
                <w:sz w:val="20"/>
                <w:szCs w:val="20"/>
                <w:color w:val="auto"/>
              </w:rPr>
            </w:pPr>
            <w:r>
              <w:rPr>
                <w:rFonts w:ascii="Arial" w:cs="Arial" w:eastAsia="Arial" w:hAnsi="Arial"/>
                <w:sz w:val="14"/>
                <w:szCs w:val="14"/>
                <w:color w:val="auto"/>
                <w:w w:val="85"/>
              </w:rPr>
              <w:t>For the</w:t>
            </w:r>
          </w:p>
        </w:tc>
        <w:tc>
          <w:tcPr>
            <w:tcW w:w="1140" w:type="dxa"/>
            <w:vAlign w:val="bottom"/>
            <w:gridSpan w:val="4"/>
            <w:vMerge w:val="restart"/>
          </w:tcPr>
          <w:p>
            <w:pPr>
              <w:jc w:val="center"/>
              <w:ind w:left="126"/>
              <w:spacing w:after="0"/>
              <w:rPr>
                <w:sz w:val="20"/>
                <w:szCs w:val="20"/>
                <w:color w:val="auto"/>
              </w:rPr>
            </w:pPr>
            <w:r>
              <w:rPr>
                <w:rFonts w:ascii="Arial" w:cs="Arial" w:eastAsia="Arial" w:hAnsi="Arial"/>
                <w:sz w:val="14"/>
                <w:szCs w:val="14"/>
                <w:color w:val="auto"/>
                <w:w w:val="90"/>
              </w:rPr>
              <w:t>Nine</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gridSpan w:val="3"/>
            <w:vMerge w:val="restart"/>
          </w:tcPr>
          <w:p>
            <w:pPr>
              <w:jc w:val="center"/>
              <w:ind w:right="340"/>
              <w:spacing w:after="0"/>
              <w:rPr>
                <w:sz w:val="20"/>
                <w:szCs w:val="20"/>
                <w:color w:val="auto"/>
              </w:rPr>
            </w:pPr>
            <w:r>
              <w:rPr>
                <w:rFonts w:ascii="Arial" w:cs="Arial" w:eastAsia="Arial" w:hAnsi="Arial"/>
                <w:sz w:val="14"/>
                <w:szCs w:val="14"/>
                <w:color w:val="auto"/>
                <w:w w:val="90"/>
              </w:rPr>
              <w:t>Nine</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jc w:val="center"/>
              <w:ind w:right="164"/>
              <w:spacing w:after="0" w:line="135" w:lineRule="exact"/>
              <w:rPr>
                <w:sz w:val="20"/>
                <w:szCs w:val="20"/>
                <w:color w:val="auto"/>
              </w:rPr>
            </w:pPr>
            <w:r>
              <w:rPr>
                <w:rFonts w:ascii="Arial" w:cs="Arial" w:eastAsia="Arial" w:hAnsi="Arial"/>
                <w:sz w:val="14"/>
                <w:szCs w:val="14"/>
                <w:color w:val="auto"/>
                <w:w w:val="87"/>
              </w:rPr>
              <w:t>period</w:t>
            </w:r>
          </w:p>
        </w:tc>
        <w:tc>
          <w:tcPr>
            <w:tcW w:w="240" w:type="dxa"/>
            <w:vAlign w:val="bottom"/>
          </w:tcPr>
          <w:p>
            <w:pPr>
              <w:spacing w:after="0"/>
              <w:rPr>
                <w:sz w:val="11"/>
                <w:szCs w:val="11"/>
                <w:color w:val="auto"/>
              </w:rPr>
            </w:pPr>
          </w:p>
        </w:tc>
        <w:tc>
          <w:tcPr>
            <w:tcW w:w="500" w:type="dxa"/>
            <w:vAlign w:val="bottom"/>
          </w:tcPr>
          <w:p>
            <w:pPr>
              <w:jc w:val="center"/>
              <w:ind w:right="5"/>
              <w:spacing w:after="0" w:line="135" w:lineRule="exact"/>
              <w:rPr>
                <w:sz w:val="20"/>
                <w:szCs w:val="20"/>
                <w:color w:val="auto"/>
              </w:rPr>
            </w:pPr>
            <w:r>
              <w:rPr>
                <w:rFonts w:ascii="Arial" w:cs="Arial" w:eastAsia="Arial" w:hAnsi="Arial"/>
                <w:sz w:val="14"/>
                <w:szCs w:val="14"/>
                <w:color w:val="auto"/>
                <w:w w:val="87"/>
              </w:rPr>
              <w:t>period</w:t>
            </w:r>
          </w:p>
        </w:tc>
        <w:tc>
          <w:tcPr>
            <w:tcW w:w="114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3"/>
              </w:rPr>
              <w:t>January 29</w:t>
            </w:r>
          </w:p>
        </w:tc>
        <w:tc>
          <w:tcPr>
            <w:tcW w:w="740" w:type="dxa"/>
            <w:vAlign w:val="bottom"/>
            <w:gridSpan w:val="2"/>
          </w:tcPr>
          <w:p>
            <w:pPr>
              <w:jc w:val="center"/>
              <w:ind w:left="65"/>
              <w:spacing w:after="0" w:line="149" w:lineRule="exact"/>
              <w:rPr>
                <w:sz w:val="20"/>
                <w:szCs w:val="20"/>
                <w:color w:val="auto"/>
              </w:rPr>
            </w:pPr>
            <w:r>
              <w:rPr>
                <w:rFonts w:ascii="Arial" w:cs="Arial" w:eastAsia="Arial" w:hAnsi="Arial"/>
                <w:sz w:val="14"/>
                <w:szCs w:val="14"/>
                <w:color w:val="auto"/>
                <w:w w:val="84"/>
              </w:rPr>
              <w:t>January 1</w:t>
            </w:r>
          </w:p>
        </w:tc>
        <w:tc>
          <w:tcPr>
            <w:tcW w:w="1140" w:type="dxa"/>
            <w:vAlign w:val="bottom"/>
            <w:gridSpan w:val="4"/>
          </w:tcPr>
          <w:p>
            <w:pPr>
              <w:jc w:val="center"/>
              <w:ind w:left="126"/>
              <w:spacing w:after="0" w:line="149" w:lineRule="exact"/>
              <w:rPr>
                <w:sz w:val="20"/>
                <w:szCs w:val="20"/>
                <w:color w:val="auto"/>
              </w:rPr>
            </w:pPr>
            <w:r>
              <w:rPr>
                <w:rFonts w:ascii="Arial" w:cs="Arial" w:eastAsia="Arial" w:hAnsi="Arial"/>
                <w:sz w:val="14"/>
                <w:szCs w:val="14"/>
                <w:color w:val="auto"/>
                <w:w w:val="91"/>
              </w:rPr>
              <w:t>Months</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1"/>
              </w:rPr>
              <w:t>Months</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center"/>
              <w:ind w:right="164"/>
              <w:spacing w:after="0" w:line="149" w:lineRule="exact"/>
              <w:rPr>
                <w:sz w:val="20"/>
                <w:szCs w:val="20"/>
                <w:color w:val="auto"/>
              </w:rPr>
            </w:pPr>
            <w:r>
              <w:rPr>
                <w:rFonts w:ascii="Arial" w:cs="Arial" w:eastAsia="Arial" w:hAnsi="Arial"/>
                <w:sz w:val="14"/>
                <w:szCs w:val="14"/>
                <w:color w:val="auto"/>
                <w:w w:val="88"/>
              </w:rPr>
              <w:t>through</w:t>
            </w:r>
          </w:p>
        </w:tc>
        <w:tc>
          <w:tcPr>
            <w:tcW w:w="240" w:type="dxa"/>
            <w:vAlign w:val="bottom"/>
          </w:tcPr>
          <w:p>
            <w:pPr>
              <w:spacing w:after="0"/>
              <w:rPr>
                <w:sz w:val="12"/>
                <w:szCs w:val="12"/>
                <w:color w:val="auto"/>
              </w:rPr>
            </w:pPr>
          </w:p>
        </w:tc>
        <w:tc>
          <w:tcPr>
            <w:tcW w:w="500" w:type="dxa"/>
            <w:vAlign w:val="bottom"/>
          </w:tcPr>
          <w:p>
            <w:pPr>
              <w:jc w:val="center"/>
              <w:ind w:right="5"/>
              <w:spacing w:after="0" w:line="149" w:lineRule="exact"/>
              <w:rPr>
                <w:sz w:val="20"/>
                <w:szCs w:val="20"/>
                <w:color w:val="auto"/>
              </w:rPr>
            </w:pPr>
            <w:r>
              <w:rPr>
                <w:rFonts w:ascii="Arial" w:cs="Arial" w:eastAsia="Arial" w:hAnsi="Arial"/>
                <w:sz w:val="14"/>
                <w:szCs w:val="14"/>
                <w:color w:val="auto"/>
                <w:w w:val="88"/>
              </w:rPr>
              <w:t>through</w:t>
            </w:r>
          </w:p>
        </w:tc>
        <w:tc>
          <w:tcPr>
            <w:tcW w:w="1140" w:type="dxa"/>
            <w:vAlign w:val="bottom"/>
            <w:gridSpan w:val="4"/>
          </w:tcPr>
          <w:p>
            <w:pPr>
              <w:jc w:val="center"/>
              <w:ind w:left="126"/>
              <w:spacing w:after="0" w:line="149" w:lineRule="exact"/>
              <w:rPr>
                <w:sz w:val="20"/>
                <w:szCs w:val="20"/>
                <w:color w:val="auto"/>
              </w:rPr>
            </w:pPr>
            <w:r>
              <w:rPr>
                <w:rFonts w:ascii="Arial" w:cs="Arial" w:eastAsia="Arial" w:hAnsi="Arial"/>
                <w:sz w:val="14"/>
                <w:szCs w:val="14"/>
                <w:color w:val="auto"/>
                <w:w w:val="83"/>
              </w:rPr>
              <w:t>Ended</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83"/>
              </w:rPr>
              <w:t>Ended</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20" w:type="dxa"/>
            <w:vAlign w:val="bottom"/>
          </w:tcPr>
          <w:p>
            <w:pPr>
              <w:spacing w:after="0"/>
              <w:rPr>
                <w:sz w:val="20"/>
                <w:szCs w:val="20"/>
                <w:color w:val="auto"/>
              </w:rPr>
            </w:pPr>
            <w:r>
              <w:rPr>
                <w:rFonts w:ascii="Arial" w:cs="Arial" w:eastAsia="Arial" w:hAnsi="Arial"/>
                <w:sz w:val="14"/>
                <w:szCs w:val="14"/>
                <w:color w:val="auto"/>
              </w:rPr>
              <w:t>(in millions)</w:t>
            </w: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84"/>
              </w:rPr>
              <w:t>September 30</w:t>
            </w:r>
          </w:p>
        </w:tc>
        <w:tc>
          <w:tcPr>
            <w:tcW w:w="740" w:type="dxa"/>
            <w:vAlign w:val="bottom"/>
            <w:gridSpan w:val="2"/>
          </w:tcPr>
          <w:p>
            <w:pPr>
              <w:jc w:val="center"/>
              <w:ind w:left="85"/>
              <w:spacing w:after="0"/>
              <w:rPr>
                <w:sz w:val="20"/>
                <w:szCs w:val="20"/>
                <w:color w:val="auto"/>
              </w:rPr>
            </w:pPr>
            <w:r>
              <w:rPr>
                <w:rFonts w:ascii="Arial" w:cs="Arial" w:eastAsia="Arial" w:hAnsi="Arial"/>
                <w:sz w:val="14"/>
                <w:szCs w:val="14"/>
                <w:color w:val="auto"/>
                <w:w w:val="83"/>
              </w:rPr>
              <w:t>January 28</w:t>
            </w:r>
          </w:p>
        </w:tc>
        <w:tc>
          <w:tcPr>
            <w:tcW w:w="1140" w:type="dxa"/>
            <w:vAlign w:val="bottom"/>
            <w:gridSpan w:val="4"/>
          </w:tcPr>
          <w:p>
            <w:pPr>
              <w:ind w:left="300"/>
              <w:spacing w:after="0"/>
              <w:rPr>
                <w:sz w:val="20"/>
                <w:szCs w:val="20"/>
                <w:color w:val="auto"/>
              </w:rPr>
            </w:pPr>
            <w:r>
              <w:rPr>
                <w:rFonts w:ascii="Arial" w:cs="Arial" w:eastAsia="Arial" w:hAnsi="Arial"/>
                <w:sz w:val="14"/>
                <w:szCs w:val="14"/>
                <w:color w:val="auto"/>
                <w:w w:val="93"/>
              </w:rPr>
              <w:t>September 30</w:t>
            </w:r>
          </w:p>
        </w:tc>
        <w:tc>
          <w:tcPr>
            <w:tcW w:w="220" w:type="dxa"/>
            <w:vAlign w:val="bottom"/>
          </w:tcPr>
          <w:p>
            <w:pPr>
              <w:spacing w:after="0"/>
              <w:rPr>
                <w:sz w:val="15"/>
                <w:szCs w:val="15"/>
                <w:color w:val="auto"/>
              </w:rPr>
            </w:pPr>
          </w:p>
        </w:tc>
        <w:tc>
          <w:tcPr>
            <w:tcW w:w="1160" w:type="dxa"/>
            <w:vAlign w:val="bottom"/>
            <w:gridSpan w:val="4"/>
          </w:tcPr>
          <w:p>
            <w:pPr>
              <w:jc w:val="center"/>
              <w:ind w:right="20"/>
              <w:spacing w:after="0"/>
              <w:rPr>
                <w:sz w:val="20"/>
                <w:szCs w:val="20"/>
                <w:color w:val="auto"/>
              </w:rPr>
            </w:pPr>
            <w:r>
              <w:rPr>
                <w:rFonts w:ascii="Arial" w:cs="Arial" w:eastAsia="Arial" w:hAnsi="Arial"/>
                <w:sz w:val="14"/>
                <w:szCs w:val="14"/>
                <w:color w:val="auto"/>
                <w:w w:val="84"/>
              </w:rPr>
              <w:t>September 30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357"/>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10"/>
        </w:trPr>
        <w:tc>
          <w:tcPr>
            <w:tcW w:w="52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E5E5E5"/>
          </w:tcPr>
          <w:p>
            <w:pPr>
              <w:jc w:val="right"/>
              <w:ind w:right="64"/>
              <w:spacing w:after="0"/>
              <w:rPr>
                <w:sz w:val="20"/>
                <w:szCs w:val="20"/>
                <w:color w:val="auto"/>
              </w:rPr>
            </w:pPr>
            <w:r>
              <w:rPr>
                <w:rFonts w:ascii="Arial" w:cs="Arial" w:eastAsia="Arial" w:hAnsi="Arial"/>
                <w:sz w:val="18"/>
                <w:szCs w:val="18"/>
                <w:color w:val="auto"/>
              </w:rPr>
              <w:t>1,376</w:t>
            </w:r>
          </w:p>
        </w:tc>
        <w:tc>
          <w:tcPr>
            <w:tcW w:w="2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115</w:t>
            </w:r>
          </w:p>
        </w:tc>
        <w:tc>
          <w:tcPr>
            <w:tcW w:w="620" w:type="dxa"/>
            <w:vAlign w:val="bottom"/>
            <w:tcBorders>
              <w:top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gridSpan w:val="3"/>
            <w:shd w:val="clear" w:color="auto" w:fill="E5E5E5"/>
          </w:tcPr>
          <w:p>
            <w:pPr>
              <w:jc w:val="right"/>
              <w:ind w:right="100"/>
              <w:spacing w:after="0"/>
              <w:rPr>
                <w:sz w:val="20"/>
                <w:szCs w:val="20"/>
                <w:color w:val="auto"/>
              </w:rPr>
            </w:pPr>
            <w:r>
              <w:rPr>
                <w:rFonts w:ascii="Arial" w:cs="Arial" w:eastAsia="Arial" w:hAnsi="Arial"/>
                <w:sz w:val="18"/>
                <w:szCs w:val="18"/>
                <w:color w:val="auto"/>
                <w:w w:val="88"/>
              </w:rPr>
              <w:t>1,491</w:t>
            </w:r>
          </w:p>
        </w:tc>
        <w:tc>
          <w:tcPr>
            <w:tcW w:w="220" w:type="dxa"/>
            <w:vAlign w:val="bottom"/>
            <w:tcBorders>
              <w:top w:val="single" w:sz="8" w:color="E5E5E5"/>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gridSpan w:val="2"/>
            <w:shd w:val="clear" w:color="auto" w:fill="E5E5E5"/>
          </w:tcPr>
          <w:p>
            <w:pPr>
              <w:jc w:val="right"/>
              <w:ind w:right="80"/>
              <w:spacing w:after="0"/>
              <w:rPr>
                <w:sz w:val="20"/>
                <w:szCs w:val="20"/>
                <w:color w:val="auto"/>
              </w:rPr>
            </w:pPr>
            <w:r>
              <w:rPr>
                <w:rFonts w:ascii="Arial" w:cs="Arial" w:eastAsia="Arial" w:hAnsi="Arial"/>
                <w:sz w:val="18"/>
                <w:szCs w:val="18"/>
                <w:color w:val="auto"/>
              </w:rPr>
              <w:t>1,122</w:t>
            </w:r>
          </w:p>
        </w:tc>
        <w:tc>
          <w:tcPr>
            <w:tcW w:w="120" w:type="dxa"/>
            <w:vAlign w:val="bottom"/>
            <w:tcBorders>
              <w:top w:val="single" w:sz="8" w:color="E5E5E5"/>
            </w:tcBorders>
            <w:shd w:val="clear" w:color="auto" w:fill="E5E5E5"/>
          </w:tcPr>
          <w:p>
            <w:pPr>
              <w:spacing w:after="0"/>
              <w:rPr>
                <w:sz w:val="18"/>
                <w:szCs w:val="18"/>
                <w:color w:val="auto"/>
              </w:rPr>
            </w:pPr>
          </w:p>
        </w:tc>
        <w:tc>
          <w:tcPr>
            <w:tcW w:w="120" w:type="dxa"/>
            <w:vAlign w:val="bottom"/>
            <w:tcBorders>
              <w:top w:val="single" w:sz="8" w:color="E5E5E5"/>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rPr>
              <w:t>369</w:t>
            </w:r>
          </w:p>
        </w:tc>
        <w:tc>
          <w:tcPr>
            <w:tcW w:w="5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3"/>
              </w:rPr>
              <w:t>32.9%</w:t>
            </w:r>
          </w:p>
        </w:tc>
        <w:tc>
          <w:tcPr>
            <w:tcW w:w="0" w:type="dxa"/>
            <w:vAlign w:val="bottom"/>
          </w:tcPr>
          <w:p>
            <w:pPr>
              <w:spacing w:after="0"/>
              <w:rPr>
                <w:sz w:val="1"/>
                <w:szCs w:val="1"/>
                <w:color w:val="auto"/>
              </w:rPr>
            </w:pPr>
          </w:p>
        </w:tc>
      </w:tr>
      <w:tr>
        <w:trPr>
          <w:trHeight w:val="216"/>
        </w:trPr>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64"/>
              <w:spacing w:after="0"/>
              <w:rPr>
                <w:sz w:val="20"/>
                <w:szCs w:val="20"/>
                <w:color w:val="auto"/>
              </w:rPr>
            </w:pPr>
            <w:r>
              <w:rPr>
                <w:rFonts w:ascii="Arial" w:cs="Arial" w:eastAsia="Arial" w:hAnsi="Arial"/>
                <w:sz w:val="18"/>
                <w:szCs w:val="18"/>
                <w:color w:val="auto"/>
              </w:rPr>
              <w:t>769</w:t>
            </w:r>
          </w:p>
        </w:tc>
        <w:tc>
          <w:tcPr>
            <w:tcW w:w="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6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847</w:t>
            </w:r>
          </w:p>
        </w:tc>
        <w:tc>
          <w:tcPr>
            <w:tcW w:w="220" w:type="dxa"/>
            <w:vAlign w:val="bottom"/>
            <w:tcBorders>
              <w:bottom w:val="single" w:sz="8" w:color="E5E5E5"/>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723</w:t>
            </w:r>
          </w:p>
        </w:tc>
        <w:tc>
          <w:tcPr>
            <w:tcW w:w="120" w:type="dxa"/>
            <w:vAlign w:val="bottom"/>
            <w:tcBorders>
              <w:bottom w:val="single" w:sz="8" w:color="E5E5E5"/>
            </w:tcBorders>
          </w:tcPr>
          <w:p>
            <w:pPr>
              <w:spacing w:after="0"/>
              <w:rPr>
                <w:sz w:val="18"/>
                <w:szCs w:val="18"/>
                <w:color w:val="auto"/>
              </w:rPr>
            </w:pPr>
          </w:p>
        </w:tc>
        <w:tc>
          <w:tcPr>
            <w:tcW w:w="120" w:type="dxa"/>
            <w:vAlign w:val="bottom"/>
            <w:tcBorders>
              <w:bottom w:val="single" w:sz="8" w:color="E5E5E5"/>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124</w:t>
            </w:r>
          </w:p>
        </w:tc>
        <w:tc>
          <w:tcPr>
            <w:tcW w:w="58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w w:val="96"/>
              </w:rPr>
              <w:t>17.2</w:t>
            </w:r>
          </w:p>
        </w:tc>
        <w:tc>
          <w:tcPr>
            <w:tcW w:w="0" w:type="dxa"/>
            <w:vAlign w:val="bottom"/>
          </w:tcPr>
          <w:p>
            <w:pPr>
              <w:spacing w:after="0"/>
              <w:rPr>
                <w:sz w:val="1"/>
                <w:szCs w:val="1"/>
                <w:color w:val="auto"/>
              </w:rPr>
            </w:pPr>
          </w:p>
        </w:tc>
      </w:tr>
      <w:tr>
        <w:trPr>
          <w:trHeight w:val="217"/>
        </w:trPr>
        <w:tc>
          <w:tcPr>
            <w:tcW w:w="5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64"/>
              <w:spacing w:after="0"/>
              <w:rPr>
                <w:sz w:val="20"/>
                <w:szCs w:val="20"/>
                <w:color w:val="auto"/>
              </w:rPr>
            </w:pPr>
            <w:r>
              <w:rPr>
                <w:rFonts w:ascii="Arial" w:cs="Arial" w:eastAsia="Arial" w:hAnsi="Arial"/>
                <w:sz w:val="18"/>
                <w:szCs w:val="18"/>
                <w:b w:val="1"/>
                <w:bCs w:val="1"/>
                <w:color w:val="auto"/>
              </w:rPr>
              <w:t>607</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37</w:t>
            </w:r>
          </w:p>
        </w:tc>
        <w:tc>
          <w:tcPr>
            <w:tcW w:w="62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gridSpan w:val="3"/>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644</w:t>
            </w:r>
          </w:p>
        </w:tc>
        <w:tc>
          <w:tcPr>
            <w:tcW w:w="220" w:type="dxa"/>
            <w:vAlign w:val="bottom"/>
            <w:tcBorders>
              <w:bottom w:val="single" w:sz="8" w:color="E5E5E5"/>
            </w:tcBorders>
            <w:shd w:val="clear" w:color="auto" w:fill="E5E5E5"/>
          </w:tcPr>
          <w:p>
            <w:pPr>
              <w:spacing w:after="0"/>
              <w:rPr>
                <w:sz w:val="18"/>
                <w:szCs w:val="18"/>
                <w:color w:val="auto"/>
              </w:rPr>
            </w:pPr>
          </w:p>
        </w:tc>
        <w:tc>
          <w:tcPr>
            <w:tcW w:w="3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399</w:t>
            </w:r>
          </w:p>
        </w:tc>
        <w:tc>
          <w:tcPr>
            <w:tcW w:w="120" w:type="dxa"/>
            <w:vAlign w:val="bottom"/>
            <w:tcBorders>
              <w:bottom w:val="single" w:sz="8" w:color="E5E5E5"/>
            </w:tcBorders>
            <w:shd w:val="clear" w:color="auto" w:fill="E5E5E5"/>
          </w:tcPr>
          <w:p>
            <w:pPr>
              <w:spacing w:after="0"/>
              <w:rPr>
                <w:sz w:val="18"/>
                <w:szCs w:val="18"/>
                <w:color w:val="auto"/>
              </w:rPr>
            </w:pPr>
          </w:p>
        </w:tc>
        <w:tc>
          <w:tcPr>
            <w:tcW w:w="120" w:type="dxa"/>
            <w:vAlign w:val="bottom"/>
            <w:tcBorders>
              <w:bottom w:val="single" w:sz="8" w:color="E5E5E5"/>
            </w:tcBorders>
            <w:shd w:val="clear" w:color="auto" w:fill="E5E5E5"/>
          </w:tcPr>
          <w:p>
            <w:pPr>
              <w:spacing w:after="0"/>
              <w:rPr>
                <w:sz w:val="18"/>
                <w:szCs w:val="18"/>
                <w:color w:val="auto"/>
              </w:rPr>
            </w:pPr>
          </w:p>
        </w:tc>
        <w:tc>
          <w:tcPr>
            <w:tcW w:w="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rPr>
              <w:t>245</w:t>
            </w: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7"/>
              </w:rPr>
              <w:t>61.2%</w:t>
            </w:r>
          </w:p>
        </w:tc>
        <w:tc>
          <w:tcPr>
            <w:tcW w:w="0" w:type="dxa"/>
            <w:vAlign w:val="bottom"/>
          </w:tcPr>
          <w:p>
            <w:pPr>
              <w:spacing w:after="0"/>
              <w:rPr>
                <w:sz w:val="1"/>
                <w:szCs w:val="1"/>
                <w:color w:val="auto"/>
              </w:rPr>
            </w:pPr>
          </w:p>
        </w:tc>
      </w:tr>
    </w:tbl>
    <w:p>
      <w:pPr>
        <w:spacing w:after="0" w:line="57" w:lineRule="exact"/>
        <w:rPr>
          <w:sz w:val="20"/>
          <w:szCs w:val="20"/>
          <w:color w:val="auto"/>
        </w:rPr>
      </w:pPr>
    </w:p>
    <w:p>
      <w:pPr>
        <w:jc w:val="both"/>
        <w:ind w:left="340" w:hanging="332"/>
        <w:spacing w:after="0" w:line="233"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Actual amounts include the results of operations for the NBCUniversal acquired businesses and UCDP for the three months ended September 30, 2011 and for the period January 29, 2011 through September 30, 2011. The results of operations for UCDP for the period January 29, 2011 through June 30, 2011 are eliminated from our consolidated results because UCDP was recorded as an equity method investment during that period.</w:t>
      </w:r>
    </w:p>
    <w:p>
      <w:pPr>
        <w:spacing w:after="0" w:line="44" w:lineRule="exact"/>
        <w:rPr>
          <w:rFonts w:ascii="Arial" w:cs="Arial" w:eastAsia="Arial" w:hAnsi="Arial"/>
          <w:sz w:val="14"/>
          <w:szCs w:val="14"/>
          <w:color w:val="auto"/>
        </w:rPr>
      </w:pPr>
    </w:p>
    <w:p>
      <w:pPr>
        <w:jc w:val="both"/>
        <w:ind w:left="340" w:hanging="332"/>
        <w:spacing w:after="0" w:line="278" w:lineRule="auto"/>
        <w:tabs>
          <w:tab w:leader="none" w:pos="3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Pro forma amounts include the results of operations for the NBCUniversal acquired businesses and UCDP for the period January 1, 2011 through January 28, 2011 and for the three and nine months ended September 30, 2010. These amounts also include pro forma adjustments as if the NBCUniversal and UCDP transactions had occurred on January 1, 2010, including the effects of acquisition accounting and the elimination of operating costs and expenses directly related to the transactions, but do not include adjustments for costs related to integration activities, cost savings or synergies that have been or may be achieved by the combined businesses. Pro forma amounts are not necessarily indicative of what the results would have been had we operated the businesses since January 1, 2010.</w:t>
      </w:r>
    </w:p>
    <w:p>
      <w:pPr>
        <w:spacing w:after="0" w:line="22" w:lineRule="exact"/>
        <w:rPr>
          <w:rFonts w:ascii="Arial" w:cs="Arial" w:eastAsia="Arial" w:hAnsi="Arial"/>
          <w:sz w:val="12"/>
          <w:szCs w:val="12"/>
          <w:color w:val="auto"/>
        </w:rPr>
      </w:pPr>
    </w:p>
    <w:p>
      <w:pPr>
        <w:ind w:left="340" w:hanging="332"/>
        <w:spacing w:after="0" w:line="239"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Pro forma combined amounts represent our pro forma results of operations as if the NBCUniversal and UCDP transactions had occurred on January 1, 2010 but are not necessarily indicative of what the results would have been had we operated the businesses since January 1, 2010.</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Theme Parks Segment—Revenue</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Theme Parks segment revenue is generated primarily from theme park attendance and related per capita spending, including ticket sales and in-park spending on food, beverage and merchandise, as well as from management, licensing and other fees.</w:t>
      </w:r>
    </w:p>
    <w:p>
      <w:pPr>
        <w:spacing w:after="0" w:line="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Attendance at our theme parks and per capita spending depend heavily on the general environment for travel and tourism, including consumer spending on travel and other recreational activities. Revenue in our theme parks business fluctuates with the changes in theme park attendance that result from the seasonal nature of vacation travel, local entertainment offerings and seasonal weather variations. Our theme parks experience peak attendance generally during the summer months when school vacations occur and during early winter and spring holiday periods. License and other fees relate primarily to our agreements with third parties that operate the Universal Studios Japan and the Universal Studios Singapore theme parks to license the Universal Studios brand name, certain characters and other intellectual property.</w:t>
      </w:r>
    </w:p>
    <w:p>
      <w:pPr>
        <w:spacing w:after="0" w:line="5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Revenue for the three months ended September 30, 2011 increased compared to the same period in 2010 primarily due an increase in per capita spending at our Universal theme parks in Orlando and Hollywood. Pro forma combined revenue for the nine months ended September 30, 2011 increased compared to the same period in 2010 primarily due to an increase in attendance and per capita spending at our Universal theme parks in Orlando and Hollywood driven primarily by the continued strong performance of </w:t>
      </w:r>
      <w:r>
        <w:rPr>
          <w:rFonts w:ascii="Arial" w:cs="Arial" w:eastAsia="Arial" w:hAnsi="Arial"/>
          <w:sz w:val="16"/>
          <w:szCs w:val="16"/>
          <w:i w:val="1"/>
          <w:iCs w:val="1"/>
          <w:color w:val="auto"/>
        </w:rPr>
        <w:t>The Wizarding World of Harry Potter</w:t>
      </w:r>
      <w:r>
        <w:rPr>
          <w:rFonts w:ascii="Arial" w:cs="Arial" w:eastAsia="Arial" w:hAnsi="Arial"/>
          <w:sz w:val="16"/>
          <w:szCs w:val="16"/>
          <w:color w:val="auto"/>
        </w:rPr>
        <w:t xml:space="preserve">™ and </w:t>
      </w:r>
      <w:r>
        <w:rPr>
          <w:rFonts w:ascii="Arial" w:cs="Arial" w:eastAsia="Arial" w:hAnsi="Arial"/>
          <w:sz w:val="16"/>
          <w:szCs w:val="16"/>
          <w:i w:val="1"/>
          <w:iCs w:val="1"/>
          <w:color w:val="auto"/>
        </w:rPr>
        <w:t>King Kong</w:t>
      </w:r>
      <w:r>
        <w:rPr>
          <w:rFonts w:ascii="Arial" w:cs="Arial" w:eastAsia="Arial" w:hAnsi="Arial"/>
          <w:sz w:val="16"/>
          <w:szCs w:val="16"/>
          <w:color w:val="auto"/>
        </w:rPr>
        <w:t xml:space="preserve"> attractions,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Theme Parks Segment—Operating Costs and Expenses</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Theme Parks segment operating costs and expenses consist primarily of theme park operations, including repairs and maintenance and related administrative expenses; costs of food, beverage and merchandise; labor costs; and sales and marketing costs.</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costs and expenses for the three months ended September 30, 2011 and pro forma combined operating costs and expenses for the nine months ended September 30, 2011 increased compared to the same periods in 2010 primarily due to additional variable costs associated with increases in attendance and per capita spending at our Universal theme parks in Orlando and Hollywood.</w:t>
      </w:r>
    </w:p>
    <w:p>
      <w:pPr>
        <w:spacing w:after="0" w:line="46" w:lineRule="exact"/>
        <w:rPr>
          <w:sz w:val="20"/>
          <w:szCs w:val="20"/>
          <w:color w:val="auto"/>
        </w:rPr>
      </w:pPr>
    </w:p>
    <w:p>
      <w:pPr>
        <w:ind w:right="760"/>
        <w:spacing w:after="0" w:line="352" w:lineRule="auto"/>
        <w:rPr>
          <w:sz w:val="20"/>
          <w:szCs w:val="20"/>
          <w:color w:val="auto"/>
        </w:rPr>
      </w:pPr>
      <w:r>
        <w:rPr>
          <w:rFonts w:ascii="Arial" w:cs="Arial" w:eastAsia="Arial" w:hAnsi="Arial"/>
          <w:sz w:val="18"/>
          <w:szCs w:val="18"/>
          <w:color w:val="auto"/>
        </w:rPr>
        <w:t xml:space="preserve">We have invested and expect to continue to invest in existing and new theme park attractions and infrastructure. These costs can vary from year to year. </w:t>
      </w:r>
      <w:r>
        <w:rPr>
          <w:rFonts w:ascii="Arial" w:cs="Arial" w:eastAsia="Arial" w:hAnsi="Arial"/>
          <w:sz w:val="18"/>
          <w:szCs w:val="18"/>
          <w:b w:val="1"/>
          <w:bCs w:val="1"/>
          <w:color w:val="auto"/>
        </w:rPr>
        <w:t>Headquarters, Other and Eliminations</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Headquarters and Other operating costs and expenses include corporate overhead, employee benefit expenses, expenses related to the NBCUniversal transaction and corporate initiatives. Operating costs and expenses for the three months ended September 30, 2011 and pro forma combined operating costs and expenses for the nine months ended September 30, 2011 increased compared to the same periods in 2010 primarily due to transaction-related costs, including severance and other compensation-related costs.</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Eliminations include the results of operations for UCDP for the period January 29, 2011 through June 30, 2011. The Theme Parks segment includes these amounts to reflect the current segment performance measure but these amounts are not included when we measure total NBCUniversal and our consolidated results of operations because we recorded UCDP as an equity method investment during this period.</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Other Income (Expense) Items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80" w:type="dxa"/>
            <w:vAlign w:val="bottom"/>
            <w:gridSpan w:val="3"/>
          </w:tcPr>
          <w:p>
            <w:pPr>
              <w:jc w:val="right"/>
              <w:ind w:right="436"/>
              <w:spacing w:after="0"/>
              <w:rPr>
                <w:sz w:val="20"/>
                <w:szCs w:val="20"/>
                <w:color w:val="auto"/>
              </w:rPr>
            </w:pPr>
            <w:r>
              <w:rPr>
                <w:rFonts w:ascii="Arial" w:cs="Arial" w:eastAsia="Arial" w:hAnsi="Arial"/>
                <w:sz w:val="14"/>
                <w:szCs w:val="14"/>
                <w:color w:val="auto"/>
                <w:w w:val="94"/>
              </w:rPr>
              <w:t>Three Months Ended</w:t>
            </w:r>
          </w:p>
        </w:tc>
        <w:tc>
          <w:tcPr>
            <w:tcW w:w="1980" w:type="dxa"/>
            <w:vAlign w:val="bottom"/>
            <w:gridSpan w:val="2"/>
          </w:tcPr>
          <w:p>
            <w:pPr>
              <w:jc w:val="right"/>
              <w:ind w:right="296"/>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44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7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7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2"/>
          </w:tcPr>
          <w:p>
            <w:pPr>
              <w:jc w:val="right"/>
              <w:ind w:right="476"/>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4420" w:type="dxa"/>
            <w:vAlign w:val="bottom"/>
            <w:tcBorders>
              <w:bottom w:val="single" w:sz="8" w:color="auto"/>
            </w:tcBorders>
            <w:vMerge w:val="continue"/>
          </w:tcPr>
          <w:p>
            <w:pPr>
              <w:spacing w:after="0"/>
              <w:rPr>
                <w:sz w:val="12"/>
                <w:szCs w:val="12"/>
                <w:color w:val="auto"/>
              </w:rPr>
            </w:pPr>
          </w:p>
        </w:tc>
        <w:tc>
          <w:tcPr>
            <w:tcW w:w="27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60"/>
              <w:spacing w:after="0" w:line="142" w:lineRule="exact"/>
              <w:rPr>
                <w:sz w:val="20"/>
                <w:szCs w:val="20"/>
                <w:color w:val="auto"/>
              </w:rPr>
            </w:pPr>
            <w:r>
              <w:rPr>
                <w:rFonts w:ascii="Arial" w:cs="Arial" w:eastAsia="Arial" w:hAnsi="Arial"/>
                <w:sz w:val="14"/>
                <w:szCs w:val="14"/>
                <w:color w:val="auto"/>
                <w:w w:val="83"/>
              </w:rPr>
              <w:t>2011</w:t>
            </w: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color w:val="auto"/>
                <w:w w:val="83"/>
              </w:rPr>
              <w:t>2010</w:t>
            </w:r>
          </w:p>
        </w:tc>
        <w:tc>
          <w:tcPr>
            <w:tcW w:w="1080" w:type="dxa"/>
            <w:vAlign w:val="bottom"/>
            <w:tcBorders>
              <w:bottom w:val="single" w:sz="8" w:color="auto"/>
            </w:tcBorders>
          </w:tcPr>
          <w:p>
            <w:pPr>
              <w:jc w:val="right"/>
              <w:ind w:right="360"/>
              <w:spacing w:after="0" w:line="142" w:lineRule="exact"/>
              <w:rPr>
                <w:sz w:val="20"/>
                <w:szCs w:val="20"/>
                <w:color w:val="auto"/>
              </w:rPr>
            </w:pPr>
            <w:r>
              <w:rPr>
                <w:rFonts w:ascii="Arial" w:cs="Arial" w:eastAsia="Arial" w:hAnsi="Arial"/>
                <w:sz w:val="14"/>
                <w:szCs w:val="14"/>
                <w:color w:val="auto"/>
              </w:rPr>
              <w:t>2011</w:t>
            </w:r>
          </w:p>
        </w:tc>
        <w:tc>
          <w:tcPr>
            <w:tcW w:w="90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210"/>
        </w:trPr>
        <w:tc>
          <w:tcPr>
            <w:tcW w:w="4420" w:type="dxa"/>
            <w:vAlign w:val="bottom"/>
            <w:shd w:val="clear" w:color="auto" w:fill="E5E5E5"/>
          </w:tcPr>
          <w:p>
            <w:pPr>
              <w:spacing w:after="0"/>
              <w:rPr>
                <w:sz w:val="20"/>
                <w:szCs w:val="20"/>
                <w:color w:val="auto"/>
              </w:rPr>
            </w:pPr>
            <w:r>
              <w:rPr>
                <w:rFonts w:ascii="Arial" w:cs="Arial" w:eastAsia="Arial" w:hAnsi="Arial"/>
                <w:sz w:val="18"/>
                <w:szCs w:val="18"/>
                <w:color w:val="auto"/>
              </w:rPr>
              <w:t>Interest expense</w:t>
            </w:r>
          </w:p>
        </w:tc>
        <w:tc>
          <w:tcPr>
            <w:tcW w:w="324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60"/>
              <w:spacing w:after="0"/>
              <w:rPr>
                <w:sz w:val="20"/>
                <w:szCs w:val="20"/>
                <w:color w:val="auto"/>
              </w:rPr>
            </w:pPr>
            <w:r>
              <w:rPr>
                <w:rFonts w:ascii="Arial" w:cs="Arial" w:eastAsia="Arial" w:hAnsi="Arial"/>
                <w:sz w:val="18"/>
                <w:szCs w:val="18"/>
                <w:color w:val="auto"/>
              </w:rPr>
              <w:t>(637)</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(545)</w:t>
            </w:r>
          </w:p>
        </w:tc>
        <w:tc>
          <w:tcPr>
            <w:tcW w:w="1080" w:type="dxa"/>
            <w:vAlign w:val="bottom"/>
            <w:shd w:val="clear" w:color="auto" w:fill="E5E5E5"/>
          </w:tcPr>
          <w:p>
            <w:pPr>
              <w:jc w:val="right"/>
              <w:ind w:right="140"/>
              <w:spacing w:after="0"/>
              <w:rPr>
                <w:sz w:val="20"/>
                <w:szCs w:val="20"/>
                <w:color w:val="auto"/>
              </w:rPr>
            </w:pPr>
            <w:r>
              <w:rPr>
                <w:rFonts w:ascii="Arial" w:cs="Arial" w:eastAsia="Arial" w:hAnsi="Arial"/>
                <w:sz w:val="18"/>
                <w:szCs w:val="18"/>
                <w:color w:val="auto"/>
              </w:rPr>
              <w:t>$(1,863)</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$(1,612)</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Investment income (loss), net</w:t>
            </w:r>
          </w:p>
        </w:tc>
        <w:tc>
          <w:tcPr>
            <w:tcW w:w="2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jc w:val="right"/>
              <w:ind w:right="160"/>
              <w:spacing w:after="0"/>
              <w:rPr>
                <w:sz w:val="20"/>
                <w:szCs w:val="20"/>
                <w:color w:val="auto"/>
              </w:rPr>
            </w:pPr>
            <w:r>
              <w:rPr>
                <w:rFonts w:ascii="Arial" w:cs="Arial" w:eastAsia="Arial" w:hAnsi="Arial"/>
                <w:sz w:val="18"/>
                <w:szCs w:val="18"/>
                <w:color w:val="auto"/>
              </w:rPr>
              <w:t>(147)</w:t>
            </w:r>
          </w:p>
        </w:tc>
        <w:tc>
          <w:tcPr>
            <w:tcW w:w="360" w:type="dxa"/>
            <w:vAlign w:val="bottom"/>
          </w:tcPr>
          <w:p>
            <w:pPr>
              <w:spacing w:after="0"/>
              <w:rPr>
                <w:sz w:val="18"/>
                <w:szCs w:val="18"/>
                <w:color w:val="auto"/>
              </w:rPr>
            </w:pPr>
          </w:p>
        </w:tc>
        <w:tc>
          <w:tcPr>
            <w:tcW w:w="700" w:type="dxa"/>
            <w:vAlign w:val="bottom"/>
          </w:tcPr>
          <w:p>
            <w:pPr>
              <w:jc w:val="right"/>
              <w:ind w:right="196"/>
              <w:spacing w:after="0"/>
              <w:rPr>
                <w:sz w:val="20"/>
                <w:szCs w:val="20"/>
                <w:color w:val="auto"/>
              </w:rPr>
            </w:pPr>
            <w:r>
              <w:rPr>
                <w:rFonts w:ascii="Arial" w:cs="Arial" w:eastAsia="Arial" w:hAnsi="Arial"/>
                <w:sz w:val="18"/>
                <w:szCs w:val="18"/>
                <w:color w:val="auto"/>
              </w:rPr>
              <w:t>109</w:t>
            </w:r>
          </w:p>
        </w:tc>
        <w:tc>
          <w:tcPr>
            <w:tcW w:w="1080" w:type="dxa"/>
            <w:vAlign w:val="bottom"/>
          </w:tcPr>
          <w:p>
            <w:pPr>
              <w:jc w:val="right"/>
              <w:ind w:right="200"/>
              <w:spacing w:after="0"/>
              <w:rPr>
                <w:sz w:val="20"/>
                <w:szCs w:val="20"/>
                <w:color w:val="auto"/>
              </w:rPr>
            </w:pPr>
            <w:r>
              <w:rPr>
                <w:rFonts w:ascii="Arial" w:cs="Arial" w:eastAsia="Arial" w:hAnsi="Arial"/>
                <w:sz w:val="18"/>
                <w:szCs w:val="18"/>
                <w:color w:val="auto"/>
              </w:rPr>
              <w:t>3</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4420" w:type="dxa"/>
            <w:vAlign w:val="bottom"/>
            <w:shd w:val="clear" w:color="auto" w:fill="E5E5E5"/>
          </w:tcPr>
          <w:p>
            <w:pPr>
              <w:spacing w:after="0"/>
              <w:rPr>
                <w:sz w:val="20"/>
                <w:szCs w:val="20"/>
                <w:color w:val="auto"/>
              </w:rPr>
            </w:pPr>
            <w:r>
              <w:rPr>
                <w:rFonts w:ascii="Arial" w:cs="Arial" w:eastAsia="Arial" w:hAnsi="Arial"/>
                <w:sz w:val="18"/>
                <w:szCs w:val="18"/>
                <w:color w:val="auto"/>
              </w:rPr>
              <w:t>Equity in net income (losses) of investees, net</w:t>
            </w:r>
          </w:p>
        </w:tc>
        <w:tc>
          <w:tcPr>
            <w:tcW w:w="270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60"/>
              <w:spacing w:after="0"/>
              <w:rPr>
                <w:sz w:val="20"/>
                <w:szCs w:val="20"/>
                <w:color w:val="auto"/>
              </w:rPr>
            </w:pPr>
            <w:r>
              <w:rPr>
                <w:rFonts w:ascii="Arial" w:cs="Arial" w:eastAsia="Arial" w:hAnsi="Arial"/>
                <w:sz w:val="18"/>
                <w:szCs w:val="18"/>
                <w:color w:val="auto"/>
              </w:rPr>
              <w:t>(40)</w:t>
            </w:r>
          </w:p>
        </w:tc>
        <w:tc>
          <w:tcPr>
            <w:tcW w:w="3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(40)</w:t>
            </w:r>
          </w:p>
        </w:tc>
        <w:tc>
          <w:tcPr>
            <w:tcW w:w="1080" w:type="dxa"/>
            <w:vAlign w:val="bottom"/>
            <w:shd w:val="clear" w:color="auto" w:fill="E5E5E5"/>
          </w:tcPr>
          <w:p>
            <w:pPr>
              <w:jc w:val="right"/>
              <w:ind w:right="140"/>
              <w:spacing w:after="0"/>
              <w:rPr>
                <w:sz w:val="20"/>
                <w:szCs w:val="20"/>
                <w:color w:val="auto"/>
              </w:rPr>
            </w:pPr>
            <w:r>
              <w:rPr>
                <w:rFonts w:ascii="Arial" w:cs="Arial" w:eastAsia="Arial" w:hAnsi="Arial"/>
                <w:sz w:val="18"/>
                <w:szCs w:val="18"/>
                <w:color w:val="auto"/>
              </w:rPr>
              <w:t>(40)</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 (expense), net</w:t>
            </w:r>
          </w:p>
        </w:tc>
        <w:tc>
          <w:tcPr>
            <w:tcW w:w="27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60"/>
              <w:spacing w:after="0"/>
              <w:rPr>
                <w:sz w:val="20"/>
                <w:szCs w:val="20"/>
                <w:color w:val="auto"/>
              </w:rPr>
            </w:pPr>
            <w:r>
              <w:rPr>
                <w:rFonts w:ascii="Arial" w:cs="Arial" w:eastAsia="Arial" w:hAnsi="Arial"/>
                <w:sz w:val="18"/>
                <w:szCs w:val="18"/>
                <w:color w:val="auto"/>
              </w:rPr>
              <w:t>(12)</w:t>
            </w: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(24)</w:t>
            </w: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8"/>
                <w:szCs w:val="18"/>
                <w:color w:val="auto"/>
              </w:rPr>
              <w:t>(82)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7"/>
        </w:trPr>
        <w:tc>
          <w:tcPr>
            <w:tcW w:w="4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3240" w:type="dxa"/>
            <w:vAlign w:val="bottom"/>
            <w:tcBorders>
              <w:bottom w:val="single" w:sz="8" w:color="auto"/>
            </w:tcBorders>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(836)</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b w:val="1"/>
                <w:bCs w:val="1"/>
                <w:color w:val="auto"/>
              </w:rPr>
              <w:t>(500)</w:t>
            </w:r>
          </w:p>
        </w:tc>
        <w:tc>
          <w:tcPr>
            <w:tcW w:w="1080" w:type="dxa"/>
            <w:vAlign w:val="bottom"/>
            <w:tcBorders>
              <w:bottom w:val="single" w:sz="8" w:color="auto"/>
            </w:tcBorders>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$(1,982)</w:t>
            </w: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$(1,569)</w:t>
            </w:r>
          </w:p>
        </w:tc>
        <w:tc>
          <w:tcPr>
            <w:tcW w:w="0" w:type="dxa"/>
            <w:vAlign w:val="bottom"/>
          </w:tcPr>
          <w:p>
            <w:pPr>
              <w:spacing w:after="0"/>
              <w:rPr>
                <w:sz w:val="1"/>
                <w:szCs w:val="1"/>
                <w:color w:val="auto"/>
              </w:rPr>
            </w:pPr>
          </w:p>
        </w:tc>
      </w:tr>
      <w:tr>
        <w:trPr>
          <w:trHeight w:val="363"/>
        </w:trPr>
        <w:tc>
          <w:tcPr>
            <w:tcW w:w="4420" w:type="dxa"/>
            <w:vAlign w:val="bottom"/>
          </w:tcPr>
          <w:p>
            <w:pPr>
              <w:spacing w:after="0"/>
              <w:rPr>
                <w:sz w:val="24"/>
                <w:szCs w:val="24"/>
                <w:color w:val="auto"/>
              </w:rPr>
            </w:pPr>
          </w:p>
        </w:tc>
        <w:tc>
          <w:tcPr>
            <w:tcW w:w="2700" w:type="dxa"/>
            <w:vAlign w:val="bottom"/>
          </w:tcPr>
          <w:p>
            <w:pPr>
              <w:jc w:val="right"/>
              <w:ind w:right="1212"/>
              <w:spacing w:after="0"/>
              <w:rPr>
                <w:sz w:val="20"/>
                <w:szCs w:val="20"/>
                <w:color w:val="auto"/>
              </w:rPr>
            </w:pPr>
            <w:r>
              <w:rPr>
                <w:rFonts w:ascii="Arial" w:cs="Arial" w:eastAsia="Arial" w:hAnsi="Arial"/>
                <w:sz w:val="18"/>
                <w:szCs w:val="18"/>
                <w:color w:val="auto"/>
              </w:rPr>
              <w:t>54</w:t>
            </w: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increase in interest expense for the three and nine months ended September 30, 2011 compared to the same periods in 2010 is primarily due to the effects of the NBCUniversal transaction and consolidation of NBCUniversal’s outstanding debt of $9.1 billion.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(Loss), Net</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components of investment income (loss), net for the three and nine months ended September 30, 2011 and 2010 are presented in a table in Note 6 to our condensed consolidated financial statements.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Net Income (Losses) of Investees, Net</w:t>
      </w:r>
    </w:p>
    <w:p>
      <w:pPr>
        <w:spacing w:after="0" w:line="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changes in equity in net income (losses) of investees, net for the three and nine months ended September 30, 2011 compared to the same periods in 2010 were primarily due to the effects of the NBCUniversal transaction, offset by losses related to our investment in Clearwire, LLC.</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Income Tax Expense</w:t>
      </w:r>
    </w:p>
    <w:p>
      <w:pPr>
        <w:spacing w:after="0" w:line="8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Income tax expense for the three and nine months ended September 30, 2011 and 2010 reflects an effective income tax rate that differs from the federal statutory rate primarily due to state income taxes and interest on uncertain tax positions, and, in 2011, due to the partnership structure of NBCUniversal Holdings and the $137 million net impact of certain changes in state tax laws. We expect our 2011 annual effective tax rate to be in the range of 35% to 40%.</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Net (Income) Loss Attributable to Noncontrolling Interests</w:t>
      </w:r>
    </w:p>
    <w:p>
      <w:pPr>
        <w:spacing w:after="0" w:line="82"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Net (income) loss attributable to noncontrolling interests for the three and nine months ended September 30, 2011 increased compared to the same periods in 2010 due to the NBCUniversal transaction. GE’s interest in NBCUniversal Holdings is recorded as a redeemable noncontrolling interest in our consolidated financial statements due to the redemption provisions outlined in Note 4 to our condensed consolidated financial statements. Net (income) loss attributable to noncontrolling interests includes GE’s allocated share of the earnings of NBCUniversal Holdings and NBCUniversal.</w:t>
      </w:r>
    </w:p>
    <w:p>
      <w:pPr>
        <w:spacing w:after="0" w:line="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facilities, and our ability to obtain future external financing.</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anticipate that we will continue to use a substantial portion of our cash flows to fund our capital expenditures, to invest in business opportunities, to meet our debt repayment obligations and to return capital to shareholders.</w:t>
      </w:r>
    </w:p>
    <w:p>
      <w:pPr>
        <w:spacing w:after="0" w:line="3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connection with the NBCUniversal transaction, we were required to make a cash payment of $6.2 billion to GE at the close of the transaction. We funded this payment with cash on hand and $650 million of commercial paper borrowings. The transaction also calls for the payment to GE, in the future, of certain tax benefits to the extent realized. As of the close of the NBCUniversal transaction on January 28, 2011, we consolidated $9.1 billion of NBCUniversal senior debt securities with maturities ranging from 2014 to 2041. We do not guarantee NBCUniversal’s debt obligations. Any future redemptions of GE’s stake in NBCUniversal Holdings are expected to be funded primarily through NBCUniversal’s cash flows from operating activities and its borrowing capacity. If any borrowings by NBCUniversal to fund either of GE’s two potential redemptions would result in NBCUniversal exceeding a certain leverage ratio or losing investment grade status or if it cannot otherwise fund such redemptions, we are committed to fund up to $2.875 billion in cash or our common stock for each of the two potential redemptions (for an aggregate of up to $5.75 billion) to the extent NBCUniversal Holdings cannot fund the redemptions, with amounts not used in the first redemption to be available for the second redemption.</w:t>
      </w:r>
    </w:p>
    <w:p>
      <w:pPr>
        <w:spacing w:after="0" w:line="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 2011, NBCUniversal completed its acquisition of the remaining 50% equity interest in UCDP that it did not already own for $1 billion. NBCUniversal funded this transaction with cash on hand, borrowings under the NBCUniversal revolving credit facility and a $250 million one-year intercompany note due to us, which is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eliminated in our consolidated financial statements. Additional borrowings under the NBCUniversal revolving credit facility, along with cash on hand at UCDP, were used to terminate UCDP’s existing $801 million term loan immediately following the acquisition.</w:t>
      </w:r>
    </w:p>
    <w:p>
      <w:pPr>
        <w:spacing w:after="0" w:line="3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On August 1, 2011, UCDP completed its redemption of $140 million aggregate principal amount of its 8.875% senior notes due 2015 and $79 million aggregate principal amount of its 10.875% senior subordinated notes due 2016. Following the redemption, $260 million aggregate principal amount of UCDP’s senior notes and $146 million aggregate principal amount of UCDP’s senior subordinated notes remained outstanding.</w:t>
      </w:r>
    </w:p>
    <w:p>
      <w:pPr>
        <w:spacing w:after="0" w:line="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2011, NBCUniversal fully and unconditionally guaranteed the $260 million aggregate principal amount outstanding of UCDP’s 8.875% senior notes due 2015 and $146 million aggregate principal amount outstanding of UCDP’s 10.875% senior subordinated notes due 2016. The guarantee includes the payment of principal, premium, if any, and interest.</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the close of the NBCUniversal transaction on January 28, 2011, NBCUniversal established new monetization programs with a syndicate of banks. The effects of these monetization transactions are included in operating activities in our consolidated statement of cash flows. See Note 15 to our condensed consolidated financial statements for additional information.</w:t>
      </w:r>
    </w:p>
    <w:p>
      <w:pPr>
        <w:spacing w:after="0" w:line="4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response to the high cost of producing films, we have entered into film cofinancing arrangements with third parties to jointly finance or distribute certain of our film productions. These arrangements can take various forms. In most cases, the form of the arrangement involves the grant of an economic interest in a film to a third-party investor. Investors generally assume the full risks and rewards of ownership proportionate to their ownership in the film. We account for our proceeds under these arrangements as a reduction to our capitalized film costs and the related cash flows are a component of net cash provided by operating activities. The availability of cofinancing arrangements has decreased in recent years and we believe that it will continue to decrease in the future.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components of net cash provided by operating activities.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20" w:type="dxa"/>
            <w:vAlign w:val="bottom"/>
            <w:gridSpan w:val="3"/>
          </w:tcPr>
          <w:p>
            <w:pPr>
              <w:jc w:val="right"/>
              <w:ind w:right="334"/>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91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right"/>
              <w:ind w:right="494"/>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918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77"/>
              <w:spacing w:after="0" w:line="142" w:lineRule="exact"/>
              <w:rPr>
                <w:sz w:val="20"/>
                <w:szCs w:val="20"/>
                <w:color w:val="auto"/>
              </w:rPr>
            </w:pPr>
            <w:r>
              <w:rPr>
                <w:rFonts w:ascii="Arial" w:cs="Arial" w:eastAsia="Arial" w:hAnsi="Arial"/>
                <w:sz w:val="14"/>
                <w:szCs w:val="14"/>
                <w:color w:val="auto"/>
              </w:rPr>
              <w:t>2011</w:t>
            </w:r>
          </w:p>
        </w:tc>
        <w:tc>
          <w:tcPr>
            <w:tcW w:w="3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210"/>
        </w:trPr>
        <w:tc>
          <w:tcPr>
            <w:tcW w:w="918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w:t>
            </w: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7,803</w:t>
            </w:r>
          </w:p>
        </w:tc>
        <w:tc>
          <w:tcPr>
            <w:tcW w:w="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5,967</w:t>
            </w:r>
          </w:p>
        </w:tc>
        <w:tc>
          <w:tcPr>
            <w:tcW w:w="0" w:type="dxa"/>
            <w:vAlign w:val="bottom"/>
          </w:tcPr>
          <w:p>
            <w:pPr>
              <w:spacing w:after="0"/>
              <w:rPr>
                <w:sz w:val="1"/>
                <w:szCs w:val="1"/>
                <w:color w:val="auto"/>
              </w:rPr>
            </w:pPr>
          </w:p>
        </w:tc>
      </w:tr>
      <w:tr>
        <w:trPr>
          <w:trHeight w:val="216"/>
        </w:trPr>
        <w:tc>
          <w:tcPr>
            <w:tcW w:w="9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5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color w:val="auto"/>
              </w:rPr>
              <w:t>5,638</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4,913</w:t>
            </w:r>
          </w:p>
        </w:tc>
        <w:tc>
          <w:tcPr>
            <w:tcW w:w="0" w:type="dxa"/>
            <w:vAlign w:val="bottom"/>
          </w:tcPr>
          <w:p>
            <w:pPr>
              <w:spacing w:after="0"/>
              <w:rPr>
                <w:sz w:val="1"/>
                <w:szCs w:val="1"/>
                <w:color w:val="auto"/>
              </w:rPr>
            </w:pPr>
          </w:p>
        </w:tc>
      </w:tr>
      <w:tr>
        <w:trPr>
          <w:trHeight w:val="210"/>
        </w:trPr>
        <w:tc>
          <w:tcPr>
            <w:tcW w:w="91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Operating income before depreciation and amortization</w:t>
            </w:r>
          </w:p>
        </w:tc>
        <w:tc>
          <w:tcPr>
            <w:tcW w:w="5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w w:val="87"/>
              </w:rPr>
              <w:t>13,441</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87"/>
              </w:rPr>
              <w:t>10,880</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Noncash share-based compensation</w:t>
            </w:r>
          </w:p>
        </w:tc>
        <w:tc>
          <w:tcPr>
            <w:tcW w:w="520" w:type="dxa"/>
            <w:vAlign w:val="bottom"/>
          </w:tcPr>
          <w:p>
            <w:pPr>
              <w:spacing w:after="0"/>
              <w:rPr>
                <w:sz w:val="18"/>
                <w:szCs w:val="18"/>
                <w:color w:val="auto"/>
              </w:rPr>
            </w:pPr>
          </w:p>
        </w:tc>
        <w:tc>
          <w:tcPr>
            <w:tcW w:w="800" w:type="dxa"/>
            <w:vAlign w:val="bottom"/>
          </w:tcPr>
          <w:p>
            <w:pPr>
              <w:jc w:val="right"/>
              <w:ind w:right="217"/>
              <w:spacing w:after="0"/>
              <w:rPr>
                <w:sz w:val="20"/>
                <w:szCs w:val="20"/>
                <w:color w:val="auto"/>
              </w:rPr>
            </w:pPr>
            <w:r>
              <w:rPr>
                <w:rFonts w:ascii="Arial" w:cs="Arial" w:eastAsia="Arial" w:hAnsi="Arial"/>
                <w:sz w:val="18"/>
                <w:szCs w:val="18"/>
                <w:color w:val="auto"/>
              </w:rPr>
              <w:t>260</w:t>
            </w:r>
          </w:p>
        </w:tc>
        <w:tc>
          <w:tcPr>
            <w:tcW w:w="32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91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Changes in operating assets and liabilities</w:t>
            </w:r>
          </w:p>
        </w:tc>
        <w:tc>
          <w:tcPr>
            <w:tcW w:w="5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77"/>
              <w:spacing w:after="0"/>
              <w:rPr>
                <w:sz w:val="20"/>
                <w:szCs w:val="20"/>
                <w:color w:val="auto"/>
              </w:rPr>
            </w:pPr>
            <w:r>
              <w:rPr>
                <w:rFonts w:ascii="Arial" w:cs="Arial" w:eastAsia="Arial" w:hAnsi="Arial"/>
                <w:sz w:val="18"/>
                <w:szCs w:val="18"/>
                <w:color w:val="auto"/>
              </w:rPr>
              <w:t>(721)</w:t>
            </w:r>
          </w:p>
        </w:tc>
        <w:tc>
          <w:tcPr>
            <w:tcW w:w="3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9180" w:type="dxa"/>
            <w:vAlign w:val="bottom"/>
          </w:tcPr>
          <w:p>
            <w:pPr>
              <w:ind w:left="440"/>
              <w:spacing w:after="0"/>
              <w:rPr>
                <w:sz w:val="20"/>
                <w:szCs w:val="20"/>
                <w:color w:val="auto"/>
              </w:rPr>
            </w:pPr>
            <w:r>
              <w:rPr>
                <w:rFonts w:ascii="Arial" w:cs="Arial" w:eastAsia="Arial" w:hAnsi="Arial"/>
                <w:sz w:val="18"/>
                <w:szCs w:val="18"/>
                <w:color w:val="auto"/>
              </w:rPr>
              <w:t>Cash basis operating income</w:t>
            </w:r>
          </w:p>
        </w:tc>
        <w:tc>
          <w:tcPr>
            <w:tcW w:w="520" w:type="dxa"/>
            <w:vAlign w:val="bottom"/>
          </w:tcPr>
          <w:p>
            <w:pPr>
              <w:spacing w:after="0"/>
              <w:rPr>
                <w:sz w:val="18"/>
                <w:szCs w:val="18"/>
                <w:color w:val="auto"/>
              </w:rPr>
            </w:pPr>
          </w:p>
        </w:tc>
        <w:tc>
          <w:tcPr>
            <w:tcW w:w="800" w:type="dxa"/>
            <w:vAlign w:val="bottom"/>
          </w:tcPr>
          <w:p>
            <w:pPr>
              <w:jc w:val="right"/>
              <w:ind w:right="217"/>
              <w:spacing w:after="0"/>
              <w:rPr>
                <w:sz w:val="20"/>
                <w:szCs w:val="20"/>
                <w:color w:val="auto"/>
              </w:rPr>
            </w:pPr>
            <w:r>
              <w:rPr>
                <w:rFonts w:ascii="Arial" w:cs="Arial" w:eastAsia="Arial" w:hAnsi="Arial"/>
                <w:sz w:val="18"/>
                <w:szCs w:val="18"/>
                <w:color w:val="auto"/>
                <w:w w:val="87"/>
              </w:rPr>
              <w:t>12,980</w:t>
            </w:r>
          </w:p>
        </w:tc>
        <w:tc>
          <w:tcPr>
            <w:tcW w:w="32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w w:val="87"/>
              </w:rPr>
              <w:t>11,096</w:t>
            </w:r>
          </w:p>
        </w:tc>
        <w:tc>
          <w:tcPr>
            <w:tcW w:w="0" w:type="dxa"/>
            <w:vAlign w:val="bottom"/>
          </w:tcPr>
          <w:p>
            <w:pPr>
              <w:spacing w:after="0"/>
              <w:rPr>
                <w:sz w:val="1"/>
                <w:szCs w:val="1"/>
                <w:color w:val="auto"/>
              </w:rPr>
            </w:pPr>
          </w:p>
        </w:tc>
      </w:tr>
      <w:tr>
        <w:trPr>
          <w:trHeight w:val="216"/>
        </w:trPr>
        <w:tc>
          <w:tcPr>
            <w:tcW w:w="9180" w:type="dxa"/>
            <w:vAlign w:val="bottom"/>
            <w:shd w:val="clear" w:color="auto" w:fill="E5E5E5"/>
          </w:tcPr>
          <w:p>
            <w:pPr>
              <w:spacing w:after="0"/>
              <w:rPr>
                <w:sz w:val="20"/>
                <w:szCs w:val="20"/>
                <w:color w:val="auto"/>
              </w:rPr>
            </w:pPr>
            <w:r>
              <w:rPr>
                <w:rFonts w:ascii="Arial" w:cs="Arial" w:eastAsia="Arial" w:hAnsi="Arial"/>
                <w:sz w:val="18"/>
                <w:szCs w:val="18"/>
                <w:color w:val="auto"/>
              </w:rPr>
              <w:t>Payments of interest</w:t>
            </w:r>
          </w:p>
        </w:tc>
        <w:tc>
          <w:tcPr>
            <w:tcW w:w="5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77"/>
              <w:spacing w:after="0"/>
              <w:rPr>
                <w:sz w:val="20"/>
                <w:szCs w:val="20"/>
                <w:color w:val="auto"/>
              </w:rPr>
            </w:pPr>
            <w:r>
              <w:rPr>
                <w:rFonts w:ascii="Arial" w:cs="Arial" w:eastAsia="Arial" w:hAnsi="Arial"/>
                <w:sz w:val="18"/>
                <w:szCs w:val="18"/>
                <w:color w:val="auto"/>
                <w:w w:val="91"/>
              </w:rPr>
              <w:t>(1,809)</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4"/>
              </w:rPr>
              <w:t>(1,630)</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Payments of income taxes</w:t>
            </w:r>
          </w:p>
        </w:tc>
        <w:tc>
          <w:tcPr>
            <w:tcW w:w="520" w:type="dxa"/>
            <w:vAlign w:val="bottom"/>
          </w:tcPr>
          <w:p>
            <w:pPr>
              <w:spacing w:after="0"/>
              <w:rPr>
                <w:sz w:val="18"/>
                <w:szCs w:val="18"/>
                <w:color w:val="auto"/>
              </w:rPr>
            </w:pPr>
          </w:p>
        </w:tc>
        <w:tc>
          <w:tcPr>
            <w:tcW w:w="800" w:type="dxa"/>
            <w:vAlign w:val="bottom"/>
          </w:tcPr>
          <w:p>
            <w:pPr>
              <w:jc w:val="right"/>
              <w:ind w:right="177"/>
              <w:spacing w:after="0"/>
              <w:rPr>
                <w:sz w:val="20"/>
                <w:szCs w:val="20"/>
                <w:color w:val="auto"/>
              </w:rPr>
            </w:pPr>
            <w:r>
              <w:rPr>
                <w:rFonts w:ascii="Arial" w:cs="Arial" w:eastAsia="Arial" w:hAnsi="Arial"/>
                <w:sz w:val="18"/>
                <w:szCs w:val="18"/>
                <w:color w:val="auto"/>
                <w:w w:val="91"/>
              </w:rPr>
              <w:t>(1,166)</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(1,794)</w:t>
            </w:r>
          </w:p>
        </w:tc>
        <w:tc>
          <w:tcPr>
            <w:tcW w:w="0" w:type="dxa"/>
            <w:vAlign w:val="bottom"/>
          </w:tcPr>
          <w:p>
            <w:pPr>
              <w:spacing w:after="0"/>
              <w:rPr>
                <w:sz w:val="1"/>
                <w:szCs w:val="1"/>
                <w:color w:val="auto"/>
              </w:rPr>
            </w:pPr>
          </w:p>
        </w:tc>
      </w:tr>
      <w:tr>
        <w:trPr>
          <w:trHeight w:val="216"/>
        </w:trPr>
        <w:tc>
          <w:tcPr>
            <w:tcW w:w="9180" w:type="dxa"/>
            <w:vAlign w:val="bottom"/>
            <w:shd w:val="clear" w:color="auto" w:fill="E5E5E5"/>
          </w:tcPr>
          <w:p>
            <w:pPr>
              <w:spacing w:after="0"/>
              <w:rPr>
                <w:sz w:val="20"/>
                <w:szCs w:val="20"/>
                <w:color w:val="auto"/>
              </w:rPr>
            </w:pPr>
            <w:r>
              <w:rPr>
                <w:rFonts w:ascii="Arial" w:cs="Arial" w:eastAsia="Arial" w:hAnsi="Arial"/>
                <w:sz w:val="18"/>
                <w:szCs w:val="18"/>
                <w:color w:val="auto"/>
              </w:rPr>
              <w:t>Proceeds from interest, dividends and other nonoperating items</w:t>
            </w:r>
          </w:p>
        </w:tc>
        <w:tc>
          <w:tcPr>
            <w:tcW w:w="5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243</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9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Excess tax benefit under share-based compensation presented in financing activities</w:t>
            </w:r>
          </w:p>
        </w:tc>
        <w:tc>
          <w:tcPr>
            <w:tcW w:w="5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rPr>
              <w:t>(42)</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7"/>
        </w:trPr>
        <w:tc>
          <w:tcPr>
            <w:tcW w:w="91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217"/>
              <w:spacing w:after="0"/>
              <w:rPr>
                <w:sz w:val="20"/>
                <w:szCs w:val="20"/>
                <w:color w:val="auto"/>
              </w:rPr>
            </w:pPr>
            <w:r>
              <w:rPr>
                <w:rFonts w:ascii="Arial" w:cs="Arial" w:eastAsia="Arial" w:hAnsi="Arial"/>
                <w:sz w:val="18"/>
                <w:szCs w:val="18"/>
                <w:b w:val="1"/>
                <w:bCs w:val="1"/>
                <w:color w:val="auto"/>
                <w:w w:val="87"/>
              </w:rPr>
              <w:t>10,206</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7,732</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changes in operating assets and liabilities during the nine months ended September 30, 2011 compared to the same period in 2010 were primarily due to increases in film and television costs and the timing of payments of operating items and payroll.</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increase in interest payments during the nine months ended September 30, 2011 compared to the same period in 2010 was primarily due to an increase in our outstanding debt as a result of the NBCUniversal transaction.</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decrease in income tax payments during the nine months ended September 30, 2011 compared to the same period in 2010 was primarily due to the net benefit in 2011 of the 2010 economic stimulus legislation.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investing activities for the nine months ended September 30, 2011 consisted primarily of cash paid, net of cash acquired, for the NBCUniversal acquisition of $5.7 billion; cash paid, net of cash acquired, for the UCDP acquisition of $743 million; capital expenditures of $3.8 billion; and cash paid for intangible assets of $505 million.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financing activities for the nine months ended September 30, 2011 consisted primarily of our repayments of debt of $2.8 billion, repurchases of our Class A Special common stock of $1.7 billion and dividend payments of $881 million, offset by proceeds from short-term borrowings, net of repayments of $1.6 billion.</w:t>
      </w:r>
    </w:p>
    <w:p>
      <w:pPr>
        <w:spacing w:after="0" w:line="4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have made, and may from time to time in the future make, optional repayments on our debt obligations, which may include repurchases of our outstanding public notes and debentures, depending on various factors, such as market conditions.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Borrowings Under Credit Facilities</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traditionally maintain significant availability under our lines of credit and our commercial paper programs to meet our short-term liquidity requirements. As of September 30, 2011, amounts available under our credit facilities totaled approximately $5.7 billion. In August 2011, we borrowed $300 million from our $6.8 billion revolving credit facility due 2013, which remained outstanding as of September 30, 2011. The proceeds from this borrowing will be used for general corporate working capital purposes.</w:t>
      </w:r>
    </w:p>
    <w:p>
      <w:pPr>
        <w:spacing w:after="0" w:line="4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June 2011, NBCUniversal amended its revolving credit facility, which increased the size of the facility to $1.5 billion from $750 million, reduced the interest rate payable under the facility and extended the maturity of the loan commitment to June 2016 from January 2014. On July 1, 2011, $750 million of borrowings under the revolving credit facility were used to finance a portion of NBCUniversal’s acquisition of the remaining 50% equity interest in UCDP that it did not already own and to terminate UCDP’s existing term loan immediately following the acquisition. As of September 30, 2011, the amount outstanding under NBCUniversal’s revolving credit facility was $200 million, which was repaid in full in October 2011.</w:t>
      </w:r>
    </w:p>
    <w:p>
      <w:pPr>
        <w:spacing w:after="0" w:line="2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nine months ended September 30, 2011, we issued $400 million face amount of commercial paper, net of repayments. The proceeds from these issuances will be used for general corporate working capital purposes.</w:t>
      </w:r>
    </w:p>
    <w:p>
      <w:pPr>
        <w:spacing w:after="0" w:line="3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August 2011, NBCUniversal initiated a commercial paper program to fund its short-term working capital requirements. The program is supported by NBCUniversal’s revolving credit facility and has a maximum borrowing capacity of $1.5 billion. During the three months ended September 30, 2011, NBCUniversal issued $749 million face amount of commercial paper, net of repayments. The proceeds from these issuances were used to repay borrowings under the NBCUniversal revolving credit facility and fund our short-term working capital requirements.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 and Dividends</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nine months ended September 30, 2011, we repurchased approximately 73 million shares of our Class A Special common stock under our share repurchase authorization for approximately $1.7 billion. As of September 30, 2011, we had approximately $491 million of availability remaining under our current share repurchase authorization. We intend to complete repurchases under the current share repurchase authorization by the end of 2011, subject to market conditions.</w:t>
      </w:r>
    </w:p>
    <w:p>
      <w:pPr>
        <w:spacing w:after="0" w:line="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January 2011, our Board of Directors approved an increase of 19% to our planned annual dividend to $0.45 per share. In January, May, July and October 2011, our Board of Directors approved a quarterly dividend of $0.1125 per share as part of our planned annual dividend of $0.45 per share. The dividends declared in October are expected to be paid in January 2012. We expect to continue to pay quarterly dividends, although each dividend is subject to approval by our Board of Directors.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Dividends Declared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center"/>
              <w:ind w:left="120"/>
              <w:spacing w:after="0"/>
              <w:rPr>
                <w:sz w:val="20"/>
                <w:szCs w:val="20"/>
                <w:color w:val="auto"/>
              </w:rPr>
            </w:pPr>
            <w:r>
              <w:rPr>
                <w:rFonts w:ascii="Arial" w:cs="Arial" w:eastAsia="Arial" w:hAnsi="Arial"/>
                <w:sz w:val="14"/>
                <w:szCs w:val="14"/>
                <w:color w:val="auto"/>
                <w:w w:val="91"/>
              </w:rPr>
              <w:t>Month of</w:t>
            </w:r>
          </w:p>
        </w:tc>
      </w:tr>
      <w:tr>
        <w:trPr>
          <w:trHeight w:val="159"/>
        </w:trPr>
        <w:tc>
          <w:tcPr>
            <w:tcW w:w="64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4200" w:type="dxa"/>
            <w:vAlign w:val="bottom"/>
            <w:tcBorders>
              <w:bottom w:val="single" w:sz="8" w:color="auto"/>
            </w:tcBorders>
            <w:gridSpan w:val="2"/>
          </w:tcPr>
          <w:p>
            <w:pPr>
              <w:ind w:left="3520"/>
              <w:spacing w:after="0" w:line="159" w:lineRule="exact"/>
              <w:rPr>
                <w:sz w:val="20"/>
                <w:szCs w:val="20"/>
                <w:color w:val="auto"/>
              </w:rPr>
            </w:pPr>
            <w:r>
              <w:rPr>
                <w:rFonts w:ascii="Arial" w:cs="Arial" w:eastAsia="Arial" w:hAnsi="Arial"/>
                <w:sz w:val="14"/>
                <w:szCs w:val="14"/>
                <w:color w:val="auto"/>
              </w:rPr>
              <w:t>Amount</w:t>
            </w:r>
          </w:p>
        </w:tc>
        <w:tc>
          <w:tcPr>
            <w:tcW w:w="820" w:type="dxa"/>
            <w:vAlign w:val="bottom"/>
            <w:tcBorders>
              <w:bottom w:val="single" w:sz="8" w:color="auto"/>
            </w:tcBorders>
          </w:tcPr>
          <w:p>
            <w:pPr>
              <w:jc w:val="center"/>
              <w:ind w:left="140"/>
              <w:spacing w:after="0" w:line="159" w:lineRule="exact"/>
              <w:rPr>
                <w:sz w:val="20"/>
                <w:szCs w:val="20"/>
                <w:color w:val="auto"/>
              </w:rPr>
            </w:pPr>
            <w:r>
              <w:rPr>
                <w:rFonts w:ascii="Arial" w:cs="Arial" w:eastAsia="Arial" w:hAnsi="Arial"/>
                <w:sz w:val="14"/>
                <w:szCs w:val="14"/>
                <w:color w:val="auto"/>
                <w:w w:val="86"/>
              </w:rPr>
              <w:t>Payment</w:t>
            </w:r>
          </w:p>
        </w:tc>
      </w:tr>
      <w:tr>
        <w:trPr>
          <w:trHeight w:val="210"/>
        </w:trPr>
        <w:tc>
          <w:tcPr>
            <w:tcW w:w="6400" w:type="dxa"/>
            <w:vAlign w:val="bottom"/>
            <w:shd w:val="clear" w:color="auto" w:fill="E5E5E5"/>
          </w:tcPr>
          <w:p>
            <w:pPr>
              <w:spacing w:after="0"/>
              <w:rPr>
                <w:sz w:val="20"/>
                <w:szCs w:val="20"/>
                <w:color w:val="auto"/>
              </w:rPr>
            </w:pPr>
            <w:r>
              <w:rPr>
                <w:rFonts w:ascii="Arial" w:cs="Arial" w:eastAsia="Arial" w:hAnsi="Arial"/>
                <w:sz w:val="18"/>
                <w:szCs w:val="18"/>
                <w:color w:val="auto"/>
              </w:rPr>
              <w:t>Three months ended March 31, 2011</w:t>
            </w:r>
          </w:p>
        </w:tc>
        <w:tc>
          <w:tcPr>
            <w:tcW w:w="3660" w:type="dxa"/>
            <w:vAlign w:val="bottom"/>
            <w:shd w:val="clear" w:color="auto" w:fill="E5E5E5"/>
          </w:tcPr>
          <w:p>
            <w:pPr>
              <w:ind w:left="3520"/>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99"/>
              </w:rPr>
              <w:t>312</w:t>
            </w:r>
          </w:p>
        </w:tc>
        <w:tc>
          <w:tcPr>
            <w:tcW w:w="820" w:type="dxa"/>
            <w:vAlign w:val="bottom"/>
            <w:shd w:val="clear" w:color="auto" w:fill="E5E5E5"/>
          </w:tcPr>
          <w:p>
            <w:pPr>
              <w:jc w:val="center"/>
              <w:ind w:left="140"/>
              <w:spacing w:after="0"/>
              <w:rPr>
                <w:sz w:val="20"/>
                <w:szCs w:val="20"/>
                <w:color w:val="auto"/>
              </w:rPr>
            </w:pPr>
            <w:r>
              <w:rPr>
                <w:rFonts w:ascii="Arial" w:cs="Arial" w:eastAsia="Arial" w:hAnsi="Arial"/>
                <w:sz w:val="18"/>
                <w:szCs w:val="18"/>
                <w:color w:val="auto"/>
                <w:w w:val="99"/>
              </w:rPr>
              <w:t>April</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Three months ended June 30, 2011</w:t>
            </w:r>
          </w:p>
        </w:tc>
        <w:tc>
          <w:tcPr>
            <w:tcW w:w="3660" w:type="dxa"/>
            <w:vAlign w:val="bottom"/>
          </w:tcPr>
          <w:p>
            <w:pPr>
              <w:ind w:left="352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32"/>
              <w:spacing w:after="0"/>
              <w:rPr>
                <w:sz w:val="20"/>
                <w:szCs w:val="20"/>
                <w:color w:val="auto"/>
              </w:rPr>
            </w:pPr>
            <w:r>
              <w:rPr>
                <w:rFonts w:ascii="Arial" w:cs="Arial" w:eastAsia="Arial" w:hAnsi="Arial"/>
                <w:sz w:val="18"/>
                <w:szCs w:val="18"/>
                <w:color w:val="auto"/>
                <w:w w:val="99"/>
              </w:rPr>
              <w:t>309</w:t>
            </w:r>
          </w:p>
        </w:tc>
        <w:tc>
          <w:tcPr>
            <w:tcW w:w="820" w:type="dxa"/>
            <w:vAlign w:val="bottom"/>
          </w:tcPr>
          <w:p>
            <w:pPr>
              <w:jc w:val="center"/>
              <w:ind w:left="120"/>
              <w:spacing w:after="0"/>
              <w:rPr>
                <w:sz w:val="20"/>
                <w:szCs w:val="20"/>
                <w:color w:val="auto"/>
              </w:rPr>
            </w:pPr>
            <w:r>
              <w:rPr>
                <w:rFonts w:ascii="Arial" w:cs="Arial" w:eastAsia="Arial" w:hAnsi="Arial"/>
                <w:sz w:val="18"/>
                <w:szCs w:val="18"/>
                <w:color w:val="auto"/>
                <w:w w:val="93"/>
              </w:rPr>
              <w:t>July</w:t>
            </w:r>
          </w:p>
        </w:tc>
      </w:tr>
      <w:tr>
        <w:trPr>
          <w:trHeight w:val="216"/>
        </w:trPr>
        <w:tc>
          <w:tcPr>
            <w:tcW w:w="64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Three months ended September 30, 2011</w:t>
            </w:r>
          </w:p>
        </w:tc>
        <w:tc>
          <w:tcPr>
            <w:tcW w:w="3660" w:type="dxa"/>
            <w:vAlign w:val="bottom"/>
            <w:tcBorders>
              <w:bottom w:val="single" w:sz="8" w:color="auto"/>
            </w:tcBorders>
            <w:shd w:val="clear" w:color="auto" w:fill="E5E5E5"/>
          </w:tcPr>
          <w:p>
            <w:pPr>
              <w:ind w:left="35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w w:val="99"/>
              </w:rPr>
              <w:t>307</w:t>
            </w:r>
          </w:p>
        </w:tc>
        <w:tc>
          <w:tcPr>
            <w:tcW w:w="820" w:type="dxa"/>
            <w:vAlign w:val="bottom"/>
            <w:tcBorders>
              <w:bottom w:val="single" w:sz="8" w:color="auto"/>
            </w:tcBorders>
            <w:shd w:val="clear" w:color="auto" w:fill="E5E5E5"/>
          </w:tcPr>
          <w:p>
            <w:pPr>
              <w:jc w:val="center"/>
              <w:ind w:left="140"/>
              <w:spacing w:after="0"/>
              <w:rPr>
                <w:sz w:val="20"/>
                <w:szCs w:val="20"/>
                <w:color w:val="auto"/>
              </w:rPr>
            </w:pPr>
            <w:r>
              <w:rPr>
                <w:rFonts w:ascii="Arial" w:cs="Arial" w:eastAsia="Arial" w:hAnsi="Arial"/>
                <w:sz w:val="18"/>
                <w:szCs w:val="18"/>
                <w:color w:val="auto"/>
                <w:w w:val="87"/>
              </w:rPr>
              <w:t>October</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2011, the International Olympic Committee accepted our bid of $4.38 billion in the aggregate for the U.S. broadcast rights to the 2014 Sochi Olympic Games, the 2016 Rio de Janeiro Olympic Games, the 2018 Pyeongchang Olympic Games and the 2020 Summer Olympic Games. The majority of the Olympics-related cash payments will be made around the time the associated revenue is collected.</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Judgments and Estimates</w:t>
      </w:r>
    </w:p>
    <w:p>
      <w:pPr>
        <w:spacing w:after="0" w:line="8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preparation of our condensed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values of assets and liabilities that are not readily apparent from other sources. Actual results may differ from these estimates under different assumptions or conditions.</w:t>
      </w:r>
    </w:p>
    <w:p>
      <w:pPr>
        <w:spacing w:after="0" w:line="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our judgments and related estimates associated with the valuation and impairment testing of our cable franchise rights and the accounting for income taxes are critical in the preparation of our condensed consolidated financial statements. We performed our annual impairment testing as of July 1, 2011 and no impairment charge was recorded.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a full discussion of these accounting judgments, please refer to our 2010 Annual Report on Form 10-K.</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NBCUniversal transaction, two additional areas have been identified as critical in the preparation of our condensed consolidated financial statements. The two additional critical accounting judgments and estimates are associated with the accounting for film and television costs and the valuation of acquisition-related assets and liabilities. See below for a discussion of these items.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and Television Costs</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As a result of the NBCUniversal transaction, we capitalize film and television production costs, including direct costs, production overhead, print costs, development costs and interest. We amortize capitalized film and television production costs, as well as associated participation and residual payments, on an individual production basis using the ratio of the current period’s actual revenue to estimated total remaining gross revenue from all sources (“ultimate revenue”). Estimates of ultimate revenue have a significant impact on how quickly capitalized costs are amortized and, therefore, are updated regularly.</w:t>
      </w:r>
    </w:p>
    <w:p>
      <w:pPr>
        <w:spacing w:after="0" w:line="1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estimates of ultimate revenue for films generally include revenue from all sources that are expected to be earned within 10 years from the date of a film’s initial release. These estimates are based on the historical performance of similar content, as well as factors unique to the content itself. The most sensitive factor affecting our estimate of ultimate revenue for a film intended for theatrical release is the film’s theatrical performance, as subsequent license revenue has historically exhibited a high correlation with theatrical performance. Upon a film’s release, our estimates of revenue from succeeding markets, including home entertainment and other media platforms, are revised based on historical relationships and an analysis of current market trends.</w:t>
      </w:r>
    </w:p>
    <w:p>
      <w:pPr>
        <w:spacing w:after="0" w:line="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respect to television series or other owned television programming, the most sensitive factor affecting our estimate of ultimate revenue is whether the series can be successfully licensed beyond its initial license. Initial estimates of ultimate revenue are limited to the amount of revenue contracted for each episode under the initial license. Once it is determined that a series can be licensed in subsequent platforms, revenue estimates for these platforms, such as U.S. and international syndication, home entertainment, and other media platforms, are included in ultimate revenue. In the case of television series and owned television programming, revenue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estimates for produced episodes include revenue expected to be earned within 10 years of delivery of the initial episode or, if still in production, 5 years from the delivery of the most recent episode, if later.</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Capitalized film and television costs are subject to impairment testing when certain triggering events are identified. If the estimated fair value of a film or owned television programming falls below its unamortized cost, we would recognize an impairment charge. The fair value assessment is generally based on estimated future discounted cash flows, which are supported by our internal forecasts.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Acquisition-Related Assets and Liabilities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allocate the purchase price of acquired companies to the tangible and intangible assets and liabilities based on their estimated fair values. In determining fair value, management is required to make estimates and assumptions that affect the recorded amounts. Management’s estimates of fair value are based on assumptions believed to be reasonable but that are inherently uncertain. To assist in the estimation process, third-party valuation specialists are engaged to assist in the valuation of certain of these assets and liabilities.</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judgments used to determine the estimated fair value assigned to each class of acquired assets and liabilities, as well as asset lives, can materially impact our results of operations. For instance, the determination of asset lives can impact our results of operations as different types of assets will have different useful lives and certain assets may even be considered to have indefinite useful lives.</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Below is a summary of the methodologies and significant assumptions used in estimating the fair value of certain of NBCUniversal’s assets and liabilities, GE’s redeemable noncontrolling interest and UCDP’s assets and liabilities.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Film and Television Costs</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Film and television costs consist of our preliminary estimates of fair value for released films and television series; completed, not released theatrical films; and television series and theatrical films in-production and in-development. Released theatrical films and television series and completed, not released theatrical films were valued using a multiperiod cash flow model, a form of the income approach. This measure of fair value requires considerable judgments about the timing of cash flows and distribution patterns. Television series, theatrical films in-production and in-development and acquired programming rights were valued using a replacement cost method.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preliminary estimates of fair value for significant investments in nonpublic investees were determined using an income approach. This method starts with a forecast of all of the expected future net cash flows associated with the investment and then involves adjusting the forecast to present value by applying an appropriate discount rate that reflects the risk factors associated with the cash flow streams of the underlying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preliminary estimated fair value of acquired property and equipment was primarily determined using a market approach for land, and a replacement cost approach for depreciable property and equipment. The market approach for land assets represents a sales comparison that measures the value of an asset through an analysis of sales of comparable properties. The replacement cost approach used for depreciable property and equipment measures the value of an asset by estimating the cost to acquire or construct comparable assets and adjusts for age and condition of the asset.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72" w:lineRule="exact"/>
        <w:rPr>
          <w:sz w:val="20"/>
          <w:szCs w:val="20"/>
          <w:color w:val="auto"/>
        </w:rPr>
      </w:pPr>
    </w:p>
    <w:p>
      <w:pPr>
        <w:jc w:val="both"/>
        <w:ind w:right="20"/>
        <w:spacing w:after="0" w:line="325" w:lineRule="auto"/>
        <w:rPr>
          <w:sz w:val="20"/>
          <w:szCs w:val="20"/>
          <w:color w:val="auto"/>
        </w:rPr>
      </w:pPr>
      <w:r>
        <w:rPr>
          <w:rFonts w:ascii="Arial" w:cs="Arial" w:eastAsia="Arial" w:hAnsi="Arial"/>
          <w:sz w:val="16"/>
          <w:szCs w:val="16"/>
          <w:color w:val="auto"/>
        </w:rPr>
        <w:t>Intangible assets primarily consist of our preliminary estimates of fair value for relationships with advertisers and multichannel video providers, each with an estimated useful life not to exceed 20 years, and indefinite-lived trade names and Federal Communications Commission (“FCC”) licenses.</w:t>
      </w:r>
    </w:p>
    <w:p>
      <w:pPr>
        <w:spacing w:after="0" w:line="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Relationships with advertisers and multichannel video providers were valued using a multiperiod cash flow model, a form of the income approach. This measure of fair value requires considerable judgments about future events, including contract renewal estimates, attrition and technology changes.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determining the estimated lives and method of amortization for finite-lived intangibles, we use the method and life that most closely follows the undiscounted cash flows over the estimated life of the asset.</w:t>
      </w:r>
    </w:p>
    <w:p>
      <w:pPr>
        <w:spacing w:after="0" w:line="37"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Trade names were valued using the relief-from-royalty method, a form of the income approach. This measure of fair value requires considerable judgment about the value a market participant would be willing to pay in order to achieve the benefits associated with the trade name.</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FCC licenses were valued using the Greenfield method, a form of the income approach. This measure of fair value captures the future income potential assuming the license is used by a hypothetical start-up operation.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and Other Obligations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Contractual obligations were adjusted to market rates using a combination of discounted cash flows or market assumptions, when available.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Noncontrolling Interest</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fair value component of the redeemable noncontrolling interest in NBCUniversal Holdings is based on an income approach, including assumptions related to expected future net cash flows, the timing and nature of tax attributes, and the redemption features.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Preliminary Fair Values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estimates associated with the accounting for the NBCUniversal transaction have changed and may continue to change as final valuation reports are obtained and additional information becomes available regarding acquired assets and liabilities. The recorded amounts are preliminary and subject to change. The following items are the significant areas subject to change:</w:t>
      </w:r>
    </w:p>
    <w:p>
      <w:pPr>
        <w:spacing w:after="0" w:line="46" w:lineRule="exact"/>
        <w:rPr>
          <w:sz w:val="20"/>
          <w:szCs w:val="20"/>
          <w:color w:val="auto"/>
        </w:rPr>
      </w:pPr>
    </w:p>
    <w:p>
      <w:pPr>
        <w:ind w:left="1020" w:hanging="215"/>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film and television costs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investments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property and equipment</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indefinite-lived and finite-lived intangibles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contractual commitments and contingencies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deferred income taxes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contingent consideration</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redeemable noncontrolling interest</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final amount of goodwill and the allocation of goodwill to reporting units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8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have evaluated the information required under this item that was disclosed in our 2010 Annual Report on Form 10-K and except as discussed below, there have been no significant changes to this information.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Management</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As a result of the NBCUniversal transaction, our condensed consolidated balance sheet now includes $9.1 billion principal amount of senior debt securities with fixed interest rates ranging from 2.1% to 6.4% and maturities ranging from 2014 to 2041. In accordance with our policies, we have entered into fixed to variable swaps on $750 million principal amount of these senior debt securities, with maturities ranging from 2014 to 2016.</w:t>
      </w:r>
    </w:p>
    <w:p>
      <w:pPr>
        <w:spacing w:after="0" w:line="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Refer to Note 8 to our condensed consolidated financial statements for a discussion on the NBCUniversal senior debt securities and to Note 9 to our condensed consolidated financial statements for a discussion on our derivative financial instruments.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 Management</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NBCUniversal has significant operations in a number of countries outside the U.S. and certain of NBCUniversal’s operations are conducted in foreign currencies.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value of these currencies fluctuates relative to the U.S. dollar.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we are exposed to exchange rate fluctuations, which could adversely affect the U.S. dollar value of our non-U.S. revenue and operating costs and expenses, and reduce international demand for our content, all of which could negatively affect our business, financial condition and results of operations in a given period or in specific territories.</w:t>
      </w:r>
    </w:p>
    <w:p>
      <w:pPr>
        <w:spacing w:after="0" w:line="4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As part of our overall strategy to manage the level of exposure to the risk of foreign exchange rate fluctuations, we enter into derivative financial instruments related to a significant portion of our foreign currency exposures anticipated over the calendar year. The primary type of derivative financial instrument that we enter into is a foreign currency forward contract that changes in value as foreign exchange rates change to protect the U.S. dollar equivalent value of our existing foreign currency assets, liabilities, commitments, and forecasted foreign currency revenues and expenses. In accordance with our policy, we hedge forecasted foreign currency transactions for periods generally not to exceed one year. In certain circumstances, we may hedge a transaction not to exceed 18 months.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2011, we had foreign exchange contracts on a total notional value of $830 million.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principal executive and principal financial officers, after evaluating the effectiveness of our disclosure controls and procedures (as defined in Rules 13a-15(e) and 15d-15(e) under the Securities Exchange Act of 1934, as amended (the “Exchange Act”)), as of the end of the period covered by this report, have concluded that, based on the evaluation of these controls and procedures required by paragraph (b) of Exchange Act Rules 13a-15 or 15d-15, our disclosure controls and procedures were effective.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As a result of our acquisition of NBCUniversal on January 28, 2011, our internal control over financial reporting subsequent to the date of acquisition includes certain additional internal controls relating to NBCUniversal. Except as described above, there were no other changes in our internal control over financial reporting identified in connection with the evaluation required by paragraph (d) of Exchange Act Rules 13a-15 or 15d-15 that occurred during our last fiscal quarter that have materially affected, or are reasonably likely to materially affect, our internal control over financial reporting.</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8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Refer to Note 16 to our condensed consolidated financial statements of this Quarterly Report on Form 10-Q for a discussion of recent developments related to our legal proceedings.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from the risk factors previously disclosed in Item 1A of our 2010 Annual Report on Form 10-K.</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our repurchases under our Board-authorized share repurchase program during the three months ended September 30, 2011.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of Equity Securities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89"/>
              </w:rPr>
              <w:t>Total</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49"/>
        </w:trPr>
        <w:tc>
          <w:tcPr>
            <w:tcW w:w="33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1"/>
              </w:rPr>
              <w:t>Number of</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9"/>
        </w:trPr>
        <w:tc>
          <w:tcPr>
            <w:tcW w:w="33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1"/>
              </w:rPr>
              <w:t>Shares</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9"/>
        </w:trPr>
        <w:tc>
          <w:tcPr>
            <w:tcW w:w="33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4"/>
              </w:rPr>
              <w:t>Purchased as</w:t>
            </w:r>
          </w:p>
        </w:tc>
        <w:tc>
          <w:tcPr>
            <w:tcW w:w="340" w:type="dxa"/>
            <w:vAlign w:val="bottom"/>
          </w:tcPr>
          <w:p>
            <w:pPr>
              <w:spacing w:after="0"/>
              <w:rPr>
                <w:sz w:val="12"/>
                <w:szCs w:val="12"/>
                <w:color w:val="auto"/>
              </w:rPr>
            </w:pPr>
          </w:p>
        </w:tc>
        <w:tc>
          <w:tcPr>
            <w:tcW w:w="1120" w:type="dxa"/>
            <w:vAlign w:val="bottom"/>
          </w:tcPr>
          <w:p>
            <w:pPr>
              <w:jc w:val="center"/>
              <w:ind w:right="243"/>
              <w:spacing w:after="0" w:line="149" w:lineRule="exact"/>
              <w:rPr>
                <w:sz w:val="20"/>
                <w:szCs w:val="20"/>
                <w:color w:val="auto"/>
              </w:rPr>
            </w:pPr>
            <w:r>
              <w:rPr>
                <w:rFonts w:ascii="Arial" w:cs="Arial" w:eastAsia="Arial" w:hAnsi="Arial"/>
                <w:sz w:val="14"/>
                <w:szCs w:val="14"/>
                <w:color w:val="auto"/>
                <w:w w:val="89"/>
              </w:rPr>
              <w:t>Total Dollar</w:t>
            </w:r>
          </w:p>
        </w:tc>
        <w:tc>
          <w:tcPr>
            <w:tcW w:w="340" w:type="dxa"/>
            <w:vAlign w:val="bottom"/>
          </w:tcPr>
          <w:p>
            <w:pPr>
              <w:spacing w:after="0"/>
              <w:rPr>
                <w:sz w:val="12"/>
                <w:szCs w:val="12"/>
                <w:color w:val="auto"/>
              </w:rPr>
            </w:pPr>
          </w:p>
        </w:tc>
        <w:tc>
          <w:tcPr>
            <w:tcW w:w="1220" w:type="dxa"/>
            <w:vAlign w:val="bottom"/>
          </w:tcPr>
          <w:p>
            <w:pPr>
              <w:jc w:val="center"/>
              <w:ind w:right="162"/>
              <w:spacing w:after="0" w:line="149" w:lineRule="exact"/>
              <w:rPr>
                <w:sz w:val="20"/>
                <w:szCs w:val="20"/>
                <w:color w:val="auto"/>
              </w:rPr>
            </w:pPr>
            <w:r>
              <w:rPr>
                <w:rFonts w:ascii="Arial" w:cs="Arial" w:eastAsia="Arial" w:hAnsi="Arial"/>
                <w:sz w:val="14"/>
                <w:szCs w:val="14"/>
                <w:color w:val="auto"/>
                <w:w w:val="92"/>
              </w:rPr>
              <w:t>Maximum Dollar</w:t>
            </w:r>
          </w:p>
        </w:tc>
      </w:tr>
      <w:tr>
        <w:trPr>
          <w:trHeight w:val="149"/>
        </w:trPr>
        <w:tc>
          <w:tcPr>
            <w:tcW w:w="3340" w:type="dxa"/>
            <w:vAlign w:val="bottom"/>
          </w:tcPr>
          <w:p>
            <w:pPr>
              <w:spacing w:after="0"/>
              <w:rPr>
                <w:sz w:val="12"/>
                <w:szCs w:val="12"/>
                <w:color w:val="auto"/>
              </w:rPr>
            </w:pPr>
          </w:p>
        </w:tc>
        <w:tc>
          <w:tcPr>
            <w:tcW w:w="2780" w:type="dxa"/>
            <w:vAlign w:val="bottom"/>
          </w:tcPr>
          <w:p>
            <w:pPr>
              <w:jc w:val="center"/>
              <w:ind w:left="1382"/>
              <w:spacing w:after="0" w:line="149" w:lineRule="exact"/>
              <w:rPr>
                <w:sz w:val="20"/>
                <w:szCs w:val="20"/>
                <w:color w:val="auto"/>
              </w:rPr>
            </w:pPr>
            <w:r>
              <w:rPr>
                <w:rFonts w:ascii="Arial" w:cs="Arial" w:eastAsia="Arial" w:hAnsi="Arial"/>
                <w:sz w:val="14"/>
                <w:szCs w:val="14"/>
                <w:color w:val="auto"/>
                <w:w w:val="89"/>
              </w:rPr>
              <w:t>Total</w:t>
            </w: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4"/>
              </w:rPr>
              <w:t>Average</w:t>
            </w: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7"/>
              </w:rPr>
              <w:t>Part of</w:t>
            </w:r>
          </w:p>
        </w:tc>
        <w:tc>
          <w:tcPr>
            <w:tcW w:w="340" w:type="dxa"/>
            <w:vAlign w:val="bottom"/>
          </w:tcPr>
          <w:p>
            <w:pPr>
              <w:spacing w:after="0"/>
              <w:rPr>
                <w:sz w:val="12"/>
                <w:szCs w:val="12"/>
                <w:color w:val="auto"/>
              </w:rPr>
            </w:pPr>
          </w:p>
        </w:tc>
        <w:tc>
          <w:tcPr>
            <w:tcW w:w="1120" w:type="dxa"/>
            <w:vAlign w:val="bottom"/>
          </w:tcPr>
          <w:p>
            <w:pPr>
              <w:jc w:val="center"/>
              <w:ind w:right="243"/>
              <w:spacing w:after="0" w:line="149" w:lineRule="exact"/>
              <w:rPr>
                <w:sz w:val="20"/>
                <w:szCs w:val="20"/>
                <w:color w:val="auto"/>
              </w:rPr>
            </w:pPr>
            <w:r>
              <w:rPr>
                <w:rFonts w:ascii="Arial" w:cs="Arial" w:eastAsia="Arial" w:hAnsi="Arial"/>
                <w:sz w:val="14"/>
                <w:szCs w:val="14"/>
                <w:color w:val="auto"/>
                <w:w w:val="91"/>
              </w:rPr>
              <w:t>Amount</w:t>
            </w:r>
          </w:p>
        </w:tc>
        <w:tc>
          <w:tcPr>
            <w:tcW w:w="1560" w:type="dxa"/>
            <w:vAlign w:val="bottom"/>
            <w:gridSpan w:val="2"/>
          </w:tcPr>
          <w:p>
            <w:pPr>
              <w:jc w:val="center"/>
              <w:ind w:left="39"/>
              <w:spacing w:after="0" w:line="149" w:lineRule="exact"/>
              <w:rPr>
                <w:sz w:val="20"/>
                <w:szCs w:val="20"/>
                <w:color w:val="auto"/>
              </w:rPr>
            </w:pPr>
            <w:r>
              <w:rPr>
                <w:rFonts w:ascii="Arial" w:cs="Arial" w:eastAsia="Arial" w:hAnsi="Arial"/>
                <w:sz w:val="14"/>
                <w:szCs w:val="14"/>
                <w:color w:val="auto"/>
                <w:w w:val="85"/>
              </w:rPr>
              <w:t>Value of Shares That</w:t>
            </w:r>
          </w:p>
        </w:tc>
      </w:tr>
      <w:tr>
        <w:trPr>
          <w:trHeight w:val="149"/>
        </w:trPr>
        <w:tc>
          <w:tcPr>
            <w:tcW w:w="3340" w:type="dxa"/>
            <w:vAlign w:val="bottom"/>
          </w:tcPr>
          <w:p>
            <w:pPr>
              <w:spacing w:after="0"/>
              <w:rPr>
                <w:sz w:val="12"/>
                <w:szCs w:val="12"/>
                <w:color w:val="auto"/>
              </w:rPr>
            </w:pPr>
          </w:p>
        </w:tc>
        <w:tc>
          <w:tcPr>
            <w:tcW w:w="2780" w:type="dxa"/>
            <w:vAlign w:val="bottom"/>
          </w:tcPr>
          <w:p>
            <w:pPr>
              <w:jc w:val="center"/>
              <w:ind w:left="1382"/>
              <w:spacing w:after="0" w:line="149" w:lineRule="exact"/>
              <w:rPr>
                <w:sz w:val="20"/>
                <w:szCs w:val="20"/>
                <w:color w:val="auto"/>
              </w:rPr>
            </w:pPr>
            <w:r>
              <w:rPr>
                <w:rFonts w:ascii="Arial" w:cs="Arial" w:eastAsia="Arial" w:hAnsi="Arial"/>
                <w:sz w:val="14"/>
                <w:szCs w:val="14"/>
                <w:color w:val="auto"/>
                <w:w w:val="91"/>
              </w:rPr>
              <w:t>Number of</w:t>
            </w:r>
          </w:p>
        </w:tc>
        <w:tc>
          <w:tcPr>
            <w:tcW w:w="320" w:type="dxa"/>
            <w:vAlign w:val="bottom"/>
          </w:tcPr>
          <w:p>
            <w:pPr>
              <w:spacing w:after="0"/>
              <w:rPr>
                <w:sz w:val="12"/>
                <w:szCs w:val="12"/>
                <w:color w:val="auto"/>
              </w:rPr>
            </w:pPr>
          </w:p>
        </w:tc>
        <w:tc>
          <w:tcPr>
            <w:tcW w:w="680" w:type="dxa"/>
            <w:vAlign w:val="bottom"/>
          </w:tcPr>
          <w:p>
            <w:pPr>
              <w:jc w:val="center"/>
              <w:ind w:right="281"/>
              <w:spacing w:after="0" w:line="149" w:lineRule="exact"/>
              <w:rPr>
                <w:sz w:val="20"/>
                <w:szCs w:val="20"/>
                <w:color w:val="auto"/>
              </w:rPr>
            </w:pPr>
            <w:r>
              <w:rPr>
                <w:rFonts w:ascii="Arial" w:cs="Arial" w:eastAsia="Arial" w:hAnsi="Arial"/>
                <w:sz w:val="14"/>
                <w:szCs w:val="14"/>
                <w:color w:val="auto"/>
                <w:w w:val="87"/>
              </w:rPr>
              <w:t>Price</w:t>
            </w: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1"/>
              </w:rPr>
              <w:t>Publicly</w:t>
            </w:r>
          </w:p>
        </w:tc>
        <w:tc>
          <w:tcPr>
            <w:tcW w:w="340" w:type="dxa"/>
            <w:vAlign w:val="bottom"/>
          </w:tcPr>
          <w:p>
            <w:pPr>
              <w:spacing w:after="0"/>
              <w:rPr>
                <w:sz w:val="12"/>
                <w:szCs w:val="12"/>
                <w:color w:val="auto"/>
              </w:rPr>
            </w:pPr>
          </w:p>
        </w:tc>
        <w:tc>
          <w:tcPr>
            <w:tcW w:w="1120" w:type="dxa"/>
            <w:vAlign w:val="bottom"/>
          </w:tcPr>
          <w:p>
            <w:pPr>
              <w:jc w:val="center"/>
              <w:ind w:right="243"/>
              <w:spacing w:after="0" w:line="149" w:lineRule="exact"/>
              <w:rPr>
                <w:sz w:val="20"/>
                <w:szCs w:val="20"/>
                <w:color w:val="auto"/>
              </w:rPr>
            </w:pPr>
            <w:r>
              <w:rPr>
                <w:rFonts w:ascii="Arial" w:cs="Arial" w:eastAsia="Arial" w:hAnsi="Arial"/>
                <w:sz w:val="14"/>
                <w:szCs w:val="14"/>
                <w:color w:val="auto"/>
                <w:w w:val="83"/>
              </w:rPr>
              <w:t>Purchased</w:t>
            </w:r>
          </w:p>
        </w:tc>
        <w:tc>
          <w:tcPr>
            <w:tcW w:w="340" w:type="dxa"/>
            <w:vAlign w:val="bottom"/>
          </w:tcPr>
          <w:p>
            <w:pPr>
              <w:spacing w:after="0"/>
              <w:rPr>
                <w:sz w:val="12"/>
                <w:szCs w:val="12"/>
                <w:color w:val="auto"/>
              </w:rPr>
            </w:pPr>
          </w:p>
        </w:tc>
        <w:tc>
          <w:tcPr>
            <w:tcW w:w="1220" w:type="dxa"/>
            <w:vAlign w:val="bottom"/>
          </w:tcPr>
          <w:p>
            <w:pPr>
              <w:jc w:val="center"/>
              <w:ind w:right="142"/>
              <w:spacing w:after="0" w:line="149" w:lineRule="exact"/>
              <w:rPr>
                <w:sz w:val="20"/>
                <w:szCs w:val="20"/>
                <w:color w:val="auto"/>
              </w:rPr>
            </w:pPr>
            <w:r>
              <w:rPr>
                <w:rFonts w:ascii="Arial" w:cs="Arial" w:eastAsia="Arial" w:hAnsi="Arial"/>
                <w:sz w:val="14"/>
                <w:szCs w:val="14"/>
                <w:color w:val="auto"/>
                <w:w w:val="88"/>
              </w:rPr>
              <w:t>May Yet Be</w:t>
            </w:r>
          </w:p>
        </w:tc>
      </w:tr>
      <w:tr>
        <w:trPr>
          <w:trHeight w:val="132"/>
        </w:trPr>
        <w:tc>
          <w:tcPr>
            <w:tcW w:w="3340" w:type="dxa"/>
            <w:vAlign w:val="bottom"/>
          </w:tcPr>
          <w:p>
            <w:pPr>
              <w:spacing w:after="0"/>
              <w:rPr>
                <w:sz w:val="11"/>
                <w:szCs w:val="11"/>
                <w:color w:val="auto"/>
              </w:rPr>
            </w:pPr>
          </w:p>
        </w:tc>
        <w:tc>
          <w:tcPr>
            <w:tcW w:w="2780" w:type="dxa"/>
            <w:vAlign w:val="bottom"/>
          </w:tcPr>
          <w:p>
            <w:pPr>
              <w:jc w:val="center"/>
              <w:ind w:left="1382"/>
              <w:spacing w:after="0" w:line="133" w:lineRule="exact"/>
              <w:rPr>
                <w:sz w:val="20"/>
                <w:szCs w:val="20"/>
                <w:color w:val="auto"/>
              </w:rPr>
            </w:pPr>
            <w:r>
              <w:rPr>
                <w:rFonts w:ascii="Arial" w:cs="Arial" w:eastAsia="Arial" w:hAnsi="Arial"/>
                <w:sz w:val="14"/>
                <w:szCs w:val="14"/>
                <w:color w:val="auto"/>
                <w:w w:val="81"/>
              </w:rPr>
              <w:t>Shares</w:t>
            </w:r>
          </w:p>
        </w:tc>
        <w:tc>
          <w:tcPr>
            <w:tcW w:w="320" w:type="dxa"/>
            <w:vAlign w:val="bottom"/>
          </w:tcPr>
          <w:p>
            <w:pPr>
              <w:spacing w:after="0"/>
              <w:rPr>
                <w:sz w:val="11"/>
                <w:szCs w:val="11"/>
                <w:color w:val="auto"/>
              </w:rPr>
            </w:pPr>
          </w:p>
        </w:tc>
        <w:tc>
          <w:tcPr>
            <w:tcW w:w="680" w:type="dxa"/>
            <w:vAlign w:val="bottom"/>
          </w:tcPr>
          <w:p>
            <w:pPr>
              <w:jc w:val="center"/>
              <w:ind w:right="301"/>
              <w:spacing w:after="0" w:line="133" w:lineRule="exact"/>
              <w:rPr>
                <w:sz w:val="20"/>
                <w:szCs w:val="20"/>
                <w:color w:val="auto"/>
              </w:rPr>
            </w:pPr>
            <w:r>
              <w:rPr>
                <w:rFonts w:ascii="Arial" w:cs="Arial" w:eastAsia="Arial" w:hAnsi="Arial"/>
                <w:sz w:val="14"/>
                <w:szCs w:val="14"/>
                <w:color w:val="auto"/>
                <w:w w:val="82"/>
              </w:rPr>
              <w:t>Per</w:t>
            </w:r>
          </w:p>
        </w:tc>
        <w:tc>
          <w:tcPr>
            <w:tcW w:w="1280" w:type="dxa"/>
            <w:vAlign w:val="bottom"/>
          </w:tcPr>
          <w:p>
            <w:pPr>
              <w:jc w:val="center"/>
              <w:spacing w:after="0" w:line="133" w:lineRule="exact"/>
              <w:rPr>
                <w:sz w:val="20"/>
                <w:szCs w:val="20"/>
                <w:color w:val="auto"/>
              </w:rPr>
            </w:pPr>
            <w:r>
              <w:rPr>
                <w:rFonts w:ascii="Arial" w:cs="Arial" w:eastAsia="Arial" w:hAnsi="Arial"/>
                <w:sz w:val="14"/>
                <w:szCs w:val="14"/>
                <w:color w:val="auto"/>
                <w:w w:val="90"/>
              </w:rPr>
              <w:t>Announced</w:t>
            </w:r>
          </w:p>
        </w:tc>
        <w:tc>
          <w:tcPr>
            <w:tcW w:w="340" w:type="dxa"/>
            <w:vAlign w:val="bottom"/>
          </w:tcPr>
          <w:p>
            <w:pPr>
              <w:spacing w:after="0"/>
              <w:rPr>
                <w:sz w:val="11"/>
                <w:szCs w:val="11"/>
                <w:color w:val="auto"/>
              </w:rPr>
            </w:pPr>
          </w:p>
        </w:tc>
        <w:tc>
          <w:tcPr>
            <w:tcW w:w="1120" w:type="dxa"/>
            <w:vAlign w:val="bottom"/>
          </w:tcPr>
          <w:p>
            <w:pPr>
              <w:jc w:val="center"/>
              <w:ind w:right="263"/>
              <w:spacing w:after="0" w:line="133" w:lineRule="exact"/>
              <w:rPr>
                <w:sz w:val="20"/>
                <w:szCs w:val="20"/>
                <w:color w:val="auto"/>
              </w:rPr>
            </w:pPr>
            <w:r>
              <w:rPr>
                <w:rFonts w:ascii="Arial" w:cs="Arial" w:eastAsia="Arial" w:hAnsi="Arial"/>
                <w:sz w:val="14"/>
                <w:szCs w:val="14"/>
                <w:color w:val="auto"/>
                <w:w w:val="87"/>
              </w:rPr>
              <w:t>Under the</w:t>
            </w:r>
          </w:p>
        </w:tc>
        <w:tc>
          <w:tcPr>
            <w:tcW w:w="1560" w:type="dxa"/>
            <w:vAlign w:val="bottom"/>
            <w:gridSpan w:val="2"/>
          </w:tcPr>
          <w:p>
            <w:pPr>
              <w:jc w:val="center"/>
              <w:ind w:left="39"/>
              <w:spacing w:after="0" w:line="133" w:lineRule="exact"/>
              <w:rPr>
                <w:sz w:val="20"/>
                <w:szCs w:val="20"/>
                <w:color w:val="auto"/>
              </w:rPr>
            </w:pPr>
            <w:r>
              <w:rPr>
                <w:rFonts w:ascii="Arial" w:cs="Arial" w:eastAsia="Arial" w:hAnsi="Arial"/>
                <w:sz w:val="14"/>
                <w:szCs w:val="14"/>
                <w:color w:val="auto"/>
                <w:w w:val="84"/>
              </w:rPr>
              <w:t>Purchased Under the</w:t>
            </w:r>
          </w:p>
        </w:tc>
      </w:tr>
      <w:tr>
        <w:trPr>
          <w:trHeight w:val="176"/>
        </w:trPr>
        <w:tc>
          <w:tcPr>
            <w:tcW w:w="3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Period</w:t>
            </w:r>
          </w:p>
        </w:tc>
        <w:tc>
          <w:tcPr>
            <w:tcW w:w="2780" w:type="dxa"/>
            <w:vAlign w:val="bottom"/>
            <w:tcBorders>
              <w:bottom w:val="single" w:sz="8" w:color="auto"/>
            </w:tcBorders>
          </w:tcPr>
          <w:p>
            <w:pPr>
              <w:jc w:val="center"/>
              <w:ind w:left="1382"/>
              <w:spacing w:after="0"/>
              <w:rPr>
                <w:sz w:val="20"/>
                <w:szCs w:val="20"/>
                <w:color w:val="auto"/>
              </w:rPr>
            </w:pPr>
            <w:r>
              <w:rPr>
                <w:rFonts w:ascii="Arial" w:cs="Arial" w:eastAsia="Arial" w:hAnsi="Arial"/>
                <w:sz w:val="14"/>
                <w:szCs w:val="14"/>
                <w:color w:val="auto"/>
                <w:w w:val="83"/>
              </w:rPr>
              <w:t>Purchased</w:t>
            </w:r>
          </w:p>
        </w:tc>
        <w:tc>
          <w:tcPr>
            <w:tcW w:w="3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281"/>
              <w:spacing w:after="0"/>
              <w:rPr>
                <w:sz w:val="20"/>
                <w:szCs w:val="20"/>
                <w:color w:val="auto"/>
              </w:rPr>
            </w:pPr>
            <w:r>
              <w:rPr>
                <w:rFonts w:ascii="Arial" w:cs="Arial" w:eastAsia="Arial" w:hAnsi="Arial"/>
                <w:sz w:val="14"/>
                <w:szCs w:val="14"/>
                <w:color w:val="auto"/>
                <w:w w:val="85"/>
              </w:rPr>
              <w:t>Share</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Authorization</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43"/>
              <w:spacing w:after="0"/>
              <w:rPr>
                <w:sz w:val="20"/>
                <w:szCs w:val="20"/>
                <w:color w:val="auto"/>
              </w:rPr>
            </w:pPr>
            <w:r>
              <w:rPr>
                <w:rFonts w:ascii="Arial" w:cs="Arial" w:eastAsia="Arial" w:hAnsi="Arial"/>
                <w:sz w:val="14"/>
                <w:szCs w:val="14"/>
                <w:color w:val="auto"/>
                <w:w w:val="92"/>
              </w:rPr>
              <w:t>Authorization</w:t>
            </w: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42"/>
              <w:spacing w:after="0" w:line="176" w:lineRule="exact"/>
              <w:rPr>
                <w:sz w:val="20"/>
                <w:szCs w:val="20"/>
                <w:color w:val="auto"/>
              </w:rPr>
            </w:pPr>
            <w:r>
              <w:rPr>
                <w:rFonts w:ascii="Arial" w:cs="Arial" w:eastAsia="Arial" w:hAnsi="Arial"/>
                <w:sz w:val="13"/>
                <w:szCs w:val="13"/>
                <w:color w:val="auto"/>
                <w:w w:val="95"/>
              </w:rPr>
              <w:t>Authorization</w:t>
            </w:r>
            <w:r>
              <w:rPr>
                <w:rFonts w:ascii="Arial" w:cs="Arial" w:eastAsia="Arial" w:hAnsi="Arial"/>
                <w:sz w:val="20"/>
                <w:szCs w:val="20"/>
                <w:color w:val="auto"/>
                <w:w w:val="95"/>
                <w:vertAlign w:val="superscript"/>
              </w:rPr>
              <w:t>(a)</w:t>
            </w:r>
          </w:p>
        </w:tc>
      </w:tr>
      <w:tr>
        <w:trPr>
          <w:trHeight w:val="210"/>
        </w:trPr>
        <w:tc>
          <w:tcPr>
            <w:tcW w:w="3340" w:type="dxa"/>
            <w:vAlign w:val="bottom"/>
            <w:shd w:val="clear" w:color="auto" w:fill="E5E5E5"/>
          </w:tcPr>
          <w:p>
            <w:pPr>
              <w:spacing w:after="0"/>
              <w:rPr>
                <w:sz w:val="20"/>
                <w:szCs w:val="20"/>
                <w:color w:val="auto"/>
              </w:rPr>
            </w:pPr>
            <w:r>
              <w:rPr>
                <w:rFonts w:ascii="Arial" w:cs="Arial" w:eastAsia="Arial" w:hAnsi="Arial"/>
                <w:sz w:val="18"/>
                <w:szCs w:val="18"/>
                <w:color w:val="auto"/>
              </w:rPr>
              <w:t>July 1-31, 2011</w:t>
            </w:r>
          </w:p>
        </w:tc>
        <w:tc>
          <w:tcPr>
            <w:tcW w:w="2780" w:type="dxa"/>
            <w:vAlign w:val="bottom"/>
            <w:shd w:val="clear" w:color="auto" w:fill="E5E5E5"/>
          </w:tcPr>
          <w:p>
            <w:pPr>
              <w:jc w:val="right"/>
              <w:ind w:right="14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81"/>
              <w:spacing w:after="0"/>
              <w:rPr>
                <w:sz w:val="20"/>
                <w:szCs w:val="20"/>
                <w:color w:val="auto"/>
              </w:rPr>
            </w:pPr>
            <w:r>
              <w:rPr>
                <w:rFonts w:ascii="Arial" w:cs="Arial" w:eastAsia="Arial" w:hAnsi="Arial"/>
                <w:sz w:val="18"/>
                <w:szCs w:val="18"/>
                <w:color w:val="auto"/>
              </w:rPr>
              <w:t>—</w:t>
            </w:r>
          </w:p>
        </w:tc>
        <w:tc>
          <w:tcPr>
            <w:tcW w:w="1280" w:type="dxa"/>
            <w:vAlign w:val="bottom"/>
            <w:shd w:val="clear" w:color="auto" w:fill="E5E5E5"/>
          </w:tcPr>
          <w:p>
            <w:pPr>
              <w:jc w:val="right"/>
              <w:ind w:right="126"/>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E5E5E5"/>
          </w:tcPr>
          <w:p>
            <w:pPr>
              <w:jc w:val="right"/>
              <w:ind w:right="12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E5E5E5"/>
          </w:tcPr>
          <w:p>
            <w:pPr>
              <w:jc w:val="right"/>
              <w:ind w:right="22"/>
              <w:spacing w:after="0"/>
              <w:rPr>
                <w:sz w:val="20"/>
                <w:szCs w:val="20"/>
                <w:color w:val="auto"/>
              </w:rPr>
            </w:pPr>
            <w:r>
              <w:rPr>
                <w:rFonts w:ascii="Arial" w:cs="Arial" w:eastAsia="Arial" w:hAnsi="Arial"/>
                <w:sz w:val="18"/>
                <w:szCs w:val="18"/>
                <w:color w:val="auto"/>
                <w:w w:val="95"/>
              </w:rPr>
              <w:t>1,090,873,870</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August 1-31, 2011</w:t>
            </w:r>
          </w:p>
        </w:tc>
        <w:tc>
          <w:tcPr>
            <w:tcW w:w="2780" w:type="dxa"/>
            <w:vAlign w:val="bottom"/>
          </w:tcPr>
          <w:p>
            <w:pPr>
              <w:jc w:val="right"/>
              <w:ind w:right="142"/>
              <w:spacing w:after="0"/>
              <w:rPr>
                <w:sz w:val="20"/>
                <w:szCs w:val="20"/>
                <w:color w:val="auto"/>
              </w:rPr>
            </w:pPr>
            <w:r>
              <w:rPr>
                <w:rFonts w:ascii="Arial" w:cs="Arial" w:eastAsia="Arial" w:hAnsi="Arial"/>
                <w:sz w:val="18"/>
                <w:szCs w:val="18"/>
                <w:color w:val="auto"/>
              </w:rPr>
              <w:t>24,938,357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81"/>
              <w:spacing w:after="0"/>
              <w:rPr>
                <w:sz w:val="20"/>
                <w:szCs w:val="20"/>
                <w:color w:val="auto"/>
              </w:rPr>
            </w:pPr>
            <w:r>
              <w:rPr>
                <w:rFonts w:ascii="Arial" w:cs="Arial" w:eastAsia="Arial" w:hAnsi="Arial"/>
                <w:sz w:val="18"/>
                <w:szCs w:val="18"/>
                <w:color w:val="auto"/>
                <w:w w:val="88"/>
              </w:rPr>
              <w:t>21.91</w:t>
            </w:r>
          </w:p>
        </w:tc>
        <w:tc>
          <w:tcPr>
            <w:tcW w:w="1280" w:type="dxa"/>
            <w:vAlign w:val="bottom"/>
          </w:tcPr>
          <w:p>
            <w:pPr>
              <w:jc w:val="right"/>
              <w:ind w:right="126"/>
              <w:spacing w:after="0"/>
              <w:rPr>
                <w:sz w:val="20"/>
                <w:szCs w:val="20"/>
                <w:color w:val="auto"/>
              </w:rPr>
            </w:pPr>
            <w:r>
              <w:rPr>
                <w:rFonts w:ascii="Arial" w:cs="Arial" w:eastAsia="Arial" w:hAnsi="Arial"/>
                <w:sz w:val="18"/>
                <w:szCs w:val="18"/>
                <w:color w:val="auto"/>
              </w:rPr>
              <w:t>24,938,357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3"/>
              <w:spacing w:after="0"/>
              <w:rPr>
                <w:sz w:val="20"/>
                <w:szCs w:val="20"/>
                <w:color w:val="auto"/>
              </w:rPr>
            </w:pPr>
            <w:r>
              <w:rPr>
                <w:rFonts w:ascii="Arial" w:cs="Arial" w:eastAsia="Arial" w:hAnsi="Arial"/>
                <w:sz w:val="18"/>
                <w:szCs w:val="18"/>
                <w:color w:val="auto"/>
                <w:w w:val="89"/>
              </w:rPr>
              <w:t>546,388,908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2"/>
              <w:spacing w:after="0"/>
              <w:rPr>
                <w:sz w:val="20"/>
                <w:szCs w:val="20"/>
                <w:color w:val="auto"/>
              </w:rPr>
            </w:pPr>
            <w:r>
              <w:rPr>
                <w:rFonts w:ascii="Arial" w:cs="Arial" w:eastAsia="Arial" w:hAnsi="Arial"/>
                <w:sz w:val="18"/>
                <w:szCs w:val="18"/>
                <w:color w:val="auto"/>
              </w:rPr>
              <w:t>544,484,962</w:t>
            </w:r>
          </w:p>
        </w:tc>
      </w:tr>
      <w:tr>
        <w:trPr>
          <w:trHeight w:val="216"/>
        </w:trPr>
        <w:tc>
          <w:tcPr>
            <w:tcW w:w="33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September 1-30, 2011</w:t>
            </w:r>
          </w:p>
        </w:tc>
        <w:tc>
          <w:tcPr>
            <w:tcW w:w="2780" w:type="dxa"/>
            <w:vAlign w:val="bottom"/>
            <w:tcBorders>
              <w:bottom w:val="single" w:sz="8" w:color="auto"/>
            </w:tcBorders>
            <w:shd w:val="clear" w:color="auto" w:fill="E5E5E5"/>
          </w:tcPr>
          <w:p>
            <w:pPr>
              <w:jc w:val="right"/>
              <w:ind w:right="142"/>
              <w:spacing w:after="0"/>
              <w:rPr>
                <w:sz w:val="20"/>
                <w:szCs w:val="20"/>
                <w:color w:val="auto"/>
              </w:rPr>
            </w:pPr>
            <w:r>
              <w:rPr>
                <w:rFonts w:ascii="Arial" w:cs="Arial" w:eastAsia="Arial" w:hAnsi="Arial"/>
                <w:sz w:val="18"/>
                <w:szCs w:val="18"/>
                <w:color w:val="auto"/>
              </w:rPr>
              <w:t>2,542,791</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E5E5E5"/>
          </w:tcPr>
          <w:p>
            <w:pPr>
              <w:jc w:val="right"/>
              <w:ind w:right="181"/>
              <w:spacing w:after="0"/>
              <w:rPr>
                <w:sz w:val="20"/>
                <w:szCs w:val="20"/>
                <w:color w:val="auto"/>
              </w:rPr>
            </w:pPr>
            <w:r>
              <w:rPr>
                <w:rFonts w:ascii="Arial" w:cs="Arial" w:eastAsia="Arial" w:hAnsi="Arial"/>
                <w:sz w:val="18"/>
                <w:szCs w:val="18"/>
                <w:color w:val="auto"/>
                <w:w w:val="88"/>
              </w:rPr>
              <w:t>21.09</w:t>
            </w:r>
          </w:p>
        </w:tc>
        <w:tc>
          <w:tcPr>
            <w:tcW w:w="1280" w:type="dxa"/>
            <w:vAlign w:val="bottom"/>
            <w:tcBorders>
              <w:bottom w:val="single" w:sz="8" w:color="auto"/>
            </w:tcBorders>
            <w:shd w:val="clear" w:color="auto" w:fill="E5E5E5"/>
          </w:tcPr>
          <w:p>
            <w:pPr>
              <w:jc w:val="right"/>
              <w:ind w:right="126"/>
              <w:spacing w:after="0"/>
              <w:rPr>
                <w:sz w:val="20"/>
                <w:szCs w:val="20"/>
                <w:color w:val="auto"/>
              </w:rPr>
            </w:pPr>
            <w:r>
              <w:rPr>
                <w:rFonts w:ascii="Arial" w:cs="Arial" w:eastAsia="Arial" w:hAnsi="Arial"/>
                <w:sz w:val="18"/>
                <w:szCs w:val="18"/>
                <w:color w:val="auto"/>
              </w:rPr>
              <w:t>2,542,791</w:t>
            </w: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E5E5E5"/>
          </w:tcPr>
          <w:p>
            <w:pPr>
              <w:jc w:val="right"/>
              <w:ind w:right="123"/>
              <w:spacing w:after="0"/>
              <w:rPr>
                <w:sz w:val="20"/>
                <w:szCs w:val="20"/>
                <w:color w:val="auto"/>
              </w:rPr>
            </w:pPr>
            <w:r>
              <w:rPr>
                <w:rFonts w:ascii="Arial" w:cs="Arial" w:eastAsia="Arial" w:hAnsi="Arial"/>
                <w:sz w:val="18"/>
                <w:szCs w:val="18"/>
                <w:color w:val="auto"/>
                <w:w w:val="99"/>
              </w:rPr>
              <w:t>53,617,505</w:t>
            </w: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E5E5E5"/>
          </w:tcPr>
          <w:p>
            <w:pPr>
              <w:jc w:val="right"/>
              <w:ind w:right="22"/>
              <w:spacing w:after="0"/>
              <w:rPr>
                <w:sz w:val="20"/>
                <w:szCs w:val="20"/>
                <w:color w:val="auto"/>
              </w:rPr>
            </w:pPr>
            <w:r>
              <w:rPr>
                <w:rFonts w:ascii="Arial" w:cs="Arial" w:eastAsia="Arial" w:hAnsi="Arial"/>
                <w:sz w:val="18"/>
                <w:szCs w:val="18"/>
                <w:color w:val="auto"/>
              </w:rPr>
              <w:t>490,867,457</w:t>
            </w:r>
          </w:p>
        </w:tc>
      </w:tr>
      <w:tr>
        <w:trPr>
          <w:trHeight w:val="217"/>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2780" w:type="dxa"/>
            <w:vAlign w:val="bottom"/>
            <w:tcBorders>
              <w:bottom w:val="single" w:sz="8" w:color="auto"/>
            </w:tcBorders>
          </w:tcPr>
          <w:p>
            <w:pPr>
              <w:jc w:val="right"/>
              <w:ind w:right="142"/>
              <w:spacing w:after="0"/>
              <w:rPr>
                <w:sz w:val="20"/>
                <w:szCs w:val="20"/>
                <w:color w:val="auto"/>
              </w:rPr>
            </w:pPr>
            <w:r>
              <w:rPr>
                <w:rFonts w:ascii="Arial" w:cs="Arial" w:eastAsia="Arial" w:hAnsi="Arial"/>
                <w:sz w:val="18"/>
                <w:szCs w:val="18"/>
                <w:b w:val="1"/>
                <w:bCs w:val="1"/>
                <w:color w:val="auto"/>
              </w:rPr>
              <w:t>27,481,148</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81"/>
              <w:spacing w:after="0"/>
              <w:rPr>
                <w:sz w:val="20"/>
                <w:szCs w:val="20"/>
                <w:color w:val="auto"/>
              </w:rPr>
            </w:pPr>
            <w:r>
              <w:rPr>
                <w:rFonts w:ascii="Arial" w:cs="Arial" w:eastAsia="Arial" w:hAnsi="Arial"/>
                <w:sz w:val="18"/>
                <w:szCs w:val="18"/>
                <w:b w:val="1"/>
                <w:bCs w:val="1"/>
                <w:color w:val="auto"/>
                <w:w w:val="88"/>
              </w:rPr>
              <w:t>21.83</w:t>
            </w:r>
          </w:p>
        </w:tc>
        <w:tc>
          <w:tcPr>
            <w:tcW w:w="1280" w:type="dxa"/>
            <w:vAlign w:val="bottom"/>
            <w:tcBorders>
              <w:bottom w:val="single" w:sz="8" w:color="auto"/>
            </w:tcBorders>
          </w:tcPr>
          <w:p>
            <w:pPr>
              <w:jc w:val="right"/>
              <w:ind w:right="126"/>
              <w:spacing w:after="0"/>
              <w:rPr>
                <w:sz w:val="20"/>
                <w:szCs w:val="20"/>
                <w:color w:val="auto"/>
              </w:rPr>
            </w:pPr>
            <w:r>
              <w:rPr>
                <w:rFonts w:ascii="Arial" w:cs="Arial" w:eastAsia="Arial" w:hAnsi="Arial"/>
                <w:sz w:val="18"/>
                <w:szCs w:val="18"/>
                <w:b w:val="1"/>
                <w:bCs w:val="1"/>
                <w:color w:val="auto"/>
              </w:rPr>
              <w:t>27,481,148</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123"/>
              <w:spacing w:after="0"/>
              <w:rPr>
                <w:sz w:val="20"/>
                <w:szCs w:val="20"/>
                <w:color w:val="auto"/>
              </w:rPr>
            </w:pPr>
            <w:r>
              <w:rPr>
                <w:rFonts w:ascii="Arial" w:cs="Arial" w:eastAsia="Arial" w:hAnsi="Arial"/>
                <w:sz w:val="18"/>
                <w:szCs w:val="18"/>
                <w:b w:val="1"/>
                <w:bCs w:val="1"/>
                <w:color w:val="auto"/>
                <w:w w:val="89"/>
              </w:rPr>
              <w:t>600,006,413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b w:val="1"/>
                <w:bCs w:val="1"/>
                <w:color w:val="auto"/>
              </w:rPr>
              <w:t>490,867,457</w:t>
            </w:r>
          </w:p>
        </w:tc>
      </w:tr>
    </w:tbl>
    <w:p>
      <w:pPr>
        <w:spacing w:after="0" w:line="57" w:lineRule="exact"/>
        <w:rPr>
          <w:sz w:val="20"/>
          <w:szCs w:val="20"/>
          <w:color w:val="auto"/>
        </w:rPr>
      </w:pPr>
    </w:p>
    <w:p>
      <w:pPr>
        <w:jc w:val="both"/>
        <w:ind w:left="340" w:hanging="332"/>
        <w:spacing w:after="0" w:line="288" w:lineRule="auto"/>
        <w:tabs>
          <w:tab w:leader="none" w:pos="3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In 2007, our Board of Directors authorized a $7 billion addition to our existing share repurchase authorization. Under this authorization, we may repurchase shares in the open market or in private transactions, subject to market conditions. The current share repurchase authorization does not have an expiration date. As of September 30, 2011, we had approximately $491 million of availability remaining under our share repurchase authorization. We intend to complete repurchases under the current share repurchase authorization by the end of 2011, subject to market conditions.</w:t>
      </w:r>
    </w:p>
    <w:p>
      <w:pPr>
        <w:spacing w:after="0" w:line="1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total number of shares purchased during the three months ended September 30, 2011 does not include any shares received in the administration of employee share-based compensation plans.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Exhibit</w:t>
      </w:r>
    </w:p>
    <w:p>
      <w:pPr>
        <w:ind w:left="120"/>
        <w:spacing w:after="0"/>
        <w:tabs>
          <w:tab w:leader="none" w:pos="82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40" w:hanging="832"/>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Section 302 of the Sarbanes-Oxley Act of 2002.</w:t>
      </w:r>
    </w:p>
    <w:p>
      <w:pPr>
        <w:spacing w:after="0" w:line="7" w:lineRule="exact"/>
        <w:rPr>
          <w:rFonts w:ascii="Arial" w:cs="Arial" w:eastAsia="Arial" w:hAnsi="Arial"/>
          <w:sz w:val="18"/>
          <w:szCs w:val="18"/>
          <w:color w:val="auto"/>
        </w:rPr>
      </w:pPr>
    </w:p>
    <w:p>
      <w:pPr>
        <w:ind w:left="840" w:hanging="832"/>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Section 906 of the Sarbanes-Oxley Act of 2002.</w:t>
      </w:r>
    </w:p>
    <w:p>
      <w:pPr>
        <w:spacing w:after="0" w:line="9" w:lineRule="exact"/>
        <w:rPr>
          <w:sz w:val="20"/>
          <w:szCs w:val="20"/>
          <w:color w:val="auto"/>
        </w:rPr>
      </w:pPr>
    </w:p>
    <w:p>
      <w:pPr>
        <w:jc w:val="both"/>
        <w:ind w:left="840" w:hanging="832"/>
        <w:spacing w:after="0" w:line="292" w:lineRule="auto"/>
        <w:tabs>
          <w:tab w:leader="none" w:pos="8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following financial statements from Comcast Corporation’s Quarterly Report on Form 10-Q for the three and nine months ended September 30, 2011, filed with the Securities and Exchange Commission on November 2, 2011, formatted in XBRL (eXtensible Business Reporting Language): (i) the Condensed Consolidated Balance Sheet; (ii) the Condensed Consolidated Statement of Income; (iii) the Condensed Consolidated Statement of Comprehensive Income; (iv) the Condensed Consolidated Statement of Cash Flows; (v) the Condensed Consolidated Statement of Changes in Equity and (vi) the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3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Chief Accounting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Controller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2, 2011</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44"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125"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Michael J. Angelakis, certify that:</w:t>
      </w:r>
    </w:p>
    <w:p>
      <w:pPr>
        <w:spacing w:after="0" w:line="144"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280"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2, 2011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Brian L. Roberts, the Chief Executive Officer and Michael J. Angelakis, the Chief Financial Officer of Comcast Corporation, each certifies that, to the best of his knowledge:</w:t>
      </w:r>
    </w:p>
    <w:p>
      <w:pPr>
        <w:spacing w:after="0" w:line="37"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Comcast Corporation.</w:t>
      </w:r>
    </w:p>
    <w:p>
      <w:pPr>
        <w:spacing w:after="0" w:line="38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Executive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lowerLetter"/>
      <w:start w:val="1"/>
    </w:lvl>
  </w:abstractNum>
  <w:abstractNum w:abstractNumId="5">
    <w:nsid w:val="1BEFD79F"/>
    <w:multiLevelType w:val="hybridMultilevel"/>
    <w:lvl w:ilvl="0">
      <w:lvlJc w:val="left"/>
      <w:lvlText w:val="(%1)"/>
      <w:numFmt w:val="lowerLetter"/>
      <w:start w:val="2"/>
    </w:lvl>
    <w:lvl w:ilvl="1">
      <w:lvlJc w:val="left"/>
      <w:lvlText w:val="•"/>
      <w:numFmt w:val="bullet"/>
      <w:start w:val="1"/>
    </w:lvl>
  </w:abstractNum>
  <w:abstractNum w:abstractNumId="6">
    <w:nsid w:val="41A7C4C9"/>
    <w:multiLevelType w:val="hybridMultilevel"/>
    <w:lvl w:ilvl="0">
      <w:lvlJc w:val="left"/>
      <w:lvlText w:val="(%1)"/>
      <w:numFmt w:val="lowerLetter"/>
      <w:start w:val="10"/>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decimal"/>
      <w:start w:val="94"/>
    </w:lvl>
  </w:abstractNum>
  <w:abstractNum w:abstractNumId="9">
    <w:nsid w:val="25E45D32"/>
    <w:multiLevelType w:val="hybridMultilevel"/>
    <w:lvl w:ilvl="0">
      <w:lvlJc w:val="left"/>
      <w:lvlText w:val="(%1)"/>
      <w:numFmt w:val="decimal"/>
      <w:start w:val="77"/>
    </w:lvl>
  </w:abstractNum>
  <w:abstractNum w:abstractNumId="10">
    <w:nsid w:val="519B500D"/>
    <w:multiLevelType w:val="hybridMultilevel"/>
    <w:lvl w:ilvl="0">
      <w:lvlJc w:val="left"/>
      <w:lvlText w:val="(%1)"/>
      <w:numFmt w:val="decimal"/>
      <w:start w:val="12"/>
    </w:lvl>
  </w:abstractNum>
  <w:abstractNum w:abstractNumId="11">
    <w:nsid w:val="431BD7B7"/>
    <w:multiLevelType w:val="hybridMultilevel"/>
    <w:lvl w:ilvl="0">
      <w:lvlJc w:val="left"/>
      <w:lvlText w:val="(%1)"/>
      <w:numFmt w:val="decimal"/>
      <w:start w:val="25"/>
    </w:lvl>
  </w:abstractNum>
  <w:abstractNum w:abstractNumId="12">
    <w:nsid w:val="3F2DBA31"/>
    <w:multiLevelType w:val="hybridMultilevel"/>
    <w:lvl w:ilvl="0">
      <w:lvlJc w:val="left"/>
      <w:lvlText w:val="(%1)"/>
      <w:numFmt w:val="lowerLetter"/>
      <w:start w:val="1"/>
    </w:lvl>
  </w:abstractNum>
  <w:abstractNum w:abstractNumId="13">
    <w:nsid w:val="7C83E458"/>
    <w:multiLevelType w:val="hybridMultilevel"/>
    <w:lvl w:ilvl="0">
      <w:lvlJc w:val="left"/>
      <w:lvlText w:val="(%1)"/>
      <w:numFmt w:val="lowerLetter"/>
      <w:start w:val="1"/>
    </w:lvl>
  </w:abstractNum>
  <w:abstractNum w:abstractNumId="14">
    <w:nsid w:val="257130A3"/>
    <w:multiLevelType w:val="hybridMultilevel"/>
    <w:lvl w:ilvl="0">
      <w:lvlJc w:val="left"/>
      <w:lvlText w:val="(%1)"/>
      <w:numFmt w:val="lowerLetter"/>
      <w:start w:val="1"/>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1"/>
      <w:numFmt w:val="decimal"/>
      <w:start w:val="31"/>
    </w:lvl>
  </w:abstractNum>
  <w:abstractNum w:abstractNumId="20">
    <w:nsid w:val="2443A858"/>
    <w:multiLevelType w:val="hybridMultilevel"/>
    <w:lvl w:ilvl="0">
      <w:lvlJc w:val="left"/>
      <w:lvlText w:val="%1"/>
      <w:numFmt w:val="decimal"/>
      <w:start w:val="10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2019-12-10T22:51:14Z</dcterms:created>
  <dcterms:modified xsi:type="dcterms:W3CDTF">2019-12-10T22:51:14Z</dcterms:modified>
</cp:coreProperties>
</file>