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March 9, 1999</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320" w:type="dxa"/>
        <w:tblCellMar>
          <w:top w:w="0" w:type="dxa"/>
          <w:left w:w="0" w:type="dxa"/>
          <w:bottom w:w="0" w:type="dxa"/>
          <w:right w:w="0" w:type="dxa"/>
        </w:tblCellMar>
      </w:tblPr>
      <w:tr>
        <w:trPr>
          <w:trHeight w:val="203"/>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(Exact</w:t>
            </w:r>
          </w:p>
        </w:tc>
        <w:tc>
          <w:tcPr>
            <w:tcW w:w="5580" w:type="dxa"/>
            <w:vAlign w:val="bottom"/>
            <w:gridSpan w:val="3"/>
          </w:tcPr>
          <w:p>
            <w:pPr>
              <w:spacing w:after="0"/>
              <w:rPr>
                <w:sz w:val="20"/>
                <w:szCs w:val="20"/>
                <w:color w:val="auto"/>
              </w:rPr>
            </w:pPr>
            <w:r>
              <w:rPr>
                <w:rFonts w:ascii="Courier New" w:cs="Courier New" w:eastAsia="Courier New" w:hAnsi="Courier New"/>
                <w:sz w:val="18"/>
                <w:szCs w:val="18"/>
                <w:color w:val="auto"/>
              </w:rPr>
              <w:t>name of registrant as specified in its charter)</w:t>
            </w:r>
          </w:p>
        </w:tc>
      </w:tr>
      <w:tr>
        <w:trPr>
          <w:trHeight w:val="608"/>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Pennsylvania</w:t>
            </w:r>
          </w:p>
        </w:tc>
        <w:tc>
          <w:tcPr>
            <w:tcW w:w="740" w:type="dxa"/>
            <w:vAlign w:val="bottom"/>
          </w:tcPr>
          <w:p>
            <w:pPr>
              <w:spacing w:after="0"/>
              <w:rPr>
                <w:sz w:val="24"/>
                <w:szCs w:val="24"/>
                <w:color w:val="auto"/>
              </w:rPr>
            </w:pPr>
          </w:p>
        </w:tc>
        <w:tc>
          <w:tcPr>
            <w:tcW w:w="31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0-6983</w:t>
            </w:r>
          </w:p>
        </w:tc>
        <w:tc>
          <w:tcPr>
            <w:tcW w:w="168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8"/>
              </w:rPr>
              <w:t>23-1709202</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31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(Commission file</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(IRS employer</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number)</w:t>
            </w:r>
          </w:p>
        </w:tc>
        <w:tc>
          <w:tcPr>
            <w:tcW w:w="16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identification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incorporation)</w:t>
            </w: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no.)</w:t>
            </w:r>
          </w:p>
        </w:tc>
      </w:tr>
      <w:tr>
        <w:trPr>
          <w:trHeight w:val="608"/>
        </w:trPr>
        <w:tc>
          <w:tcPr>
            <w:tcW w:w="53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1500 Market Street, Philadelphia, PA</w:t>
            </w: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19102</w:t>
            </w:r>
          </w:p>
        </w:tc>
      </w:tr>
      <w:tr>
        <w:trPr>
          <w:trHeight w:val="203"/>
        </w:trPr>
        <w:tc>
          <w:tcPr>
            <w:tcW w:w="7060" w:type="dxa"/>
            <w:vAlign w:val="bottom"/>
            <w:gridSpan w:val="4"/>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(Address</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principal executive offices)</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(Zip Code)</w:t>
            </w:r>
          </w:p>
        </w:tc>
      </w:tr>
      <w:tr>
        <w:trPr>
          <w:trHeight w:val="608"/>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Registrant's</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w w:val="97"/>
              </w:rPr>
              <w:t>telephone number, including area code</w:t>
            </w: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w w:val="96"/>
              </w:rPr>
              <w:t>(215) 665-1700</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An exhibit is filed herewith in connection with the Registration Statement on Form S-3 (File No. 33-50785) originally filed October 27, 1993 and the abbreviated registration statement on Form S-3 to register additional securities, filed March 11, 1999, in each case, by Comcast Corporation (the "Company").</w:t>
      </w:r>
    </w:p>
    <w:p>
      <w:pPr>
        <w:spacing w:after="0" w:line="209" w:lineRule="exact"/>
        <w:rPr>
          <w:sz w:val="24"/>
          <w:szCs w:val="24"/>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The Company filed on March 9, 1999 a preliminary prospectus supplement dated March 9, 1999 and filed on March 15, 1999 a final prospectus supplement dated March 11, 1999, in each case pursuant to Rule 424(b) of the Securities Act of 1933, as amended, relating to Exchangeable Extendable Subordinated Debentures due 2029 (the "Debentures", each also referred to as a "PHONES"). The form of such Debentures is filed as an exhibit hereto.</w:t>
      </w:r>
    </w:p>
    <w:p>
      <w:pPr>
        <w:spacing w:after="0" w:line="186" w:lineRule="exact"/>
        <w:rPr>
          <w:sz w:val="24"/>
          <w:szCs w:val="24"/>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The form of Debenture states, among other things, (i) that each PHONES is exchangeable at the option of the holder at any time after March 17, 2000, on such terms and conditions as are further prescribed therein and (ii) further that amounts under clause (4) under the definition of "Final Period Distribution" are determined in accordance with the following formula: E x (1-0.05n), which formula is further explained therein.</w:t>
      </w:r>
    </w:p>
    <w:p>
      <w:pPr>
        <w:spacing w:after="0" w:line="186" w:lineRule="exact"/>
        <w:rPr>
          <w:sz w:val="24"/>
          <w:szCs w:val="24"/>
          <w:color w:val="auto"/>
        </w:rPr>
      </w:pPr>
    </w:p>
    <w:p>
      <w:pPr>
        <w:jc w:val="center"/>
        <w:ind w:right="5779"/>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2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Form of Exchangeable Extendable Subordinated Debentures</w:t>
      </w:r>
    </w:p>
    <w:p>
      <w:pPr>
        <w:spacing w:after="0" w:line="238" w:lineRule="auto"/>
        <w:rPr>
          <w:sz w:val="20"/>
          <w:szCs w:val="20"/>
          <w:color w:val="auto"/>
        </w:rPr>
      </w:pPr>
      <w:r>
        <w:rPr>
          <w:rFonts w:ascii="Courier New" w:cs="Courier New" w:eastAsia="Courier New" w:hAnsi="Courier New"/>
          <w:sz w:val="18"/>
          <w:szCs w:val="18"/>
          <w:color w:val="auto"/>
        </w:rPr>
        <w:t>Due 2029.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Dated: March 16, 1999</w:t>
      </w:r>
      <w:r>
        <w:rPr>
          <w:sz w:val="20"/>
          <w:szCs w:val="20"/>
          <w:color w:val="auto"/>
        </w:rPr>
        <w:tab/>
      </w: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447" w:right="1440" w:bottom="24" w:gutter="0" w:footer="0" w:header="0"/>
        </w:sectPr>
      </w:pPr>
    </w:p>
    <w:bookmarkStart w:id="1" w:name="page2"/>
    <w:bookmarkEnd w:id="1"/>
    <w:p>
      <w:pPr>
        <w:ind w:left="400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Arthur R. Block</w:t>
      </w:r>
    </w:p>
    <w:p>
      <w:pPr>
        <w:ind w:left="4000"/>
        <w:spacing w:after="0" w:line="238" w:lineRule="auto"/>
        <w:rPr>
          <w:sz w:val="20"/>
          <w:szCs w:val="20"/>
          <w:color w:val="auto"/>
        </w:rPr>
      </w:pPr>
      <w:r>
        <w:rPr>
          <w:rFonts w:ascii="Courier New" w:cs="Courier New" w:eastAsia="Courier New" w:hAnsi="Courier New"/>
          <w:sz w:val="18"/>
          <w:szCs w:val="18"/>
          <w:color w:val="auto"/>
        </w:rPr>
        <w:t>Title: Senior Deputy General Counsel</w:t>
      </w:r>
    </w:p>
    <w:p>
      <w:pPr>
        <w:ind w:left="5060"/>
        <w:spacing w:after="0"/>
        <w:rPr>
          <w:sz w:val="20"/>
          <w:szCs w:val="20"/>
          <w:color w:val="auto"/>
        </w:rPr>
      </w:pPr>
      <w:r>
        <w:rPr>
          <w:rFonts w:ascii="Courier New" w:cs="Courier New" w:eastAsia="Courier New" w:hAnsi="Courier New"/>
          <w:sz w:val="18"/>
          <w:szCs w:val="18"/>
          <w:color w:val="auto"/>
        </w:rPr>
        <w:t>and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line="4" w:lineRule="exact"/>
        <w:rPr>
          <w:sz w:val="20"/>
          <w:szCs w:val="20"/>
          <w:color w:val="auto"/>
        </w:rPr>
      </w:pPr>
    </w:p>
    <w:p>
      <w:pPr>
        <w:ind w:left="1900" w:right="2419" w:hanging="1375"/>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Exchangeable Extendable Subordinated Debenture Due 2029</w:t>
      </w:r>
    </w:p>
    <w:p>
      <w:pPr>
        <w:sectPr>
          <w:pgSz w:w="11900" w:h="16838" w:orient="portrait"/>
          <w:cols w:equalWidth="0" w:num="1">
            <w:col w:w="9999"/>
          </w:cols>
          <w:pgMar w:left="46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Certificate Number 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PHONES[SM] represented hereby:__________</w:t>
      </w:r>
    </w:p>
    <w:p>
      <w:pPr>
        <w:spacing w:after="0" w:line="238" w:lineRule="auto"/>
        <w:rPr>
          <w:sz w:val="20"/>
          <w:szCs w:val="20"/>
          <w:color w:val="auto"/>
        </w:rPr>
      </w:pPr>
      <w:r>
        <w:rPr>
          <w:rFonts w:ascii="Courier New" w:cs="Courier New" w:eastAsia="Courier New" w:hAnsi="Courier New"/>
          <w:sz w:val="18"/>
          <w:szCs w:val="18"/>
          <w:color w:val="auto"/>
        </w:rPr>
        <w:t>(representing $___________ in aggregate original principal amount)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(55 Water Street, New York, New York)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Depositary or a nominee of such successor Depositary.</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EXCHANGEABLE EXTENDABLE</w:t>
      </w:r>
    </w:p>
    <w:p>
      <w:pPr>
        <w:jc w:val="center"/>
        <w:ind w:right="2319"/>
        <w:spacing w:after="0" w:line="238" w:lineRule="auto"/>
        <w:rPr>
          <w:sz w:val="20"/>
          <w:szCs w:val="20"/>
          <w:color w:val="auto"/>
        </w:rPr>
      </w:pPr>
      <w:r>
        <w:rPr>
          <w:rFonts w:ascii="Courier New" w:cs="Courier New" w:eastAsia="Courier New" w:hAnsi="Courier New"/>
          <w:sz w:val="18"/>
          <w:szCs w:val="18"/>
          <w:color w:val="auto"/>
        </w:rPr>
        <w:t>SUBORDINATED DEBENTURE DUE 2029</w:t>
      </w:r>
    </w:p>
    <w:p>
      <w:pPr>
        <w:jc w:val="center"/>
        <w:ind w:right="2319"/>
        <w:spacing w:after="0"/>
        <w:rPr>
          <w:sz w:val="20"/>
          <w:szCs w:val="20"/>
          <w:color w:val="auto"/>
        </w:rPr>
      </w:pPr>
      <w:r>
        <w:rPr>
          <w:rFonts w:ascii="Courier New" w:cs="Courier New" w:eastAsia="Courier New" w:hAnsi="Courier New"/>
          <w:sz w:val="18"/>
          <w:szCs w:val="18"/>
          <w:color w:val="auto"/>
        </w:rPr>
        <w:t>(each a "PHONES")</w:t>
      </w:r>
    </w:p>
    <w:p>
      <w:pPr>
        <w:spacing w:after="0" w:line="20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CUSIP 200300 40 8</w:t>
      </w:r>
    </w:p>
    <w:p>
      <w:pPr>
        <w:spacing w:after="0" w:line="207" w:lineRule="exact"/>
        <w:rPr>
          <w:sz w:val="20"/>
          <w:szCs w:val="20"/>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COMCAST CORPORATION, a corporation duly organized and existing under the laws of the Commonwealth of Pennsylvania (herein called the "Company", which term includes any successor corporation under the Indenture hereinafter referred to), for value received, hereby promises to pay to</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Cede &amp; Co. or its registered assigns,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Maturity Amount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in any coin or currency of the United States of America which, at the time of payment is legal tender for public and private debts, upon presentation and surrender of this Debenture, on the 15th day of May, 2029 (or on the 15th day of May, 2059 if the maturity of this Debenture is so extended as provided for herein), at the office or agency of the Company in New York, New York, and to pay interest on the original principal amount at the Interest Rate, in like coin or currency, from the original date of issuance of this Debenture or from the most recent February 15, May 15, August 15 or November 15 to which interest has been paid or duly provided for, quarterly in arrears on the 15th day of February, May, August and November of each year, commencing May 15, 1999, until payment of said Maturity Amount, or if earlier redeemed, the Redemption Amount, has been in either case made or duly provided for. For purposes of this Debenture, the "Interest Rate" means a rate of 1.75% per annum plus the amount of the Reference Shares Dividend Amount; provided that the initial interest payment on May 15, 1999 shall be calculated at an annual rate of 1.75% on the original principal amount from the original issue date of the Debentures to May 15, 1999, plus the Reference Shares Dividend Amount applicable to the Debentures between February 15, 1999 and May 15, 1999. Additional Interest will be distributed as specified on the reverse hereof. Changes in the Contingent Principal Amount will not affect the Interest Rate. Interest may be deferred, at the election of the Company as specified on the reverse hereof. Any such interest payable on any February 15, May 15, August 15 or November 15 shall (subject to exceptions provided in the Indenture referred to on the reverse hereof) be paid to the person in whose name this Debenture or the Debentures in exchange or substitution for which this Debenture shall have been issued, shall have been registered at the close of business on February 1, May 1, August 1 or November 1, as the case may be next preceding such February 15, May 15, August 15 or November 15 whether or not such February 1, May 1, August 1 or November 1 is a Business Day. Capitalized terms used on the face hereof without definition have the meaning specified on the reverse hereof.</w:t>
      </w:r>
    </w:p>
    <w:p>
      <w:pPr>
        <w:spacing w:after="0" w:line="214"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THE PROVISIONS OF THIS DEBENTURE ARE CONTINUED ON THE REVERSE HEREOF AND SUCH CONTINUED PROVISIONS SHALL FOR ALL PURPOSES HAVE THE SAME EFFECT AS THOUGH FULLY SET FORTH AT THIS PLACE.</w:t>
      </w:r>
    </w:p>
    <w:p>
      <w:pPr>
        <w:spacing w:after="0" w:line="209"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This Debenture shall not be entitled to any benefit under the Indenture referred to on the reverse hereof or any indenture supplemental thereto, or become valid or obligatory for any purpose until the Trustee under said Indenture, or a successor trustee thereunder, shall have signed the form</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of certificate of authentication appearing hereon.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[SM] Service Mark of Merrill Lynch &amp; Co., Inc.</w:t>
      </w:r>
    </w:p>
    <w:p>
      <w:pPr>
        <w:spacing w:after="0" w:line="202" w:lineRule="exact"/>
        <w:rPr>
          <w:sz w:val="20"/>
          <w:szCs w:val="20"/>
          <w:color w:val="auto"/>
        </w:rPr>
      </w:pPr>
    </w:p>
    <w:p>
      <w:pPr>
        <w:ind w:left="3280"/>
        <w:spacing w:after="0"/>
        <w:tabs>
          <w:tab w:leader="none" w:pos="388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IN WITNESS WHEREOF, COMCAST CORPORATION has caused this instrument to be duly executed under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one of the Debentures of the series</w:t>
      </w:r>
    </w:p>
    <w:p>
      <w:pPr>
        <w:spacing w:after="0" w:line="238" w:lineRule="auto"/>
        <w:rPr>
          <w:sz w:val="20"/>
          <w:szCs w:val="20"/>
          <w:color w:val="auto"/>
        </w:rPr>
      </w:pPr>
      <w:r>
        <w:rPr>
          <w:rFonts w:ascii="Courier New" w:cs="Courier New" w:eastAsia="Courier New" w:hAnsi="Courier New"/>
          <w:sz w:val="18"/>
          <w:szCs w:val="18"/>
          <w:color w:val="auto"/>
        </w:rPr>
        <w:t>referred to on the reverse hereof.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Attest: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[Reverse of Debentures]</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EXCHANGEABLE EXTENDABLE</w:t>
      </w:r>
    </w:p>
    <w:p>
      <w:pPr>
        <w:jc w:val="center"/>
        <w:ind w:right="2319"/>
        <w:spacing w:after="0" w:line="238" w:lineRule="auto"/>
        <w:rPr>
          <w:sz w:val="20"/>
          <w:szCs w:val="20"/>
          <w:color w:val="auto"/>
        </w:rPr>
      </w:pPr>
      <w:r>
        <w:rPr>
          <w:rFonts w:ascii="Courier New" w:cs="Courier New" w:eastAsia="Courier New" w:hAnsi="Courier New"/>
          <w:sz w:val="18"/>
          <w:szCs w:val="18"/>
          <w:color w:val="auto"/>
        </w:rPr>
        <w:t>SUBORDINATED DEBENTURE DUE 2029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This Debenture is one of a duly authorized issue of debentures, notes, bonds or other evidences of indebtedness of the Company (herein called the "Securities") of the series hereinafter specified, all issued or to be issued under an indenture dated as of February 20, 1991, as supplemented by the First Supplemental Indenture dated as of March 15, 1999 (as supplemented, herein called the "Indenture"), each executed between the Company and Bankers Trust Company, a New York banking corporation with its principal offices in New York, New York (hereinafter called the "Trustee"), to which indenture and all indentures supplemental thereto reference is hereby made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The terms of the Indenture are hereby incorporated by reference herein. The Securities may be issued in one or more series, which different series may be issued in various aggregate principal amounts, may mature at different times, may bear interest (if any) at different rates, may be subject to different redemption or repayment provisions (if any), may be subject to different sinking, purchase or analogous funds (if any) and may otherwise vary as provided in the Indenture. This Debenture is one of a series designated as Exchangeable Extendable Subordinated Debentures due 2029 (hereinafter called the "PHONES") of the Company, each PHONES representing $82.5625 in original principal amount, limited in aggregate number to 8,700,000 (or $718,293,750 in aggregate original principal amount) or 10,000,000 (or $825,625,000 in aggregate original principal amount if the underwriters' over-allotment option is exercised in full).</w:t>
      </w:r>
    </w:p>
    <w:p>
      <w:pPr>
        <w:spacing w:after="0" w:line="200" w:lineRule="exact"/>
        <w:rPr>
          <w:sz w:val="20"/>
          <w:szCs w:val="20"/>
          <w:color w:val="auto"/>
        </w:rPr>
      </w:pPr>
    </w:p>
    <w:p>
      <w:pPr>
        <w:spacing w:after="0" w:line="39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Debentures will be unsecured, subordinated obligations of the Company. The indebtedness evidenced by the Debentures is, to the extent provided in the Indenture, subordinate and subject in right and payment to the prior payment in full of all Senior Indebtedness as defined in the Indenture, and each holder of this Debenture, by accepting the same, agrees to and shall be bound by the provisions of the Indenture.</w:t>
      </w:r>
    </w:p>
    <w:p>
      <w:pPr>
        <w:sectPr>
          <w:pgSz w:w="11900" w:h="16838" w:orient="portrait"/>
          <w:cols w:equalWidth="0" w:num="1">
            <w:col w:w="10219"/>
          </w:cols>
          <w:pgMar w:left="240" w:top="136" w:right="1440" w:bottom="0" w:gutter="0" w:footer="0" w:header="0"/>
        </w:sectPr>
      </w:pPr>
    </w:p>
    <w:bookmarkStart w:id="4" w:name="page5"/>
    <w:bookmarkEnd w:id="4"/>
    <w:p>
      <w:pPr>
        <w:ind w:right="1999" w:firstLine="1580"/>
        <w:spacing w:after="0" w:line="270" w:lineRule="auto"/>
        <w:rPr>
          <w:sz w:val="20"/>
          <w:szCs w:val="20"/>
          <w:color w:val="auto"/>
        </w:rPr>
      </w:pPr>
      <w:r>
        <w:rPr>
          <w:rFonts w:ascii="Courier New" w:cs="Courier New" w:eastAsia="Courier New" w:hAnsi="Courier New"/>
          <w:sz w:val="16"/>
          <w:szCs w:val="16"/>
          <w:color w:val="auto"/>
        </w:rPr>
        <w:t>The Maturity Amount, the Redemption Amount, Additional Interest, if any, and interest on the PHONES will be payable at the office or agency the Company maintains for such purpose within The City and State of New York or, at the Company's option, payment of cash interest may be made by check mailed to the holders of the PHONES at their respective addresses set forth in the register of holders of PHONES; provided that all cash payments with respect to PHONES to a holder of a minimum of 100,000 PHONES who has given written wire transfer instructions, on or prior to the relevant record date, to the paying agent, will be made by wire transfer of immediately available funds to the accounts specified by such holders. Until otherwise designated by the Company, the Company's office or agency in New York will be the office of the Trustee maintained for such purpose. The PHONES will be issued in denominations of one PHONES and integral multiples thereof.</w:t>
      </w:r>
    </w:p>
    <w:p>
      <w:pPr>
        <w:spacing w:after="0" w:line="38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Interest and Additional Interest</w:t>
      </w:r>
    </w:p>
    <w:p>
      <w:pPr>
        <w:spacing w:after="0" w:line="207"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The Company shall pay interest to the holder of this Debenture in such amounts and at such times as specified on the face of this Debenture. At least five (5) Business Days prior to each Interest Payment Date the Company shall deliver an Officers' Certificate to the Trustee setting forth:</w:t>
      </w:r>
    </w:p>
    <w:p>
      <w:pPr>
        <w:spacing w:after="0" w:line="1" w:lineRule="exact"/>
        <w:rPr>
          <w:sz w:val="20"/>
          <w:szCs w:val="20"/>
          <w:color w:val="auto"/>
        </w:rPr>
      </w:pPr>
    </w:p>
    <w:p>
      <w:pPr>
        <w:ind w:right="19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interest per PHONES due for that interest period, (ii) the applicable Reference Shares Dividend Amount and (iii) the total payment due for that period on all PHONES outstanding. "Reference Shares Dividend Amount" means, in respect of any quarterly interest period, an amount per PHONES equal to the amount of all quarterly cash dividends paid on the Reference Shares attributable to a PHONES.</w:t>
      </w:r>
    </w:p>
    <w:p>
      <w:pPr>
        <w:spacing w:after="0" w:line="210"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In addition, the Company shall also distribute, as additional interest on each PHONES ("Additional Interest"), a proportionate amount of any property, including cash (other than the Reference Shares Dividend Amount), distributed on or with respect to the Reference Shares attributable to each PHONES (other than publicly traded equity securities). If any property that is not publicly traded is distributed on the Reference Shares, the Company will pay each holder of PHONES the proportionate amount the fair market value of that property as determined in good faith by the Board of Directors of the Company (as defined in the Indenture). The Company will distribute Additional Interest on the 20th Business Day after such property is distributed on the Reference Shares to holders of the PHONES on the tenth Business Day after the date of distribution. Each PHONES shall initially be entitled to dividends and distributions on or with respect to one Reference Share as of the original date of issuance of the PHONES, subject to adjustment as provided herein.</w:t>
      </w:r>
    </w:p>
    <w:p>
      <w:pPr>
        <w:spacing w:after="0" w:line="38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At least five (5) Business Days prior to any distribution of Additional Interest on the PHONES, the Company shall deliver an Officers Certificate to the Trustee setting forth: (i) the exact amount of property to be distributed on or with respect to the Reference Shares per PHONES and (ii) the total amount of property to be distributed on or with respect to the Reference Shares for all outstanding PHONES at the date of such distribution. If any distribution is made of any property that is not publicly traded, then at least five (5) Business Days prior to such distribution, the Company shall deliver to the Trustee: (i) a certified copy of the resolution of the Board of Directors establishing the fair market value of the property and setting a special record date for such distribution, (ii) an Officers' Certificate setting forth the exact amount of property to be distributed on the Reference Shares per PHONES and (iii) the total amount of property that is not publicly traded to be distributed on the Reference Shares for all outstanding PHONES. In each case described above, the Company will state whether it will distribute such Additional Interest in property or cash. The Trustee is only responsible for distributing property in the form of global book entry securities which are DTC eligible. The Company is responsible for acting as its own paying agent to make all other distributions of property. The Company will prepare a press release relating to any such distribution to be provided to DTC for dissemination through the DTC broadcast facility.</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interest is payable on a date that is not a Business Day (as defined at the end of this paragraph), payment will be made on the next Business Day (and without any interest or other payment in respect of such delay).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Interest will be computed on the basis of a 360-day year consisting of twelve 30-day months. The Company will pay interest on any overdue Maturity Amount at 9.30% per annum, compounded quarterly, and it shall pay interest on overdue installments of interest and the fair market value of Additional Interest (without regard to any applicable grace period) at the same rate compounded quarterly.</w:t>
      </w:r>
    </w:p>
    <w:p>
      <w:pPr>
        <w:sectPr>
          <w:pgSz w:w="11900" w:h="16838" w:orient="portrait"/>
          <w:cols w:equalWidth="0" w:num="1">
            <w:col w:w="10219"/>
          </w:cols>
          <w:pgMar w:left="240" w:top="344" w:right="1440" w:bottom="0" w:gutter="0" w:footer="0" w:header="0"/>
        </w:sectPr>
      </w:pPr>
    </w:p>
    <w:bookmarkStart w:id="5" w:name="page6"/>
    <w:bookmarkEnd w:id="5"/>
    <w:p>
      <w:pPr>
        <w:ind w:left="1580"/>
        <w:spacing w:after="0"/>
        <w:rPr>
          <w:sz w:val="20"/>
          <w:szCs w:val="20"/>
          <w:color w:val="auto"/>
        </w:rPr>
      </w:pPr>
      <w:r>
        <w:rPr>
          <w:rFonts w:ascii="Courier New" w:cs="Courier New" w:eastAsia="Courier New" w:hAnsi="Courier New"/>
          <w:sz w:val="18"/>
          <w:szCs w:val="18"/>
          <w:color w:val="auto"/>
        </w:rPr>
        <w:t>Deferral of Interest Payments</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If no Event of Default (as defined in the Indenture) has occurred and is continuing under the PHONES, the Company may, at any time and from time to time, defer quarterly interest payments on the Debentures for up to 20 consecutive quarterly periods; provided that a deferral of interest payments may not extend beyond the maturity date of the PHONES. The Company may not defer distributions of Additional Interest. If the Company defers quarterly payments of interest, the Contingent Principal Amount (as defined below) of the PHONES shall be increased by the amount of the deferral and the Early Exchange Ratio (as defined below) will increase to 100% from the date of the deferral. After the Company makes all accrued interest payments on the PHONES, with accrued interest at an annual rate of 3.35% compounded quarterly, the Contingent Principal Amount shall be reduced by the amount of the deferral, the Early Exchange Ratio shall decrease to 95%, and the Company may thereafter again postpone interest payments as described above. During any deferral period, so long as the Current Market Value of the Reference Shares attributable to the PHONES exceeds the original principal amount of the PHONES, the Company may at its option, but is not obligated to, increase the amount of Reference Shares attributable to each PHONES by an annual rate of</w:t>
      </w:r>
    </w:p>
    <w:p>
      <w:pPr>
        <w:spacing w:after="0" w:line="193"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3.35% compounded quarterly. If the Company elects to make this increase in an interest payment period, the holder shall have no right to claim accrued interest in that period and the Company shall be deemed current on that quarterly payment of interest. The Company shall give the Trustee notice if the Company decides to defer interest payments on the PHONES as described below and will prepare a press release to be provided to DTC for dissemination through the DTC broadcast facility. The Company shall give that notice one Business Day before the earlier of (i) the record date for the next date interest on the PHONES is payable; or (ii) the date the Company is required to give notice to the NYSE (or any other applicable self-regulatory organization) or to holders of the PHONES of the record date or the date any distribution is payable.</w:t>
      </w:r>
    </w:p>
    <w:p>
      <w:pPr>
        <w:spacing w:after="0" w:line="207"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The notice described above shall be in the form of an Officers' Certificate to the Trustee setting forth: (i) the period with respect to which it is electing to defer payment of interest, (ii) the exact amount of increase of Contingent Principal Amount per PHONES, (iii) the total amount of increase of Contingent Principal Amount for all outstanding PHONES, (iv) a statement that the Early Exchange Ratio will increase to 100% prospectively from that date and (v) that no Event of Default (as defined in the Indenture) has occurred and is continuing under the PHONES. The Company is required to deliver such an Officers' Certificate for each interest payment deferred.</w:t>
      </w:r>
    </w:p>
    <w:p>
      <w:pPr>
        <w:spacing w:after="0" w:line="184"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If and when the Company pays all of its deferred interest and accrued interest, it must deliver to the Trustee an Officers' Certificate setting forth the calculation of accrued interest owed per PHONES and the total amount owed on all outstanding PHONES.</w:t>
      </w:r>
    </w:p>
    <w:p>
      <w:pPr>
        <w:spacing w:after="0" w:line="207"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If the Company elects to increase the amount of Reference Shares payable for each PHONES as provided for above in lieu of paying accrued interest for that quarter, it shall deliver an Officers' Certificate to the Trustee setting forth: (i) the amount of such increase and the total amount, after such increase, of Reference Shares applicable to each PHONES and (ii) the total amount of Reference Shares applicable to all outstanding PHONES.</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Principal Amount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original principal amount per PHONES is equal to $82.5625. The minimum amount payable upon redemption or maturity of a PHONES (the "Contingent Principal Amount") shall initially be equal to the original principal amount. If the Reference Shares Dividend Amount is greater than $0.33, the Contingent Principal Amount for a PHONES shall be reduced on a quarterly basis to the extent necessary so that the yield to the date of computation (including all quarterly interest payments and the fair market value of any additional interest payments) does not exceed 3.35%. In no event will the Contingent Principal Amount be less than zero. The Contingent Principal Amount per PHONES will be increased on a quarterly basis to the extent that the Reference Shares Dividend Amount is less than $0.33.</w:t>
      </w:r>
    </w:p>
    <w:p>
      <w:pPr>
        <w:spacing w:after="0" w:line="216"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At maturity a holder will be entitled to receive for each PHONES the Maturity Amount. The "Maturity Amount" means the higher of (a) the Contingent Principal Amount per PHONES and (b) the sum of the Current Market Value of the Reference Shares attributable to a PHONES on the maturity date plus any unpaid quarterly payments of interest due per PHONES, plus, in either case, the Final Period Distribution attributable to one PHONES.</w:t>
      </w:r>
    </w:p>
    <w:p>
      <w:pPr>
        <w:spacing w:after="0" w:line="186"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"Final Period Distribution" means, in respect of (a) the maturity date, a distribution determined in accordance with clauses (2), (3) and (4) below and (b) a redemption date, a distribution determined in accordance with clauses (1), (2), (3) and (4) below. In the case of a redemption date in connection with a Rollover Offering, the distribution</w:t>
      </w:r>
    </w:p>
    <w:p>
      <w:pPr>
        <w:sectPr>
          <w:pgSz w:w="11900" w:h="16838" w:orient="portrait"/>
          <w:cols w:equalWidth="0" w:num="1">
            <w:col w:w="10219"/>
          </w:cols>
          <w:pgMar w:left="240" w:top="136" w:right="1440" w:bottom="0" w:gutter="0" w:footer="0" w:header="0"/>
        </w:sectPr>
      </w:pPr>
    </w:p>
    <w:bookmarkStart w:id="6" w:name="page7"/>
    <w:bookmarkEnd w:id="6"/>
    <w:p>
      <w:pPr>
        <w:ind w:right="2619"/>
        <w:spacing w:after="0" w:line="236" w:lineRule="auto"/>
        <w:rPr>
          <w:sz w:val="20"/>
          <w:szCs w:val="20"/>
          <w:color w:val="auto"/>
        </w:rPr>
      </w:pPr>
      <w:r>
        <w:rPr>
          <w:rFonts w:ascii="Courier New" w:cs="Courier New" w:eastAsia="Courier New" w:hAnsi="Courier New"/>
          <w:sz w:val="18"/>
          <w:szCs w:val="18"/>
          <w:color w:val="auto"/>
        </w:rPr>
        <w:t>determined in accordance with clause (4) shall be all dividends and distributions on or in respect of the Reference Shares which a holder of Reference Shares on the Pricing Date would be entitled to receive.</w:t>
      </w:r>
    </w:p>
    <w:p>
      <w:pPr>
        <w:spacing w:after="0" w:line="209" w:lineRule="exact"/>
        <w:rPr>
          <w:sz w:val="20"/>
          <w:szCs w:val="20"/>
          <w:color w:val="auto"/>
        </w:rPr>
      </w:pPr>
    </w:p>
    <w:p>
      <w:pPr>
        <w:ind w:left="2000" w:right="2199" w:hanging="412"/>
        <w:spacing w:after="0" w:line="237"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the scheduled redemption date of the PHONES is also a scheduled quarterly Interest Payment Date or (b) quarterly interest has been deferred for the then current quarterly dividend period, an amount equal to an annual rate of 1.75% on the original principal amount of the PHONES from the most recent scheduled Interest Payment Date to the date of redemption, plus</w:t>
      </w:r>
    </w:p>
    <w:p>
      <w:pPr>
        <w:spacing w:after="0" w:line="211" w:lineRule="exact"/>
        <w:rPr>
          <w:rFonts w:ascii="Courier New" w:cs="Courier New" w:eastAsia="Courier New" w:hAnsi="Courier New"/>
          <w:sz w:val="18"/>
          <w:szCs w:val="18"/>
          <w:color w:val="auto"/>
        </w:rPr>
      </w:pPr>
    </w:p>
    <w:p>
      <w:pPr>
        <w:ind w:left="2000" w:right="2419" w:hanging="412"/>
        <w:spacing w:after="0" w:line="237"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and distributions on or in respect of the Reference Shares declared by the applicable Reference Company and for which the record date falls during the period from the date of original issuance of the PHONES to the most recent scheduled Interest Payment Date and which have not been distributed to holders of Reference Shares prior to the most recent scheduled Interest Payment Date, plus</w:t>
      </w:r>
    </w:p>
    <w:p>
      <w:pPr>
        <w:spacing w:after="0" w:line="212" w:lineRule="exact"/>
        <w:rPr>
          <w:rFonts w:ascii="Courier New" w:cs="Courier New" w:eastAsia="Courier New" w:hAnsi="Courier New"/>
          <w:sz w:val="18"/>
          <w:szCs w:val="18"/>
          <w:color w:val="auto"/>
        </w:rPr>
      </w:pPr>
    </w:p>
    <w:p>
      <w:pPr>
        <w:ind w:left="2000" w:right="2419" w:hanging="412"/>
        <w:spacing w:after="0" w:line="237"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9" w:lineRule="exact"/>
        <w:rPr>
          <w:rFonts w:ascii="Courier New" w:cs="Courier New" w:eastAsia="Courier New" w:hAnsi="Courier New"/>
          <w:sz w:val="18"/>
          <w:szCs w:val="18"/>
          <w:color w:val="auto"/>
        </w:rPr>
      </w:pPr>
    </w:p>
    <w:p>
      <w:pPr>
        <w:ind w:left="2000" w:right="1999" w:hanging="412"/>
        <w:spacing w:after="0" w:line="237" w:lineRule="auto"/>
        <w:tabs>
          <w:tab w:leader="none" w:pos="20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 x (1 - 0.05n)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2860" w:right="1999" w:hanging="526"/>
        <w:spacing w:after="0" w:line="268" w:lineRule="auto"/>
        <w:tabs>
          <w:tab w:leader="none" w:pos="284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6"/>
          <w:szCs w:val="16"/>
          <w:color w:val="auto"/>
        </w:rPr>
        <w:t>all dividends and distributions on or in respect of the Reference Shares which a holder of Reference Shares on the applicable day would be entitled</w:t>
      </w:r>
    </w:p>
    <w:p>
      <w:pPr>
        <w:ind w:left="2860"/>
        <w:spacing w:after="0" w:line="233" w:lineRule="auto"/>
        <w:rPr>
          <w:sz w:val="20"/>
          <w:szCs w:val="20"/>
          <w:color w:val="auto"/>
        </w:rPr>
      </w:pPr>
      <w:r>
        <w:rPr>
          <w:rFonts w:ascii="Courier New" w:cs="Courier New" w:eastAsia="Courier New" w:hAnsi="Courier New"/>
          <w:sz w:val="18"/>
          <w:szCs w:val="18"/>
          <w:color w:val="auto"/>
        </w:rPr>
        <w:t>to receive, provided that a record date that</w:t>
      </w:r>
    </w:p>
    <w:p>
      <w:pPr>
        <w:ind w:left="2860"/>
        <w:spacing w:after="0"/>
        <w:rPr>
          <w:sz w:val="20"/>
          <w:szCs w:val="20"/>
          <w:color w:val="auto"/>
        </w:rPr>
      </w:pPr>
      <w:r>
        <w:rPr>
          <w:rFonts w:ascii="Courier New" w:cs="Courier New" w:eastAsia="Courier New" w:hAnsi="Courier New"/>
          <w:sz w:val="18"/>
          <w:szCs w:val="18"/>
          <w:color w:val="auto"/>
        </w:rPr>
        <w:t>occurs on a day that is not a scheduled Trading</w:t>
      </w:r>
    </w:p>
    <w:p>
      <w:pPr>
        <w:ind w:left="2860"/>
        <w:spacing w:after="0" w:line="237" w:lineRule="auto"/>
        <w:rPr>
          <w:sz w:val="20"/>
          <w:szCs w:val="20"/>
          <w:color w:val="auto"/>
        </w:rPr>
      </w:pPr>
      <w:r>
        <w:rPr>
          <w:rFonts w:ascii="Courier New" w:cs="Courier New" w:eastAsia="Courier New" w:hAnsi="Courier New"/>
          <w:sz w:val="18"/>
          <w:szCs w:val="18"/>
          <w:color w:val="auto"/>
        </w:rPr>
        <w:t>Day shall be deemed to have occurred on the next</w:t>
      </w:r>
    </w:p>
    <w:p>
      <w:pPr>
        <w:ind w:left="2860"/>
        <w:spacing w:after="0"/>
        <w:rPr>
          <w:sz w:val="20"/>
          <w:szCs w:val="20"/>
          <w:color w:val="auto"/>
        </w:rPr>
      </w:pPr>
      <w:r>
        <w:rPr>
          <w:rFonts w:ascii="Courier New" w:cs="Courier New" w:eastAsia="Courier New" w:hAnsi="Courier New"/>
          <w:sz w:val="18"/>
          <w:szCs w:val="18"/>
          <w:color w:val="auto"/>
        </w:rPr>
        <w:t>preceding scheduled Trading Day; and</w:t>
      </w:r>
    </w:p>
    <w:p>
      <w:pPr>
        <w:spacing w:after="0" w:line="206" w:lineRule="exact"/>
        <w:rPr>
          <w:sz w:val="20"/>
          <w:szCs w:val="20"/>
          <w:color w:val="auto"/>
        </w:rPr>
      </w:pPr>
    </w:p>
    <w:p>
      <w:pPr>
        <w:ind w:left="2860" w:right="2519" w:hanging="526"/>
        <w:spacing w:after="0" w:line="237" w:lineRule="auto"/>
        <w:tabs>
          <w:tab w:leader="none" w:pos="2840" w:val="left"/>
        </w:tabs>
        <w:rPr>
          <w:sz w:val="20"/>
          <w:szCs w:val="20"/>
          <w:color w:val="auto"/>
        </w:rPr>
      </w:pPr>
      <w:r>
        <w:rPr>
          <w:rFonts w:ascii="Courier New" w:cs="Courier New" w:eastAsia="Courier New" w:hAnsi="Courier New"/>
          <w:sz w:val="18"/>
          <w:szCs w:val="18"/>
          <w:color w:val="auto"/>
        </w:rPr>
        <w:t>n =</w:t>
        <w:tab/>
        <w:t>the number of scheduled trading days that have elapsed in the Averaging Period with the first Trading Day of the Averaging Period being counted as zero,</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 holder of Debentures is only entitled to receive distributions determined in accordance with clauses (2), (3) or (4) to the extent actually distributed by the Reference Company. Cash amounts paid by a Reference Company on Reference Shares as described in clauses (2), (3) or (4) before the redemption date or the maturity date, as the case may be, shall be paid on the redemption date or the maturity date, as the case may be. All other property distributed, or the cash value of the property, shall be distributed within 20 business days after it is distributed on the Reference Shares.</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Upon maturity of the PHONES the Company shall deliver to the Trustee an Officers' Certificate informing the Trustee of the applicable Maturity Amount per PHONES and in the aggregate for all outstanding PHONES and its calculation thereof and directing the Trustee to adjust its records and to request DTC to adjust its records.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Exchange Option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Holders of the PHONES may at any time after March 17, 2000 exchange a PHONES for an amount of cash equal to 95% (the "Early Exchange Ratio") of the Exchange Market Value of the Reference Shares attributable to one PHONES. If the maturity of the PHONES is extended to May 15, 2059, the Early Exchange Ratio shall be 100% and holders may exchange a PHONES at any time following May 15, 2029 for an amount of cash equal to the Exchange Market Value of the Reference Shares attributable to one PHONES. The Company will pay a holder the amount due upon exchange as soon as reasonably practicable after a holder delivers an exchange notice to the Trustee, but in no event earlier than three Trading Days after the date of such notice or later than ten Trading Days after the date of such notice.</w:t>
      </w:r>
    </w:p>
    <w:p>
      <w:pPr>
        <w:sectPr>
          <w:pgSz w:w="11900" w:h="16838" w:orient="portrait"/>
          <w:cols w:equalWidth="0" w:num="1">
            <w:col w:w="10219"/>
          </w:cols>
          <w:pgMar w:left="240" w:top="142" w:right="1440" w:bottom="0" w:gutter="0" w:footer="0" w:header="0"/>
        </w:sectPr>
      </w:pPr>
    </w:p>
    <w:bookmarkStart w:id="7" w:name="page8"/>
    <w:bookmarkEnd w:id="7"/>
    <w:p>
      <w:pPr>
        <w:ind w:right="1879" w:firstLine="1580"/>
        <w:spacing w:after="0" w:line="238" w:lineRule="auto"/>
        <w:rPr>
          <w:sz w:val="20"/>
          <w:szCs w:val="20"/>
          <w:color w:val="auto"/>
        </w:rPr>
      </w:pPr>
      <w:r>
        <w:rPr>
          <w:rFonts w:ascii="Courier New" w:cs="Courier New" w:eastAsia="Courier New" w:hAnsi="Courier New"/>
          <w:sz w:val="18"/>
          <w:szCs w:val="18"/>
          <w:color w:val="auto"/>
        </w:rPr>
        <w:t>"Exchange Market Value" means the Closing Price on the Trading Day following the date a holder of PHONES delivers an exchange notice to the Trustee, unless more than 1,000,000 PHONES have been delivered for exchange on such date. If more than 1,000,000 PHONES have been delivered for exchange, then the Exchange Market Value shall be the average Closing Price on the five Trading Days following such date. If more than 1,000,000 PHONES are delivered for exchange on any one day, the Company shall give notice of that fact by issuing a press release prior to 9:00 a.m. New York City time on the next Trading Day, by providing notice to DTC for dissemination through the DTC broadcast facility and by providing notice to the Trustee. The Company's failure to provide these notices, however, will not affect the determination of Exchange Market Value as described above.</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the PHONES are held through DTC, a holder of PHONES may exercise such right through the relevant direct participant in DTC through the DTC ATOP system by delivering an agent's message and delivering the holder's PHONES to the Trustee's DTC participant account. If the PHONES are held in certificated form, a holder may exercise such right of exchange as follows: the holder shall (i) complete and manually sign an exchange notice in the form available from the Trustee and deliver such notice to the Trustee at the office maintained by the Trustee for such purpose, (ii) surrender the Debentures to the Trustee, (iii) if required, furnish appropriate endorsements and transfer documents, and (iv) if required, pay all transfer or similar taxes.</w:t>
      </w:r>
    </w:p>
    <w:p>
      <w:pPr>
        <w:spacing w:after="0" w:line="216"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By 12:00 noon New York City time on each Business Day following receipt by the Trustee of notification from DTC that they have received an agent's message from a DTC participant electing to exercise their Exchange Option with respect to their PHONES and delivery of such PHONES into the Trustee's DTC participant account or following receipt of a complete manually signed exchange notice and receipt of Debentures from a holder, the Trustee shall notify the Company of the amount of PHONES which were tendered. The Company shall deliver an Officers' Certificate to the Trustee setting forth the exact amount to be paid to the tendering holder and shall deposit such amount with the Trustee. Upon receipt of such payment from the Company, the Trustee shall pay DTC, as soon as practicable or in the case of PHONES that are held in certificated form, as directed by the tendering holder.</w:t>
      </w:r>
    </w:p>
    <w:p>
      <w:pPr>
        <w:spacing w:after="0" w:line="207" w:lineRule="exact"/>
        <w:rPr>
          <w:sz w:val="20"/>
          <w:szCs w:val="20"/>
          <w:color w:val="auto"/>
        </w:rPr>
      </w:pPr>
    </w:p>
    <w:p>
      <w:pPr>
        <w:ind w:right="1999" w:firstLine="1685"/>
        <w:spacing w:after="0" w:line="236" w:lineRule="auto"/>
        <w:rPr>
          <w:sz w:val="20"/>
          <w:szCs w:val="20"/>
          <w:color w:val="auto"/>
        </w:rPr>
      </w:pPr>
      <w:r>
        <w:rPr>
          <w:rFonts w:ascii="Courier New" w:cs="Courier New" w:eastAsia="Courier New" w:hAnsi="Courier New"/>
          <w:sz w:val="18"/>
          <w:szCs w:val="18"/>
          <w:color w:val="auto"/>
        </w:rPr>
        <w:t>Pursuant to the Indenture, the date on which all of the foregoing requirements have been satisfied is the redemption date with respect to the Debentures delivered for exchange.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The Company may redeem the Debentures in whole but not in part at a redemption price per PHONES (the "Redemption Amount") equal to the sum of</w:t>
      </w:r>
    </w:p>
    <w:p>
      <w:pPr>
        <w:ind w:right="199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higher of the Contingent Principal Amount per PHONES or the sum of the Current Market Value of the Reference Shares attributable to a PHONES plus any deferred quarterly payments of interest, plus, in either case, the Final Period Distribution and (b) $3.71531 if the Company redeems the PHONES prior to May 15, 2000, $2.47688 if the Company redeems the PHONES prior to May 15, 2001, $1.23844 if the Company redeems the PHONES prior to May 15, 2002, or zero if the Company redeems the PHONES any time on or after May 15, 2002.</w:t>
      </w:r>
    </w:p>
    <w:p>
      <w:pPr>
        <w:spacing w:after="0" w:line="18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The "Current Market Value" (other than in the case of a Rollover Offering, as defined below) is defined as the average Closing Price per Reference Share on the twenty Trading Days (the "Averaging Period") immediately prior to (but not including) the fifth Business Day preceding the redemption date; provided, however, that for purposes of determining the payment required upon a redemption in connection with a Rollover Offering, "Current Market Value" means the Closing Price per Reference Share on the Trading Day immediately preceding the date that the Rollover Offering is priced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the Company. "Rollover Offering" means an offering or refinancing of the PHONES or sale of the Reference Shares effected not earlier than May 15, 2002 by means of a completed public offering or offerings (which may include one or more exchange offers) by the Company. The Trustee will notify holders of any election to redeem such holder's PHONES in connection with a Rollover Offering not less than 30 Business Days nor more than 60 Business Days prior to the redemption date.</w:t>
      </w:r>
    </w:p>
    <w:p>
      <w:pPr>
        <w:spacing w:after="0" w:line="200" w:lineRule="exact"/>
        <w:rPr>
          <w:sz w:val="20"/>
          <w:szCs w:val="20"/>
          <w:color w:val="auto"/>
        </w:rPr>
      </w:pPr>
    </w:p>
    <w:p>
      <w:pPr>
        <w:spacing w:after="0" w:line="396" w:lineRule="exact"/>
        <w:rPr>
          <w:sz w:val="20"/>
          <w:szCs w:val="20"/>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w:t>
      </w:r>
    </w:p>
    <w:p>
      <w:pPr>
        <w:sectPr>
          <w:pgSz w:w="11900" w:h="16838" w:orient="portrait"/>
          <w:cols w:equalWidth="0" w:num="1">
            <w:col w:w="10219"/>
          </w:cols>
          <w:pgMar w:left="240" w:top="142" w:right="1440" w:bottom="0" w:gutter="0" w:footer="0" w:header="0"/>
        </w:sectPr>
      </w:pPr>
    </w:p>
    <w:bookmarkStart w:id="8" w:name="page9"/>
    <w:bookmarkEnd w:id="8"/>
    <w:p>
      <w:pPr>
        <w:ind w:right="2099"/>
        <w:spacing w:after="0" w:line="270" w:lineRule="auto"/>
        <w:rPr>
          <w:sz w:val="20"/>
          <w:szCs w:val="20"/>
          <w:color w:val="auto"/>
        </w:rPr>
      </w:pPr>
      <w:r>
        <w:rPr>
          <w:rFonts w:ascii="Courier New" w:cs="Courier New" w:eastAsia="Courier New" w:hAnsi="Courier New"/>
          <w:sz w:val="16"/>
          <w:szCs w:val="16"/>
          <w:color w:val="auto"/>
        </w:rPr>
        <w:t>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In the event that no such quotation is available for any day, the Board of Directors shall be entitled to determine the Closing Price on the basis of such quotations as it considers appropriate. For purposes of determining the redemption price, the Closing Price of any security on any day prior to any "ex-dividend" date occurring during the relevant five Trading Day period for any dividend paid or to be paid with respect to such security shall be reduced by the amount of such dividend.</w:t>
      </w:r>
    </w:p>
    <w:p>
      <w:pPr>
        <w:spacing w:after="0" w:line="38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In case of any redemption, the Company shall give 33 Business Days notice to the Trustee (unless such shorter period shall be satisfactory to the Trustee) together with an Officers' Certificate setting forth on a per PHONES and an aggregate basis, the Redemption Amount, and the Contingent Principal Amount, Current Market Value of the Reference Shares, deferred quarterly interest payments and the Final Period Distribution. The Company shall give holders 30 Business Days notice before any redemption of PHONES and will irrevocably deposit with the Trustee sufficient funds to pay the Redemption Amount for the PHONES. Distributions to be paid on or before the redemption date for the PHONES will be payable to the holders on the record dates for the related dates of distribution, except to the extent such distributions are payable as part of the Final Period Distribution.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Once notice of redemption is given and funds are irrevocably deposited, interest on the PHONES will cease to accrue on and after the date of redemption and all rights of the holders of the PHONES called for redemption will cease, except for the right of holders to receive the Redemption Amount (but without interest on such Redemption Amount), including, if applicable, the Final Period Distribution.</w:t>
      </w:r>
    </w:p>
    <w:p>
      <w:pPr>
        <w:spacing w:after="0" w:line="210"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If any redemption date is not a Business Day, then the Redemption Amount will be payable on the next Business Day (and without any interest or other payment in respect of any such delay). However, if the next Business Day is in the next calendar year, the Redemption Amount will be payable on the preceding Business Day. If payment of the Redemption Amount for any PHONES called for redemption is improperly withheld or refused and not paid by the Company, interest on the PHONES will continue to accrue at an annual rate of 9.30% from the original redemption date scheduled to the actual date of payment. In such a case, the actual payment date will be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Reference Share Adjustments</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For purposes hereof "Reference Company" means AT&amp;T Corp., a New York corporation, and any other issuer of a Reference Share. A "Reference Share" means, collectively (a) one share of AT&amp;T common stock and (b) each share of publicly traded equity securities received by a holder of a Reference Share in respect of such share of the AT&amp;T common stock or other Reference Shares (either directly or as the result of successive applications of this paragraph) upon the following events: (i) the distribution on or in respect of a Reference Share in Reference Shares, (ii) the combination of Reference Shares into a smaller number of shares or other units, (iii) the subdivision of outstanding shares or other units of Reference Shares, (iv) the conversion or reclassification of Reference Shares by issuance or exchange of other securities, (v) any consolidation or merger of a Reference Company, or any surviving entity or subsequent surviving entity of a Reference Company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193" w:lineRule="exact"/>
        <w:rPr>
          <w:sz w:val="20"/>
          <w:szCs w:val="20"/>
          <w:color w:val="auto"/>
        </w:rPr>
      </w:pPr>
    </w:p>
    <w:p>
      <w:pPr>
        <w:ind w:right="1999" w:firstLine="8"/>
        <w:spacing w:after="0" w:line="273"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statutory exchange of securities of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71" w:lineRule="auto"/>
        <w:rPr>
          <w:sz w:val="20"/>
          <w:szCs w:val="20"/>
          <w:color w:val="auto"/>
        </w:rPr>
      </w:pPr>
      <w:r>
        <w:rPr>
          <w:rFonts w:ascii="Courier New" w:cs="Courier New" w:eastAsia="Courier New" w:hAnsi="Courier New"/>
          <w:sz w:val="16"/>
          <w:szCs w:val="16"/>
          <w:color w:val="auto"/>
        </w:rPr>
        <w:t>exchange is not exchanged for cash, securities or other property of the Reference Company or another corporation), and (vii) any liquidation, dissolution or winding up of the Reference Company or any Reference Company Successor. As described above under "Interest and Additional Interest," the Company will pay as Additional Interest to holders of the Debentures any property received in distribution on or in respect of a Reference Share, unless it is also a Reference Share, in which case it shall become part of a Reference Share. Upon any distribution of fractional shares or units of securities, other than fractional Reference Shares, the Company shall pay the holders cash in lieu of distribution of such fractional shares or other units.</w:t>
      </w:r>
    </w:p>
    <w:p>
      <w:pPr>
        <w:spacing w:after="0" w:line="38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During the pendency of a bona fide tender offer for more than 50% of the Reference Shares, the Early Exchange Ratio will increase to 100%. A tender offer shall only be deemed to be made if (a) made for more than 50% of the Reference Shares issued by any Reference Company and (b) the Current Market Value of the Reference Shares that are the subject of the tender offer is more than 50% of the Current Market Value of all Reference Shares by application of the definition of "Current Market Value" as if the term "redemption date" in the definition was replaced by "date of announcement of the tender offer." No other adjustments will be made in the case of a tender or exchange offer for all or any portion of the Reference Shares.</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In case an Event of Default, as defined in the Indenture, shall occur and be continuing, the Maturity Amount of all PHONES then outstanding under the Indenture may be declared, or may become, due and payable upon the conditions and in the manner and with the effect provided in the Indenture.</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Amount Payable upon Bankruptcy</w:t>
      </w:r>
    </w:p>
    <w:p>
      <w:pPr>
        <w:spacing w:after="0" w:line="207"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Upon dissolution, winding-up, liquidation or reorganization, whether voluntary or involuntary or in bankruptcy, insolvency, receivership or other similar proceedings in respect of the Company, holders of the PHONES should be entitled to a claim against the Company in an amount equal to the higher of (a) the Contingent Principal Amount of the PHONES or (b) the sum of the Current Market Value (without giving effect to the provisions relating to Rollover Offerings) of the Reference Shares plus any deferred quarterly payments of interest, plus, in either case, the Final Period Distribution.</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Calculations in Respect of the PHONES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Company will be responsible for making all calculations called for under the PHONES. These calculations include, but are not limited to, determination of the Contingent Principal Amount of the PHONES; the Current Market Value of Reference Shares; the Exchange Market Value of Reference Shares; the Final Period Distribution on the PHONES; the cash value of any property distributed on the Reference Shares; the composition of a Reference Share; and the amount of accrued interest payable upon redemption or at maturity of the PHONES.</w:t>
      </w:r>
    </w:p>
    <w:p>
      <w:pPr>
        <w:spacing w:after="0" w:line="212"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The Company must make all these calculations in good faith and such calculations are final and binding on holders of the PHONES, absent manifest error. The Company will provide a schedule of its calculations to the Trustee and the Trustee is entitled to rely upon the accuracy of such calculations, without independent verification. The Trustee shall be entitled to conclusively rely on the accuracy of the information and calculations contained in each Officers' Certificate delivered under this Debenture and shall have no responsibility for verifying the accuracy thereof.</w:t>
      </w:r>
    </w:p>
    <w:p>
      <w:pPr>
        <w:spacing w:after="0" w:line="18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Modifications</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To the extent permitted by, and as provided in the Indenture, modifications or alterations of the Indenture, or of any indenture supplemental thereto, and of the rights and obligations of the Company and of the holders of the Securities, may be made by the Company with the consent of the holders of not less than 66 2/3% of the principal amount (for the purposes of the PHONES, the principal amount of the PHONES for consenting holders and all holders shall be calculated by reference to the original principal amount of such PHONES) of the Securities then Outstanding of each series affected thereby; provided, however, that no such modification or alteration shall (i) extend the time or times of payment of the principal of, premium, if any, or the interest on, any Security, or reduce the principal amount or premium, if any, or the rate of interest on, any Security (and/or such other amount or amounts as any Securities or supplemental indentures with respect thereto may provide to be due and payable upon declaration of acceleration of the maturity thereof pursuant to Section 7.1 of the Indenture) or change the currency of payment of principal of, premium, if any, or interest on, any Security or reduce any amount payable on redemption thereof, or alter or impair the right to convert the same at the rate and upon the terms provided in the Indenture, or alter or impair the right to require redemption at the option of the</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holder, without the consent of the holder of each Security so affected, or</w:t>
      </w:r>
    </w:p>
    <w:p>
      <w:pPr>
        <w:spacing w:after="0" w:line="4" w:lineRule="exact"/>
        <w:rPr>
          <w:sz w:val="20"/>
          <w:szCs w:val="20"/>
          <w:color w:val="auto"/>
        </w:rPr>
      </w:pPr>
    </w:p>
    <w:p>
      <w:pPr>
        <w:ind w:right="1879" w:firstLine="8"/>
        <w:spacing w:after="0" w:line="238"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Securities, the vote or consent of the holders of which, is required for such modifications and alterations, without the consent of the holders of all Securities then Outstanding of such Series under the Indenture. It is also provided in the Indenture that the holders of a majority in aggregate principal amount (the principal amount of the PHONES for consenting holders and all holders shall be calculated by reference to the original principal amount of such PHONES) of the PHONES then Outstanding may on behalf of the holders of all the PHONES under circumstances specified in the Indenture, waive a past Event of Default under the Indenture and its consequences, except a default in the payment of the principal of, premium, if any, or interest on the PHONES.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in this Debenture.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Except with respect to the rights of the holders of Senior Indebtedness set forth in this Debenture and in the Indenture, no reference herein to the Indenture and no provision of this Debenture or of the Indenture shall alter or impair the obligation of the Company, which is absolute and unconditional, to pay the principal of, premium, if any, or interest on this Debenture at the place, at the respective times, at the rate, and in the coin or currency herein prescribed.</w:t>
      </w:r>
    </w:p>
    <w:p>
      <w:pPr>
        <w:spacing w:after="0" w:line="211" w:lineRule="exact"/>
        <w:rPr>
          <w:sz w:val="20"/>
          <w:szCs w:val="20"/>
          <w:color w:val="auto"/>
        </w:rPr>
      </w:pPr>
    </w:p>
    <w:p>
      <w:pPr>
        <w:ind w:right="2739" w:firstLine="1580"/>
        <w:spacing w:after="0" w:line="290" w:lineRule="auto"/>
        <w:rPr>
          <w:sz w:val="20"/>
          <w:szCs w:val="20"/>
          <w:color w:val="auto"/>
        </w:rPr>
      </w:pPr>
      <w:r>
        <w:rPr>
          <w:rFonts w:ascii="Courier New" w:cs="Courier New" w:eastAsia="Courier New" w:hAnsi="Courier New"/>
          <w:sz w:val="16"/>
          <w:szCs w:val="16"/>
          <w:color w:val="auto"/>
        </w:rPr>
        <w:t>The Indenture permits covenant defeasance (but not legal defeasance) of the PHONES pursuant to Section 6.1(b) of the Indenture.</w:t>
      </w:r>
    </w:p>
    <w:p>
      <w:pPr>
        <w:spacing w:after="0" w:line="170"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The Indenture contains provisions setting forth certain conditions to the institution of proceedings by holders of the PHONES with respect to this Debenture and the Indenture and the enforcement of remedies under this Debenture and the Indenture, including, without limitation, the appointment of a receiver or trustee. However, no reference herein to the Indenture and no provision of this Debenture or the Indenture shall impair or affect the right of any holder of any Debenture to receive payment of the principal of, premium, if any, and interest on such Debenture on or after the respective dates expressed in this Debenture, or to institute suit for the enforcement of any such payment on or after such respective dates and any such right or such enforcement thereof shall not require the consent of any other such holder.</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or Debentures of authorized denominations for the same aggregate principal amount will be issued to the transferee or transferees in exchange herefor; and this Debenture may be in like manner exchanged for one or more Debentures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Prior to due presentment of this Debenture for registration or transfer,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210"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No recourse shall be had for the payment of the principal of, premium, if any,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pacing w:after="0" w:line="188" w:lineRule="exact"/>
        <w:rPr>
          <w:sz w:val="20"/>
          <w:szCs w:val="20"/>
          <w:color w:val="auto"/>
        </w:rPr>
      </w:pPr>
    </w:p>
    <w:p>
      <w:pPr>
        <w:ind w:right="1879" w:firstLine="1580"/>
        <w:spacing w:after="0" w:line="272" w:lineRule="auto"/>
        <w:rPr>
          <w:sz w:val="20"/>
          <w:szCs w:val="20"/>
          <w:color w:val="auto"/>
        </w:rPr>
      </w:pPr>
      <w:r>
        <w:rPr>
          <w:rFonts w:ascii="Courier New" w:cs="Courier New" w:eastAsia="Courier New" w:hAnsi="Courier New"/>
          <w:sz w:val="16"/>
          <w:szCs w:val="16"/>
          <w:color w:val="auto"/>
        </w:rPr>
        <w:t>The Indenture and this Debenture shall be deemed to be a contract made under the laws of the Commonwealth of Pennsylvania, and for all purposes shall be construed in accordance with the laws of said jurisdiction, except that the rights, duties, obligations, immunities and limitations of rights of the Trustee pursuant to the Indenture and the Debenture shall be governed by and construed in accordance with the laws of the State of New York.</w:t>
      </w:r>
    </w:p>
    <w:p>
      <w:pPr>
        <w:sectPr>
          <w:pgSz w:w="11900" w:h="16838" w:orient="portrait"/>
          <w:cols w:equalWidth="0" w:num="1">
            <w:col w:w="10219"/>
          </w:cols>
          <w:pgMar w:left="240" w:top="136" w:right="1440" w:bottom="0" w:gutter="0" w:footer="0" w:header="0"/>
        </w:sectPr>
      </w:pPr>
    </w:p>
    <w:bookmarkStart w:id="11" w:name="page12"/>
    <w:bookmarkEnd w:id="11"/>
    <w:p>
      <w:pPr>
        <w:ind w:right="2099" w:firstLine="1580"/>
        <w:spacing w:after="0" w:line="290" w:lineRule="auto"/>
        <w:rPr>
          <w:sz w:val="20"/>
          <w:szCs w:val="20"/>
          <w:color w:val="auto"/>
        </w:rPr>
      </w:pPr>
      <w:r>
        <w:rPr>
          <w:rFonts w:ascii="Courier New" w:cs="Courier New" w:eastAsia="Courier New" w:hAnsi="Courier New"/>
          <w:sz w:val="16"/>
          <w:szCs w:val="16"/>
          <w:color w:val="auto"/>
        </w:rPr>
        <w:t>All capitalized terms used in this Debenture and not otherwise defined herein shall have the meanings ascribed to them in the Indenture.</w:t>
      </w:r>
    </w:p>
    <w:p>
      <w:pPr>
        <w:spacing w:after="0" w:line="372"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Debenture, shall be construed as though they were written out in full according to applicable laws or regulations:</w:t>
      </w:r>
    </w:p>
    <w:p>
      <w:pPr>
        <w:spacing w:after="0" w:line="203"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TEN COM - as tenants in common</w:t>
      </w:r>
      <w:r>
        <w:rPr>
          <w:sz w:val="20"/>
          <w:szCs w:val="20"/>
          <w:color w:val="auto"/>
        </w:rPr>
        <w:tab/>
      </w:r>
      <w:r>
        <w:rPr>
          <w:rFonts w:ascii="Courier New" w:cs="Courier New" w:eastAsia="Courier New" w:hAnsi="Courier New"/>
          <w:sz w:val="16"/>
          <w:szCs w:val="16"/>
          <w:color w:val="auto"/>
        </w:rPr>
        <w:t>UNIF GIFT MIN ACT-..........Custodian........</w:t>
      </w:r>
    </w:p>
    <w:p>
      <w:pPr>
        <w:spacing w:after="0"/>
        <w:tabs>
          <w:tab w:leader="none" w:pos="5780" w:val="left"/>
          <w:tab w:leader="none" w:pos="7580" w:val="left"/>
        </w:tabs>
        <w:rPr>
          <w:sz w:val="20"/>
          <w:szCs w:val="20"/>
          <w:color w:val="auto"/>
        </w:rPr>
      </w:pPr>
      <w:r>
        <w:rPr>
          <w:rFonts w:ascii="Courier New" w:cs="Courier New" w:eastAsia="Courier New" w:hAnsi="Courier New"/>
          <w:sz w:val="18"/>
          <w:szCs w:val="18"/>
          <w:color w:val="auto"/>
        </w:rPr>
        <w:t>TEN ENT - as tenants by the entireties</w:t>
      </w:r>
      <w:r>
        <w:rPr>
          <w:sz w:val="20"/>
          <w:szCs w:val="20"/>
          <w:color w:val="auto"/>
        </w:rPr>
        <w:tab/>
      </w: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6"/>
          <w:szCs w:val="16"/>
          <w:color w:val="auto"/>
        </w:rPr>
        <w:t>(Minor)</w:t>
      </w:r>
    </w:p>
    <w:p>
      <w:pPr>
        <w:spacing w:after="0"/>
        <w:tabs>
          <w:tab w:leader="none" w:pos="840" w:val="left"/>
          <w:tab w:leader="none" w:pos="5140" w:val="left"/>
        </w:tabs>
        <w:rPr>
          <w:sz w:val="20"/>
          <w:szCs w:val="20"/>
          <w:color w:val="auto"/>
        </w:rPr>
      </w:pPr>
      <w:r>
        <w:rPr>
          <w:rFonts w:ascii="Courier New" w:cs="Courier New" w:eastAsia="Courier New" w:hAnsi="Courier New"/>
          <w:sz w:val="18"/>
          <w:szCs w:val="18"/>
          <w:color w:val="auto"/>
        </w:rPr>
        <w:t>JT TEN</w:t>
        <w:tab/>
        <w:t>- as joint tenants with right of</w:t>
      </w:r>
      <w:r>
        <w:rPr>
          <w:sz w:val="20"/>
          <w:szCs w:val="20"/>
          <w:color w:val="auto"/>
        </w:rPr>
        <w:tab/>
      </w:r>
      <w:r>
        <w:rPr>
          <w:rFonts w:ascii="Courier New" w:cs="Courier New" w:eastAsia="Courier New" w:hAnsi="Courier New"/>
          <w:sz w:val="16"/>
          <w:szCs w:val="16"/>
          <w:color w:val="auto"/>
        </w:rPr>
        <w:t>under Uniform Gifts to Minors</w:t>
      </w:r>
    </w:p>
    <w:p>
      <w:pPr>
        <w:ind w:left="1060"/>
        <w:spacing w:after="0"/>
        <w:tabs>
          <w:tab w:leader="none" w:pos="5140" w:val="left"/>
        </w:tabs>
        <w:rPr>
          <w:sz w:val="20"/>
          <w:szCs w:val="20"/>
          <w:color w:val="auto"/>
        </w:rPr>
      </w:pPr>
      <w:r>
        <w:rPr>
          <w:rFonts w:ascii="Courier New" w:cs="Courier New" w:eastAsia="Courier New" w:hAnsi="Courier New"/>
          <w:sz w:val="18"/>
          <w:szCs w:val="18"/>
          <w:color w:val="auto"/>
        </w:rPr>
        <w:t>survivorship and not as tenants</w:t>
      </w:r>
      <w:r>
        <w:rPr>
          <w:sz w:val="20"/>
          <w:szCs w:val="20"/>
          <w:color w:val="auto"/>
        </w:rPr>
        <w:tab/>
      </w:r>
      <w:r>
        <w:rPr>
          <w:rFonts w:ascii="Courier New" w:cs="Courier New" w:eastAsia="Courier New" w:hAnsi="Courier New"/>
          <w:sz w:val="16"/>
          <w:szCs w:val="16"/>
          <w:color w:val="auto"/>
        </w:rPr>
        <w:t>Act</w:t>
      </w:r>
    </w:p>
    <w:p>
      <w:pPr>
        <w:ind w:left="1060"/>
        <w:spacing w:after="0"/>
        <w:tabs>
          <w:tab w:leader="none" w:pos="5580" w:val="left"/>
        </w:tabs>
        <w:rPr>
          <w:sz w:val="20"/>
          <w:szCs w:val="20"/>
          <w:color w:val="auto"/>
        </w:rPr>
      </w:pPr>
      <w:r>
        <w:rPr>
          <w:rFonts w:ascii="Courier New" w:cs="Courier New" w:eastAsia="Courier New" w:hAnsi="Courier New"/>
          <w:sz w:val="18"/>
          <w:szCs w:val="18"/>
          <w:color w:val="auto"/>
        </w:rPr>
        <w:t>in common</w:t>
      </w:r>
      <w:r>
        <w:rPr>
          <w:sz w:val="20"/>
          <w:szCs w:val="20"/>
          <w:color w:val="auto"/>
        </w:rPr>
        <w:tab/>
      </w:r>
      <w:r>
        <w:rPr>
          <w:rFonts w:ascii="Courier New" w:cs="Courier New" w:eastAsia="Courier New" w:hAnsi="Courier New"/>
          <w:sz w:val="16"/>
          <w:szCs w:val="16"/>
          <w:color w:val="auto"/>
        </w:rPr>
        <w:t>---------------------</w:t>
      </w:r>
    </w:p>
    <w:p>
      <w:pPr>
        <w:ind w:left="6320"/>
        <w:spacing w:after="0"/>
        <w:rPr>
          <w:sz w:val="20"/>
          <w:szCs w:val="20"/>
          <w:color w:val="auto"/>
        </w:rPr>
      </w:pPr>
      <w:r>
        <w:rPr>
          <w:rFonts w:ascii="Courier New" w:cs="Courier New" w:eastAsia="Courier New" w:hAnsi="Courier New"/>
          <w:sz w:val="18"/>
          <w:szCs w:val="18"/>
          <w:color w:val="auto"/>
        </w:rPr>
        <w:t>(State)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 Value Received, ___________ hereby sell(s), assign(s) and</w:t>
      </w:r>
    </w:p>
    <w:p>
      <w:pPr>
        <w:spacing w:after="0" w:line="238" w:lineRule="auto"/>
        <w:rPr>
          <w:sz w:val="20"/>
          <w:szCs w:val="20"/>
          <w:color w:val="auto"/>
        </w:rPr>
      </w:pPr>
      <w:r>
        <w:rPr>
          <w:rFonts w:ascii="Courier New" w:cs="Courier New" w:eastAsia="Courier New" w:hAnsi="Courier New"/>
          <w:sz w:val="18"/>
          <w:szCs w:val="18"/>
          <w:color w:val="auto"/>
        </w:rPr>
        <w:t>transfer(s) unto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w:t>
      </w:r>
    </w:p>
    <w:p>
      <w:pPr>
        <w:ind w:left="320"/>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4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INCLUDING ZIP CODE, OF</w:t>
      </w:r>
    </w:p>
    <w:p>
      <w:pPr>
        <w:spacing w:after="0"/>
        <w:rPr>
          <w:sz w:val="20"/>
          <w:szCs w:val="20"/>
          <w:color w:val="auto"/>
        </w:rPr>
      </w:pPr>
      <w:r>
        <w:rPr>
          <w:rFonts w:ascii="Courier New" w:cs="Courier New" w:eastAsia="Courier New" w:hAnsi="Courier New"/>
          <w:sz w:val="18"/>
          <w:szCs w:val="18"/>
          <w:color w:val="auto"/>
        </w:rPr>
        <w:t>ASSIGNEE)</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within Debenture and all rights thereunder, irrevocably constituting and appointing</w:t>
      </w:r>
    </w:p>
    <w:p>
      <w:pPr>
        <w:spacing w:after="0" w:line="20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 to transfer said Debenture on the books of the within named Company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740" w:right="2319" w:hanging="939"/>
        <w:spacing w:after="0" w:line="275" w:lineRule="auto"/>
        <w:tabs>
          <w:tab w:leader="none" w:pos="2720" w:val="left"/>
        </w:tabs>
        <w:rPr>
          <w:sz w:val="20"/>
          <w:szCs w:val="20"/>
          <w:color w:val="auto"/>
        </w:rPr>
      </w:pPr>
      <w:r>
        <w:rPr>
          <w:rFonts w:ascii="Courier New" w:cs="Courier New" w:eastAsia="Courier New" w:hAnsi="Courier New"/>
          <w:sz w:val="16"/>
          <w:szCs w:val="16"/>
          <w:color w:val="auto"/>
        </w:rPr>
        <w:t>NOTICE:</w:t>
        <w:tab/>
        <w:t>THE SIGNATURE TO THIS ASSIGNMENT MUST CORRESPOND WITH THE NAME AS WRITTEN UPON THE FACE OF THE CERTIFICATE IN EVERY PARTICULAR, WITHOUT ALTERATION OR ENLARGEMENT OR ANY CHANGE WHATEVER.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4"/>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6"/>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2020-02-22T03:00:50Z</dcterms:created>
  <dcterms:modified xsi:type="dcterms:W3CDTF">2020-02-22T03:00:50Z</dcterms:modified>
</cp:coreProperties>
</file>