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20" w:type="dxa"/>
            <w:vAlign w:val="bottom"/>
          </w:tcPr>
          <w:p>
            <w:pPr>
              <w:jc w:val="center"/>
              <w:ind w:left="1215"/>
              <w:spacing w:after="0"/>
              <w:rPr>
                <w:sz w:val="20"/>
                <w:szCs w:val="20"/>
                <w:color w:val="auto"/>
              </w:rPr>
            </w:pPr>
            <w:r>
              <w:rPr>
                <w:rFonts w:ascii="Times New Roman" w:cs="Times New Roman" w:eastAsia="Times New Roman" w:hAnsi="Times New Roman"/>
                <w:sz w:val="14"/>
                <w:szCs w:val="14"/>
                <w:b w:val="1"/>
                <w:bCs w:val="1"/>
                <w:color w:val="auto"/>
                <w:w w:val="98"/>
              </w:rPr>
              <w:t>UNITED STATES</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36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tc>
      </w:tr>
      <w:tr>
        <w:trPr>
          <w:trHeight w:val="186"/>
        </w:trPr>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20" w:type="dxa"/>
            <w:vAlign w:val="bottom"/>
          </w:tcPr>
          <w:p>
            <w:pPr>
              <w:jc w:val="center"/>
              <w:ind w:left="1215"/>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64"/>
        </w:trPr>
        <w:tc>
          <w:tcPr>
            <w:tcW w:w="1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0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60" w:type="dxa"/>
            <w:vAlign w:val="bottom"/>
          </w:tcPr>
          <w:p>
            <w:pPr>
              <w:spacing w:after="0"/>
              <w:rPr>
                <w:sz w:val="5"/>
                <w:szCs w:val="5"/>
                <w:color w:val="auto"/>
              </w:rPr>
            </w:pPr>
          </w:p>
        </w:tc>
      </w:tr>
      <w:tr>
        <w:trPr>
          <w:trHeight w:val="234"/>
        </w:trPr>
        <w:tc>
          <w:tcPr>
            <w:tcW w:w="1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20" w:type="dxa"/>
            <w:vAlign w:val="bottom"/>
          </w:tcPr>
          <w:p>
            <w:pPr>
              <w:jc w:val="center"/>
              <w:ind w:left="1195"/>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45"/>
        </w:trPr>
        <w:tc>
          <w:tcPr>
            <w:tcW w:w="18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(Mark One)</w:t>
            </w:r>
          </w:p>
        </w:tc>
        <w:tc>
          <w:tcPr>
            <w:tcW w:w="16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37"/>
        </w:trPr>
        <w:tc>
          <w:tcPr>
            <w:tcW w:w="1840" w:type="dxa"/>
            <w:vAlign w:val="bottom"/>
          </w:tcPr>
          <w:p>
            <w:pPr>
              <w:jc w:val="center"/>
              <w:ind w:right="1299"/>
              <w:spacing w:after="0" w:line="141" w:lineRule="exact"/>
              <w:rPr>
                <w:sz w:val="20"/>
                <w:szCs w:val="20"/>
                <w:color w:val="auto"/>
              </w:rPr>
            </w:pPr>
            <w:r>
              <w:rPr>
                <w:rFonts w:ascii="MS PGothic" w:cs="MS PGothic" w:eastAsia="MS PGothic" w:hAnsi="MS PGothic"/>
                <w:sz w:val="14"/>
                <w:szCs w:val="14"/>
                <w:color w:val="auto"/>
                <w:w w:val="85"/>
              </w:rPr>
              <w:t>☒</w:t>
            </w:r>
          </w:p>
        </w:tc>
        <w:tc>
          <w:tcPr>
            <w:tcW w:w="7000" w:type="dxa"/>
            <w:vAlign w:val="bottom"/>
            <w:gridSpan w:val="4"/>
          </w:tcPr>
          <w:p>
            <w:pPr>
              <w:ind w:left="1280"/>
              <w:spacing w:after="0"/>
              <w:rPr>
                <w:sz w:val="20"/>
                <w:szCs w:val="20"/>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tc>
      </w:tr>
      <w:tr>
        <w:trPr>
          <w:trHeight w:val="161"/>
        </w:trPr>
        <w:tc>
          <w:tcPr>
            <w:tcW w:w="1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360" w:type="dxa"/>
            <w:vAlign w:val="bottom"/>
            <w:gridSpan w:val="3"/>
          </w:tcPr>
          <w:p>
            <w:pPr>
              <w:jc w:val="center"/>
              <w:ind w:right="106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2023</w:t>
            </w:r>
          </w:p>
        </w:tc>
      </w:tr>
      <w:tr>
        <w:trPr>
          <w:trHeight w:val="149"/>
        </w:trPr>
        <w:tc>
          <w:tcPr>
            <w:tcW w:w="1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20" w:type="dxa"/>
            <w:vAlign w:val="bottom"/>
          </w:tcPr>
          <w:p>
            <w:pPr>
              <w:jc w:val="center"/>
              <w:ind w:left="1195"/>
              <w:spacing w:after="0"/>
              <w:rPr>
                <w:sz w:val="20"/>
                <w:szCs w:val="20"/>
                <w:color w:val="auto"/>
              </w:rPr>
            </w:pPr>
            <w:r>
              <w:rPr>
                <w:rFonts w:ascii="Times New Roman" w:cs="Times New Roman" w:eastAsia="Times New Roman" w:hAnsi="Times New Roman"/>
                <w:sz w:val="11"/>
                <w:szCs w:val="11"/>
                <w:b w:val="1"/>
                <w:bCs w:val="1"/>
                <w:color w:val="auto"/>
                <w:w w:val="96"/>
              </w:rPr>
              <w:t>OR</w:t>
            </w: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62"/>
        </w:trPr>
        <w:tc>
          <w:tcPr>
            <w:tcW w:w="1840" w:type="dxa"/>
            <w:vAlign w:val="bottom"/>
          </w:tcPr>
          <w:p>
            <w:pPr>
              <w:jc w:val="center"/>
              <w:ind w:right="1319"/>
              <w:spacing w:after="0" w:line="111" w:lineRule="exact"/>
              <w:rPr>
                <w:sz w:val="20"/>
                <w:szCs w:val="20"/>
                <w:color w:val="auto"/>
              </w:rPr>
            </w:pPr>
            <w:r>
              <w:rPr>
                <w:rFonts w:ascii="MS PGothic" w:cs="MS PGothic" w:eastAsia="MS PGothic" w:hAnsi="MS PGothic"/>
                <w:sz w:val="11"/>
                <w:szCs w:val="11"/>
                <w:color w:val="auto"/>
                <w:w w:val="90"/>
              </w:rPr>
              <w:t>☐</w:t>
            </w:r>
          </w:p>
        </w:tc>
        <w:tc>
          <w:tcPr>
            <w:tcW w:w="7000" w:type="dxa"/>
            <w:vAlign w:val="bottom"/>
            <w:gridSpan w:val="4"/>
          </w:tcPr>
          <w:p>
            <w:pPr>
              <w:ind w:left="1260"/>
              <w:spacing w:after="0"/>
              <w:rPr>
                <w:sz w:val="20"/>
                <w:szCs w:val="20"/>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tc>
      </w:tr>
      <w:tr>
        <w:trPr>
          <w:trHeight w:val="194"/>
        </w:trPr>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2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FOR THE TRANSITION PERIOD FROM</w:t>
            </w: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2961005</wp:posOffset>
            </wp:positionH>
            <wp:positionV relativeFrom="paragraph">
              <wp:posOffset>66040</wp:posOffset>
            </wp:positionV>
            <wp:extent cx="1233170" cy="370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3170" cy="3708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540" w:type="dxa"/>
            <w:vAlign w:val="bottom"/>
          </w:tcPr>
          <w:p>
            <w:pPr>
              <w:spacing w:after="0"/>
              <w:rPr>
                <w:sz w:val="11"/>
                <w:szCs w:val="11"/>
                <w:color w:val="auto"/>
              </w:rPr>
            </w:pPr>
          </w:p>
        </w:tc>
        <w:tc>
          <w:tcPr>
            <w:tcW w:w="3640" w:type="dxa"/>
            <w:vAlign w:val="bottom"/>
            <w:vMerge w:val="restart"/>
          </w:tcPr>
          <w:p>
            <w:pPr>
              <w:jc w:val="center"/>
              <w:ind w:right="283"/>
              <w:spacing w:after="0"/>
              <w:rPr>
                <w:sz w:val="20"/>
                <w:szCs w:val="20"/>
                <w:color w:val="auto"/>
              </w:rPr>
            </w:pPr>
            <w:r>
              <w:rPr>
                <w:rFonts w:ascii="Times New Roman" w:cs="Times New Roman" w:eastAsia="Times New Roman" w:hAnsi="Times New Roman"/>
                <w:sz w:val="11"/>
                <w:szCs w:val="11"/>
                <w:b w:val="1"/>
                <w:bCs w:val="1"/>
                <w:color w:val="auto"/>
              </w:rPr>
              <w:t>Commission File Number</w:t>
            </w:r>
          </w:p>
        </w:tc>
        <w:tc>
          <w:tcPr>
            <w:tcW w:w="3300" w:type="dxa"/>
            <w:vAlign w:val="bottom"/>
          </w:tcPr>
          <w:p>
            <w:pPr>
              <w:jc w:val="center"/>
              <w:ind w:right="322"/>
              <w:spacing w:after="0"/>
              <w:rPr>
                <w:sz w:val="20"/>
                <w:szCs w:val="20"/>
                <w:color w:val="auto"/>
              </w:rPr>
            </w:pPr>
            <w:r>
              <w:rPr>
                <w:rFonts w:ascii="Times New Roman" w:cs="Times New Roman" w:eastAsia="Times New Roman" w:hAnsi="Times New Roman"/>
                <w:sz w:val="11"/>
                <w:szCs w:val="11"/>
                <w:b w:val="1"/>
                <w:bCs w:val="1"/>
                <w:color w:val="auto"/>
              </w:rPr>
              <w:t>Registrant; State of Incorporation; Address and</w:t>
            </w:r>
          </w:p>
        </w:tc>
        <w:tc>
          <w:tcPr>
            <w:tcW w:w="328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3300" w:type="dxa"/>
            <w:vAlign w:val="bottom"/>
            <w:tcBorders>
              <w:bottom w:val="single" w:sz="8" w:color="auto"/>
            </w:tcBorders>
          </w:tcPr>
          <w:p>
            <w:pPr>
              <w:jc w:val="center"/>
              <w:ind w:right="322"/>
              <w:spacing w:after="0"/>
              <w:rPr>
                <w:sz w:val="20"/>
                <w:szCs w:val="20"/>
                <w:color w:val="auto"/>
              </w:rPr>
            </w:pPr>
            <w:r>
              <w:rPr>
                <w:rFonts w:ascii="Times New Roman" w:cs="Times New Roman" w:eastAsia="Times New Roman" w:hAnsi="Times New Roman"/>
                <w:sz w:val="11"/>
                <w:szCs w:val="11"/>
                <w:b w:val="1"/>
                <w:bCs w:val="1"/>
                <w:color w:val="auto"/>
              </w:rPr>
              <w:t>Telephone Number</w:t>
            </w:r>
          </w:p>
        </w:tc>
        <w:tc>
          <w:tcPr>
            <w:tcW w:w="3280" w:type="dxa"/>
            <w:vAlign w:val="bottom"/>
            <w:tcBorders>
              <w:bottom w:val="single" w:sz="8" w:color="auto"/>
            </w:tcBorders>
            <w:vMerge w:val="continue"/>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40" w:type="dxa"/>
            <w:vAlign w:val="bottom"/>
          </w:tcPr>
          <w:p>
            <w:pPr>
              <w:spacing w:after="0"/>
              <w:rPr>
                <w:sz w:val="19"/>
                <w:szCs w:val="19"/>
                <w:color w:val="auto"/>
              </w:rPr>
            </w:pPr>
          </w:p>
        </w:tc>
        <w:tc>
          <w:tcPr>
            <w:tcW w:w="3640" w:type="dxa"/>
            <w:vAlign w:val="bottom"/>
          </w:tcPr>
          <w:p>
            <w:pPr>
              <w:jc w:val="right"/>
              <w:ind w:right="1683"/>
              <w:spacing w:after="0"/>
              <w:rPr>
                <w:sz w:val="20"/>
                <w:szCs w:val="20"/>
                <w:color w:val="auto"/>
              </w:rPr>
            </w:pPr>
            <w:r>
              <w:rPr>
                <w:rFonts w:ascii="Times New Roman" w:cs="Times New Roman" w:eastAsia="Times New Roman" w:hAnsi="Times New Roman"/>
                <w:sz w:val="11"/>
                <w:szCs w:val="11"/>
                <w:color w:val="auto"/>
              </w:rPr>
              <w:t>001-32871</w:t>
            </w:r>
          </w:p>
        </w:tc>
        <w:tc>
          <w:tcPr>
            <w:tcW w:w="3300" w:type="dxa"/>
            <w:vAlign w:val="bottom"/>
          </w:tcPr>
          <w:p>
            <w:pPr>
              <w:jc w:val="center"/>
              <w:ind w:right="342"/>
              <w:spacing w:after="0"/>
              <w:rPr>
                <w:sz w:val="20"/>
                <w:szCs w:val="20"/>
                <w:color w:val="auto"/>
              </w:rPr>
            </w:pPr>
            <w:r>
              <w:rPr>
                <w:rFonts w:ascii="Times New Roman" w:cs="Times New Roman" w:eastAsia="Times New Roman" w:hAnsi="Times New Roman"/>
                <w:sz w:val="17"/>
                <w:szCs w:val="17"/>
                <w:b w:val="1"/>
                <w:bCs w:val="1"/>
                <w:color w:val="auto"/>
                <w:w w:val="98"/>
              </w:rPr>
              <w:t>COMCAST CORPORATION</w:t>
            </w:r>
          </w:p>
        </w:tc>
        <w:tc>
          <w:tcPr>
            <w:tcW w:w="3280" w:type="dxa"/>
            <w:vAlign w:val="bottom"/>
          </w:tcPr>
          <w:p>
            <w:pPr>
              <w:jc w:val="right"/>
              <w:ind w:right="1343"/>
              <w:spacing w:after="0"/>
              <w:rPr>
                <w:sz w:val="20"/>
                <w:szCs w:val="20"/>
                <w:color w:val="auto"/>
              </w:rPr>
            </w:pPr>
            <w:r>
              <w:rPr>
                <w:rFonts w:ascii="Times New Roman" w:cs="Times New Roman" w:eastAsia="Times New Roman" w:hAnsi="Times New Roman"/>
                <w:sz w:val="11"/>
                <w:szCs w:val="11"/>
                <w:color w:val="auto"/>
              </w:rPr>
              <w:t>27-0000798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300" w:type="dxa"/>
            <w:vAlign w:val="bottom"/>
          </w:tcPr>
          <w:p>
            <w:pPr>
              <w:jc w:val="center"/>
              <w:ind w:right="322"/>
              <w:spacing w:after="0"/>
              <w:rPr>
                <w:sz w:val="20"/>
                <w:szCs w:val="20"/>
                <w:color w:val="auto"/>
              </w:rPr>
            </w:pPr>
            <w:r>
              <w:rPr>
                <w:rFonts w:ascii="Times New Roman" w:cs="Times New Roman" w:eastAsia="Times New Roman" w:hAnsi="Times New Roman"/>
                <w:sz w:val="11"/>
                <w:szCs w:val="11"/>
                <w:b w:val="1"/>
                <w:bCs w:val="1"/>
                <w:color w:val="auto"/>
              </w:rPr>
              <w:t>Pennsylvania</w:t>
            </w:r>
          </w:p>
        </w:tc>
        <w:tc>
          <w:tcPr>
            <w:tcW w:w="3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300" w:type="dxa"/>
            <w:vAlign w:val="bottom"/>
          </w:tcPr>
          <w:p>
            <w:pPr>
              <w:jc w:val="center"/>
              <w:ind w:right="322"/>
              <w:spacing w:after="0"/>
              <w:rPr>
                <w:sz w:val="20"/>
                <w:szCs w:val="20"/>
                <w:color w:val="auto"/>
              </w:rPr>
            </w:pPr>
            <w:r>
              <w:rPr>
                <w:rFonts w:ascii="Times New Roman" w:cs="Times New Roman" w:eastAsia="Times New Roman" w:hAnsi="Times New Roman"/>
                <w:sz w:val="11"/>
                <w:szCs w:val="11"/>
                <w:b w:val="1"/>
                <w:bCs w:val="1"/>
                <w:color w:val="auto"/>
              </w:rPr>
              <w:t>One Comcast Center</w:t>
            </w:r>
          </w:p>
        </w:tc>
        <w:tc>
          <w:tcPr>
            <w:tcW w:w="3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300" w:type="dxa"/>
            <w:vAlign w:val="bottom"/>
          </w:tcPr>
          <w:p>
            <w:pPr>
              <w:jc w:val="center"/>
              <w:ind w:right="302"/>
              <w:spacing w:after="0"/>
              <w:rPr>
                <w:sz w:val="20"/>
                <w:szCs w:val="20"/>
                <w:color w:val="auto"/>
              </w:rPr>
            </w:pPr>
            <w:r>
              <w:rPr>
                <w:rFonts w:ascii="Times New Roman" w:cs="Times New Roman" w:eastAsia="Times New Roman" w:hAnsi="Times New Roman"/>
                <w:sz w:val="11"/>
                <w:szCs w:val="11"/>
                <w:b w:val="1"/>
                <w:bCs w:val="1"/>
                <w:color w:val="auto"/>
              </w:rPr>
              <w:t>Philadelphia, PA 19103-2838</w:t>
            </w:r>
          </w:p>
        </w:tc>
        <w:tc>
          <w:tcPr>
            <w:tcW w:w="3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300" w:type="dxa"/>
            <w:vAlign w:val="bottom"/>
          </w:tcPr>
          <w:p>
            <w:pPr>
              <w:jc w:val="center"/>
              <w:ind w:right="302"/>
              <w:spacing w:after="0"/>
              <w:rPr>
                <w:sz w:val="20"/>
                <w:szCs w:val="20"/>
                <w:color w:val="auto"/>
              </w:rPr>
            </w:pPr>
            <w:r>
              <w:rPr>
                <w:rFonts w:ascii="Times New Roman" w:cs="Times New Roman" w:eastAsia="Times New Roman" w:hAnsi="Times New Roman"/>
                <w:sz w:val="11"/>
                <w:szCs w:val="11"/>
                <w:b w:val="1"/>
                <w:bCs w:val="1"/>
                <w:color w:val="auto"/>
              </w:rPr>
              <w:t>(215) 286-1700</w:t>
            </w:r>
          </w:p>
        </w:tc>
        <w:tc>
          <w:tcPr>
            <w:tcW w:w="3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7480" w:type="dxa"/>
            <w:vAlign w:val="bottom"/>
            <w:tcBorders>
              <w:bottom w:val="single" w:sz="8" w:color="auto"/>
            </w:tcBorders>
            <w:gridSpan w:val="3"/>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7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4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jc w:val="center"/>
              <w:ind w:left="503"/>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300" w:type="dxa"/>
            <w:vAlign w:val="bottom"/>
            <w:tcBorders>
              <w:bottom w:val="single" w:sz="8" w:color="auto"/>
            </w:tcBorders>
          </w:tcPr>
          <w:p>
            <w:pPr>
              <w:jc w:val="center"/>
              <w:ind w:left="802"/>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280" w:type="dxa"/>
            <w:vAlign w:val="bottom"/>
            <w:tcBorders>
              <w:bottom w:val="single" w:sz="8" w:color="auto"/>
            </w:tcBorders>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40" w:type="dxa"/>
            <w:vAlign w:val="bottom"/>
          </w:tcPr>
          <w:p>
            <w:pPr>
              <w:spacing w:after="0"/>
              <w:rPr>
                <w:sz w:val="12"/>
                <w:szCs w:val="12"/>
                <w:color w:val="auto"/>
              </w:rPr>
            </w:pPr>
          </w:p>
        </w:tc>
        <w:tc>
          <w:tcPr>
            <w:tcW w:w="3640" w:type="dxa"/>
            <w:vAlign w:val="bottom"/>
          </w:tcPr>
          <w:p>
            <w:pPr>
              <w:jc w:val="center"/>
              <w:ind w:left="503"/>
              <w:spacing w:after="0"/>
              <w:rPr>
                <w:sz w:val="20"/>
                <w:szCs w:val="20"/>
                <w:color w:val="auto"/>
              </w:rPr>
            </w:pPr>
            <w:r>
              <w:rPr>
                <w:rFonts w:ascii="Times New Roman" w:cs="Times New Roman" w:eastAsia="Times New Roman" w:hAnsi="Times New Roman"/>
                <w:sz w:val="11"/>
                <w:szCs w:val="11"/>
                <w:color w:val="auto"/>
              </w:rPr>
              <w:t>Class A Common Stock, $0.01 par value</w:t>
            </w:r>
          </w:p>
        </w:tc>
        <w:tc>
          <w:tcPr>
            <w:tcW w:w="3300" w:type="dxa"/>
            <w:vAlign w:val="bottom"/>
          </w:tcPr>
          <w:p>
            <w:pPr>
              <w:jc w:val="center"/>
              <w:ind w:left="802"/>
              <w:spacing w:after="0"/>
              <w:rPr>
                <w:sz w:val="20"/>
                <w:szCs w:val="20"/>
                <w:color w:val="auto"/>
              </w:rPr>
            </w:pPr>
            <w:r>
              <w:rPr>
                <w:rFonts w:ascii="Times New Roman" w:cs="Times New Roman" w:eastAsia="Times New Roman" w:hAnsi="Times New Roman"/>
                <w:sz w:val="11"/>
                <w:szCs w:val="11"/>
                <w:color w:val="auto"/>
              </w:rPr>
              <w:t>CMCSA</w:t>
            </w:r>
          </w:p>
        </w:tc>
        <w:tc>
          <w:tcPr>
            <w:tcW w:w="3280" w:type="dxa"/>
            <w:vAlign w:val="bottom"/>
          </w:tcPr>
          <w:p>
            <w:pPr>
              <w:jc w:val="center"/>
              <w:ind w:left="223"/>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3640" w:type="dxa"/>
            <w:vAlign w:val="bottom"/>
          </w:tcPr>
          <w:p>
            <w:pPr>
              <w:jc w:val="center"/>
              <w:ind w:left="503"/>
              <w:spacing w:after="0"/>
              <w:rPr>
                <w:sz w:val="20"/>
                <w:szCs w:val="20"/>
                <w:color w:val="auto"/>
              </w:rPr>
            </w:pPr>
            <w:r>
              <w:rPr>
                <w:rFonts w:ascii="Times New Roman" w:cs="Times New Roman" w:eastAsia="Times New Roman" w:hAnsi="Times New Roman"/>
                <w:sz w:val="11"/>
                <w:szCs w:val="11"/>
                <w:color w:val="auto"/>
              </w:rPr>
              <w:t>0.000% Notes due 2026</w:t>
            </w:r>
          </w:p>
        </w:tc>
        <w:tc>
          <w:tcPr>
            <w:tcW w:w="3300" w:type="dxa"/>
            <w:vAlign w:val="bottom"/>
          </w:tcPr>
          <w:p>
            <w:pPr>
              <w:jc w:val="center"/>
              <w:ind w:left="802"/>
              <w:spacing w:after="0"/>
              <w:rPr>
                <w:sz w:val="20"/>
                <w:szCs w:val="20"/>
                <w:color w:val="auto"/>
              </w:rPr>
            </w:pPr>
            <w:r>
              <w:rPr>
                <w:rFonts w:ascii="Times New Roman" w:cs="Times New Roman" w:eastAsia="Times New Roman" w:hAnsi="Times New Roman"/>
                <w:sz w:val="11"/>
                <w:szCs w:val="11"/>
                <w:color w:val="auto"/>
              </w:rPr>
              <w:t>CMCS26</w:t>
            </w:r>
          </w:p>
        </w:tc>
        <w:tc>
          <w:tcPr>
            <w:tcW w:w="3280" w:type="dxa"/>
            <w:vAlign w:val="bottom"/>
          </w:tcPr>
          <w:p>
            <w:pPr>
              <w:jc w:val="center"/>
              <w:ind w:left="223"/>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0" w:type="dxa"/>
            <w:vAlign w:val="bottom"/>
          </w:tcPr>
          <w:p>
            <w:pPr>
              <w:spacing w:after="0"/>
              <w:rPr>
                <w:sz w:val="13"/>
                <w:szCs w:val="13"/>
                <w:color w:val="auto"/>
              </w:rPr>
            </w:pPr>
          </w:p>
        </w:tc>
        <w:tc>
          <w:tcPr>
            <w:tcW w:w="3640" w:type="dxa"/>
            <w:vAlign w:val="bottom"/>
          </w:tcPr>
          <w:p>
            <w:pPr>
              <w:jc w:val="center"/>
              <w:ind w:left="503"/>
              <w:spacing w:after="0"/>
              <w:rPr>
                <w:sz w:val="20"/>
                <w:szCs w:val="20"/>
                <w:color w:val="auto"/>
              </w:rPr>
            </w:pPr>
            <w:r>
              <w:rPr>
                <w:rFonts w:ascii="Times New Roman" w:cs="Times New Roman" w:eastAsia="Times New Roman" w:hAnsi="Times New Roman"/>
                <w:sz w:val="11"/>
                <w:szCs w:val="11"/>
                <w:color w:val="auto"/>
              </w:rPr>
              <w:t>0.250% Notes due 2027</w:t>
            </w:r>
          </w:p>
        </w:tc>
        <w:tc>
          <w:tcPr>
            <w:tcW w:w="3300" w:type="dxa"/>
            <w:vAlign w:val="bottom"/>
          </w:tcPr>
          <w:p>
            <w:pPr>
              <w:jc w:val="center"/>
              <w:ind w:left="802"/>
              <w:spacing w:after="0"/>
              <w:rPr>
                <w:sz w:val="20"/>
                <w:szCs w:val="20"/>
                <w:color w:val="auto"/>
              </w:rPr>
            </w:pPr>
            <w:r>
              <w:rPr>
                <w:rFonts w:ascii="Times New Roman" w:cs="Times New Roman" w:eastAsia="Times New Roman" w:hAnsi="Times New Roman"/>
                <w:sz w:val="11"/>
                <w:szCs w:val="11"/>
                <w:color w:val="auto"/>
              </w:rPr>
              <w:t>CMCS27</w:t>
            </w:r>
          </w:p>
        </w:tc>
        <w:tc>
          <w:tcPr>
            <w:tcW w:w="3280" w:type="dxa"/>
            <w:vAlign w:val="bottom"/>
          </w:tcPr>
          <w:p>
            <w:pPr>
              <w:jc w:val="center"/>
              <w:ind w:left="223"/>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0" w:type="dxa"/>
            <w:vAlign w:val="bottom"/>
          </w:tcPr>
          <w:p>
            <w:pPr>
              <w:spacing w:after="0"/>
              <w:rPr>
                <w:sz w:val="13"/>
                <w:szCs w:val="13"/>
                <w:color w:val="auto"/>
              </w:rPr>
            </w:pPr>
          </w:p>
        </w:tc>
        <w:tc>
          <w:tcPr>
            <w:tcW w:w="3640" w:type="dxa"/>
            <w:vAlign w:val="bottom"/>
          </w:tcPr>
          <w:p>
            <w:pPr>
              <w:jc w:val="center"/>
              <w:ind w:left="503"/>
              <w:spacing w:after="0"/>
              <w:rPr>
                <w:sz w:val="20"/>
                <w:szCs w:val="20"/>
                <w:color w:val="auto"/>
              </w:rPr>
            </w:pPr>
            <w:r>
              <w:rPr>
                <w:rFonts w:ascii="Times New Roman" w:cs="Times New Roman" w:eastAsia="Times New Roman" w:hAnsi="Times New Roman"/>
                <w:sz w:val="11"/>
                <w:szCs w:val="11"/>
                <w:color w:val="auto"/>
              </w:rPr>
              <w:t>1.500% Notes due 2029</w:t>
            </w:r>
          </w:p>
        </w:tc>
        <w:tc>
          <w:tcPr>
            <w:tcW w:w="3300" w:type="dxa"/>
            <w:vAlign w:val="bottom"/>
          </w:tcPr>
          <w:p>
            <w:pPr>
              <w:jc w:val="center"/>
              <w:ind w:left="802"/>
              <w:spacing w:after="0"/>
              <w:rPr>
                <w:sz w:val="20"/>
                <w:szCs w:val="20"/>
                <w:color w:val="auto"/>
              </w:rPr>
            </w:pPr>
            <w:r>
              <w:rPr>
                <w:rFonts w:ascii="Times New Roman" w:cs="Times New Roman" w:eastAsia="Times New Roman" w:hAnsi="Times New Roman"/>
                <w:sz w:val="11"/>
                <w:szCs w:val="11"/>
                <w:color w:val="auto"/>
              </w:rPr>
              <w:t>CMCS29</w:t>
            </w:r>
          </w:p>
        </w:tc>
        <w:tc>
          <w:tcPr>
            <w:tcW w:w="3280" w:type="dxa"/>
            <w:vAlign w:val="bottom"/>
          </w:tcPr>
          <w:p>
            <w:pPr>
              <w:jc w:val="center"/>
              <w:ind w:left="223"/>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0" w:type="dxa"/>
            <w:vAlign w:val="bottom"/>
          </w:tcPr>
          <w:p>
            <w:pPr>
              <w:spacing w:after="0"/>
              <w:rPr>
                <w:sz w:val="13"/>
                <w:szCs w:val="13"/>
                <w:color w:val="auto"/>
              </w:rPr>
            </w:pPr>
          </w:p>
        </w:tc>
        <w:tc>
          <w:tcPr>
            <w:tcW w:w="3640" w:type="dxa"/>
            <w:vAlign w:val="bottom"/>
          </w:tcPr>
          <w:p>
            <w:pPr>
              <w:jc w:val="center"/>
              <w:ind w:left="503"/>
              <w:spacing w:after="0"/>
              <w:rPr>
                <w:sz w:val="20"/>
                <w:szCs w:val="20"/>
                <w:color w:val="auto"/>
              </w:rPr>
            </w:pPr>
            <w:r>
              <w:rPr>
                <w:rFonts w:ascii="Times New Roman" w:cs="Times New Roman" w:eastAsia="Times New Roman" w:hAnsi="Times New Roman"/>
                <w:sz w:val="11"/>
                <w:szCs w:val="11"/>
                <w:color w:val="auto"/>
              </w:rPr>
              <w:t>0.250% Notes due 2029</w:t>
            </w:r>
          </w:p>
        </w:tc>
        <w:tc>
          <w:tcPr>
            <w:tcW w:w="3300" w:type="dxa"/>
            <w:vAlign w:val="bottom"/>
          </w:tcPr>
          <w:p>
            <w:pPr>
              <w:jc w:val="center"/>
              <w:ind w:left="802"/>
              <w:spacing w:after="0"/>
              <w:rPr>
                <w:sz w:val="20"/>
                <w:szCs w:val="20"/>
                <w:color w:val="auto"/>
              </w:rPr>
            </w:pPr>
            <w:r>
              <w:rPr>
                <w:rFonts w:ascii="Times New Roman" w:cs="Times New Roman" w:eastAsia="Times New Roman" w:hAnsi="Times New Roman"/>
                <w:sz w:val="11"/>
                <w:szCs w:val="11"/>
                <w:color w:val="auto"/>
              </w:rPr>
              <w:t>CMCS29A</w:t>
            </w:r>
          </w:p>
        </w:tc>
        <w:tc>
          <w:tcPr>
            <w:tcW w:w="3280" w:type="dxa"/>
            <w:vAlign w:val="bottom"/>
          </w:tcPr>
          <w:p>
            <w:pPr>
              <w:jc w:val="center"/>
              <w:ind w:left="223"/>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0" w:type="dxa"/>
            <w:vAlign w:val="bottom"/>
          </w:tcPr>
          <w:p>
            <w:pPr>
              <w:spacing w:after="0"/>
              <w:rPr>
                <w:sz w:val="13"/>
                <w:szCs w:val="13"/>
                <w:color w:val="auto"/>
              </w:rPr>
            </w:pPr>
          </w:p>
        </w:tc>
        <w:tc>
          <w:tcPr>
            <w:tcW w:w="3640" w:type="dxa"/>
            <w:vAlign w:val="bottom"/>
          </w:tcPr>
          <w:p>
            <w:pPr>
              <w:jc w:val="center"/>
              <w:ind w:left="503"/>
              <w:spacing w:after="0"/>
              <w:rPr>
                <w:sz w:val="20"/>
                <w:szCs w:val="20"/>
                <w:color w:val="auto"/>
              </w:rPr>
            </w:pPr>
            <w:r>
              <w:rPr>
                <w:rFonts w:ascii="Times New Roman" w:cs="Times New Roman" w:eastAsia="Times New Roman" w:hAnsi="Times New Roman"/>
                <w:sz w:val="11"/>
                <w:szCs w:val="11"/>
                <w:color w:val="auto"/>
              </w:rPr>
              <w:t>0.750% Notes due 2032</w:t>
            </w:r>
          </w:p>
        </w:tc>
        <w:tc>
          <w:tcPr>
            <w:tcW w:w="3300" w:type="dxa"/>
            <w:vAlign w:val="bottom"/>
          </w:tcPr>
          <w:p>
            <w:pPr>
              <w:jc w:val="center"/>
              <w:ind w:left="802"/>
              <w:spacing w:after="0"/>
              <w:rPr>
                <w:sz w:val="20"/>
                <w:szCs w:val="20"/>
                <w:color w:val="auto"/>
              </w:rPr>
            </w:pPr>
            <w:r>
              <w:rPr>
                <w:rFonts w:ascii="Times New Roman" w:cs="Times New Roman" w:eastAsia="Times New Roman" w:hAnsi="Times New Roman"/>
                <w:sz w:val="11"/>
                <w:szCs w:val="11"/>
                <w:color w:val="auto"/>
              </w:rPr>
              <w:t>CMCS32</w:t>
            </w:r>
          </w:p>
        </w:tc>
        <w:tc>
          <w:tcPr>
            <w:tcW w:w="3280" w:type="dxa"/>
            <w:vAlign w:val="bottom"/>
          </w:tcPr>
          <w:p>
            <w:pPr>
              <w:jc w:val="center"/>
              <w:ind w:left="223"/>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0" w:type="dxa"/>
            <w:vAlign w:val="bottom"/>
          </w:tcPr>
          <w:p>
            <w:pPr>
              <w:spacing w:after="0"/>
              <w:rPr>
                <w:sz w:val="13"/>
                <w:szCs w:val="13"/>
                <w:color w:val="auto"/>
              </w:rPr>
            </w:pPr>
          </w:p>
        </w:tc>
        <w:tc>
          <w:tcPr>
            <w:tcW w:w="3640" w:type="dxa"/>
            <w:vAlign w:val="bottom"/>
          </w:tcPr>
          <w:p>
            <w:pPr>
              <w:jc w:val="center"/>
              <w:ind w:left="503"/>
              <w:spacing w:after="0"/>
              <w:rPr>
                <w:sz w:val="20"/>
                <w:szCs w:val="20"/>
                <w:color w:val="auto"/>
              </w:rPr>
            </w:pPr>
            <w:r>
              <w:rPr>
                <w:rFonts w:ascii="Times New Roman" w:cs="Times New Roman" w:eastAsia="Times New Roman" w:hAnsi="Times New Roman"/>
                <w:sz w:val="11"/>
                <w:szCs w:val="11"/>
                <w:color w:val="auto"/>
              </w:rPr>
              <w:t>1.875% Notes due 2036</w:t>
            </w:r>
          </w:p>
        </w:tc>
        <w:tc>
          <w:tcPr>
            <w:tcW w:w="3300" w:type="dxa"/>
            <w:vAlign w:val="bottom"/>
          </w:tcPr>
          <w:p>
            <w:pPr>
              <w:jc w:val="center"/>
              <w:ind w:left="802"/>
              <w:spacing w:after="0"/>
              <w:rPr>
                <w:sz w:val="20"/>
                <w:szCs w:val="20"/>
                <w:color w:val="auto"/>
              </w:rPr>
            </w:pPr>
            <w:r>
              <w:rPr>
                <w:rFonts w:ascii="Times New Roman" w:cs="Times New Roman" w:eastAsia="Times New Roman" w:hAnsi="Times New Roman"/>
                <w:sz w:val="11"/>
                <w:szCs w:val="11"/>
                <w:color w:val="auto"/>
              </w:rPr>
              <w:t>CMCS36</w:t>
            </w:r>
          </w:p>
        </w:tc>
        <w:tc>
          <w:tcPr>
            <w:tcW w:w="3280" w:type="dxa"/>
            <w:vAlign w:val="bottom"/>
          </w:tcPr>
          <w:p>
            <w:pPr>
              <w:jc w:val="center"/>
              <w:ind w:left="223"/>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0" w:type="dxa"/>
            <w:vAlign w:val="bottom"/>
          </w:tcPr>
          <w:p>
            <w:pPr>
              <w:spacing w:after="0"/>
              <w:rPr>
                <w:sz w:val="13"/>
                <w:szCs w:val="13"/>
                <w:color w:val="auto"/>
              </w:rPr>
            </w:pPr>
          </w:p>
        </w:tc>
        <w:tc>
          <w:tcPr>
            <w:tcW w:w="3640" w:type="dxa"/>
            <w:vAlign w:val="bottom"/>
          </w:tcPr>
          <w:p>
            <w:pPr>
              <w:jc w:val="center"/>
              <w:ind w:left="503"/>
              <w:spacing w:after="0"/>
              <w:rPr>
                <w:sz w:val="20"/>
                <w:szCs w:val="20"/>
                <w:color w:val="auto"/>
              </w:rPr>
            </w:pPr>
            <w:r>
              <w:rPr>
                <w:rFonts w:ascii="Times New Roman" w:cs="Times New Roman" w:eastAsia="Times New Roman" w:hAnsi="Times New Roman"/>
                <w:sz w:val="11"/>
                <w:szCs w:val="11"/>
                <w:color w:val="auto"/>
              </w:rPr>
              <w:t>1.250% Notes due 2040</w:t>
            </w:r>
          </w:p>
        </w:tc>
        <w:tc>
          <w:tcPr>
            <w:tcW w:w="3300" w:type="dxa"/>
            <w:vAlign w:val="bottom"/>
          </w:tcPr>
          <w:p>
            <w:pPr>
              <w:jc w:val="center"/>
              <w:ind w:left="802"/>
              <w:spacing w:after="0"/>
              <w:rPr>
                <w:sz w:val="20"/>
                <w:szCs w:val="20"/>
                <w:color w:val="auto"/>
              </w:rPr>
            </w:pPr>
            <w:r>
              <w:rPr>
                <w:rFonts w:ascii="Times New Roman" w:cs="Times New Roman" w:eastAsia="Times New Roman" w:hAnsi="Times New Roman"/>
                <w:sz w:val="11"/>
                <w:szCs w:val="11"/>
                <w:color w:val="auto"/>
              </w:rPr>
              <w:t>CMCS40</w:t>
            </w:r>
          </w:p>
        </w:tc>
        <w:tc>
          <w:tcPr>
            <w:tcW w:w="3280" w:type="dxa"/>
            <w:vAlign w:val="bottom"/>
          </w:tcPr>
          <w:p>
            <w:pPr>
              <w:jc w:val="center"/>
              <w:ind w:left="223"/>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0" w:type="dxa"/>
            <w:vAlign w:val="bottom"/>
          </w:tcPr>
          <w:p>
            <w:pPr>
              <w:spacing w:after="0"/>
              <w:rPr>
                <w:sz w:val="13"/>
                <w:szCs w:val="13"/>
                <w:color w:val="auto"/>
              </w:rPr>
            </w:pPr>
          </w:p>
        </w:tc>
        <w:tc>
          <w:tcPr>
            <w:tcW w:w="3640" w:type="dxa"/>
            <w:vAlign w:val="bottom"/>
          </w:tcPr>
          <w:p>
            <w:pPr>
              <w:jc w:val="center"/>
              <w:ind w:left="503"/>
              <w:spacing w:after="0"/>
              <w:rPr>
                <w:sz w:val="20"/>
                <w:szCs w:val="20"/>
                <w:color w:val="auto"/>
              </w:rPr>
            </w:pPr>
            <w:r>
              <w:rPr>
                <w:rFonts w:ascii="Times New Roman" w:cs="Times New Roman" w:eastAsia="Times New Roman" w:hAnsi="Times New Roman"/>
                <w:sz w:val="11"/>
                <w:szCs w:val="11"/>
                <w:color w:val="auto"/>
              </w:rPr>
              <w:t>5.50% Notes due 2029</w:t>
            </w:r>
          </w:p>
        </w:tc>
        <w:tc>
          <w:tcPr>
            <w:tcW w:w="3300" w:type="dxa"/>
            <w:vAlign w:val="bottom"/>
          </w:tcPr>
          <w:p>
            <w:pPr>
              <w:jc w:val="center"/>
              <w:ind w:left="802"/>
              <w:spacing w:after="0"/>
              <w:rPr>
                <w:sz w:val="20"/>
                <w:szCs w:val="20"/>
                <w:color w:val="auto"/>
              </w:rPr>
            </w:pPr>
            <w:r>
              <w:rPr>
                <w:rFonts w:ascii="Times New Roman" w:cs="Times New Roman" w:eastAsia="Times New Roman" w:hAnsi="Times New Roman"/>
                <w:sz w:val="11"/>
                <w:szCs w:val="11"/>
                <w:color w:val="auto"/>
              </w:rPr>
              <w:t>CCGBP29</w:t>
            </w:r>
          </w:p>
        </w:tc>
        <w:tc>
          <w:tcPr>
            <w:tcW w:w="3280" w:type="dxa"/>
            <w:vAlign w:val="bottom"/>
          </w:tcPr>
          <w:p>
            <w:pPr>
              <w:jc w:val="center"/>
              <w:ind w:left="243"/>
              <w:spacing w:after="0"/>
              <w:rPr>
                <w:sz w:val="20"/>
                <w:szCs w:val="20"/>
                <w:color w:val="auto"/>
              </w:rPr>
            </w:pPr>
            <w:r>
              <w:rPr>
                <w:rFonts w:ascii="Times New Roman" w:cs="Times New Roman" w:eastAsia="Times New Roman" w:hAnsi="Times New Roman"/>
                <w:sz w:val="11"/>
                <w:szCs w:val="11"/>
                <w:color w:val="auto"/>
              </w:rPr>
              <w:t>New York Stock Exchange</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0" w:type="dxa"/>
            <w:vAlign w:val="bottom"/>
          </w:tcPr>
          <w:p>
            <w:pPr>
              <w:spacing w:after="0"/>
              <w:rPr>
                <w:sz w:val="13"/>
                <w:szCs w:val="13"/>
                <w:color w:val="auto"/>
              </w:rPr>
            </w:pPr>
          </w:p>
        </w:tc>
        <w:tc>
          <w:tcPr>
            <w:tcW w:w="3640" w:type="dxa"/>
            <w:vAlign w:val="bottom"/>
          </w:tcPr>
          <w:p>
            <w:pPr>
              <w:jc w:val="center"/>
              <w:ind w:left="503"/>
              <w:spacing w:after="0"/>
              <w:rPr>
                <w:sz w:val="20"/>
                <w:szCs w:val="20"/>
                <w:color w:val="auto"/>
              </w:rPr>
            </w:pPr>
            <w:r>
              <w:rPr>
                <w:rFonts w:ascii="Times New Roman" w:cs="Times New Roman" w:eastAsia="Times New Roman" w:hAnsi="Times New Roman"/>
                <w:sz w:val="11"/>
                <w:szCs w:val="11"/>
                <w:color w:val="auto"/>
              </w:rPr>
              <w:t>2.0% Exchangeable Subordinated Debentures due 2029</w:t>
            </w:r>
          </w:p>
        </w:tc>
        <w:tc>
          <w:tcPr>
            <w:tcW w:w="3300" w:type="dxa"/>
            <w:vAlign w:val="bottom"/>
          </w:tcPr>
          <w:p>
            <w:pPr>
              <w:jc w:val="center"/>
              <w:ind w:left="782"/>
              <w:spacing w:after="0"/>
              <w:rPr>
                <w:sz w:val="20"/>
                <w:szCs w:val="20"/>
                <w:color w:val="auto"/>
              </w:rPr>
            </w:pPr>
            <w:r>
              <w:rPr>
                <w:rFonts w:ascii="Times New Roman" w:cs="Times New Roman" w:eastAsia="Times New Roman" w:hAnsi="Times New Roman"/>
                <w:sz w:val="11"/>
                <w:szCs w:val="11"/>
                <w:color w:val="auto"/>
              </w:rPr>
              <w:t>CCZ</w:t>
            </w:r>
          </w:p>
        </w:tc>
        <w:tc>
          <w:tcPr>
            <w:tcW w:w="3280" w:type="dxa"/>
            <w:vAlign w:val="bottom"/>
          </w:tcPr>
          <w:p>
            <w:pPr>
              <w:jc w:val="center"/>
              <w:ind w:left="243"/>
              <w:spacing w:after="0"/>
              <w:rPr>
                <w:sz w:val="20"/>
                <w:szCs w:val="20"/>
                <w:color w:val="auto"/>
              </w:rPr>
            </w:pPr>
            <w:r>
              <w:rPr>
                <w:rFonts w:ascii="Times New Roman" w:cs="Times New Roman" w:eastAsia="Times New Roman" w:hAnsi="Times New Roman"/>
                <w:sz w:val="11"/>
                <w:szCs w:val="11"/>
                <w:color w:val="auto"/>
              </w:rPr>
              <w:t>New York Stock Exchange</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59"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96"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33" w:lineRule="exact"/>
        <w:rPr>
          <w:sz w:val="24"/>
          <w:szCs w:val="24"/>
          <w:color w:val="auto"/>
        </w:rPr>
      </w:pPr>
    </w:p>
    <w:p>
      <w:pPr>
        <w:jc w:val="both"/>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9" w:lineRule="exact"/>
        <w:rPr>
          <w:sz w:val="24"/>
          <w:szCs w:val="24"/>
          <w:color w:val="auto"/>
        </w:rPr>
      </w:pPr>
    </w:p>
    <w:p>
      <w:pPr>
        <w:ind w:right="160"/>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9" w:lineRule="exact"/>
        <w:rPr>
          <w:sz w:val="24"/>
          <w:szCs w:val="24"/>
          <w:color w:val="auto"/>
        </w:rPr>
      </w:pPr>
    </w:p>
    <w:p>
      <w:pPr>
        <w:ind w:right="160"/>
        <w:spacing w:after="0" w:line="26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0"/>
        <w:spacing w:after="0" w:line="231" w:lineRule="exact"/>
        <w:tabs>
          <w:tab w:leader="none" w:pos="1540" w:val="left"/>
          <w:tab w:leader="none" w:pos="2180" w:val="left"/>
          <w:tab w:leader="none" w:pos="3360" w:val="left"/>
          <w:tab w:leader="none" w:pos="3960" w:val="left"/>
          <w:tab w:leader="none" w:pos="5480" w:val="left"/>
          <w:tab w:leader="none" w:pos="6120" w:val="left"/>
          <w:tab w:leader="none" w:pos="7960" w:val="left"/>
          <w:tab w:leader="none" w:pos="8600" w:val="left"/>
          <w:tab w:leader="none" w:pos="10540" w:val="left"/>
        </w:tabs>
        <w:rPr>
          <w:sz w:val="20"/>
          <w:szCs w:val="20"/>
          <w:color w:val="auto"/>
        </w:rPr>
      </w:pPr>
      <w:r>
        <w:rPr>
          <w:rFonts w:ascii="Times New Roman" w:cs="Times New Roman" w:eastAsia="Times New Roman" w:hAnsi="Times New Roman"/>
          <w:sz w:val="11"/>
          <w:szCs w:val="11"/>
          <w:color w:val="auto"/>
        </w:rPr>
        <w:t>Large accelerated filer</w:t>
      </w:r>
      <w:r>
        <w:rPr>
          <w:sz w:val="20"/>
          <w:szCs w:val="20"/>
          <w:color w:val="auto"/>
        </w:rPr>
        <w:tab/>
      </w:r>
      <w:r>
        <w:rPr>
          <w:rFonts w:ascii="MS PGothic" w:cs="MS PGothic" w:eastAsia="MS PGothic" w:hAnsi="MS PGothic"/>
          <w:sz w:val="23"/>
          <w:szCs w:val="23"/>
          <w:color w:val="auto"/>
          <w:vertAlign w:val="subscript"/>
        </w:rPr>
        <w:t>☒</w:t>
      </w:r>
      <w:r>
        <w:rPr>
          <w:sz w:val="20"/>
          <w:szCs w:val="20"/>
          <w:color w:val="auto"/>
        </w:rPr>
        <w:tab/>
      </w:r>
      <w:r>
        <w:rPr>
          <w:rFonts w:ascii="Times New Roman" w:cs="Times New Roman" w:eastAsia="Times New Roman" w:hAnsi="Times New Roman"/>
          <w:sz w:val="11"/>
          <w:szCs w:val="11"/>
          <w:color w:val="auto"/>
        </w:rPr>
        <w:t>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Non-accelerated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Smaller reporting company</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64" w:lineRule="exact"/>
        <w:rPr>
          <w:sz w:val="24"/>
          <w:szCs w:val="24"/>
          <w:color w:val="auto"/>
        </w:rPr>
      </w:pPr>
    </w:p>
    <w:p>
      <w:pPr>
        <w:ind w:right="80"/>
        <w:spacing w:after="0" w:line="15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48" w:lineRule="exact"/>
        <w:rPr>
          <w:sz w:val="24"/>
          <w:szCs w:val="24"/>
          <w:color w:val="auto"/>
        </w:rPr>
      </w:pPr>
    </w:p>
    <w:p>
      <w:pPr>
        <w:ind w:right="420"/>
        <w:spacing w:after="0" w:line="16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43"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23" w:lineRule="exact"/>
        <w:rPr>
          <w:sz w:val="24"/>
          <w:szCs w:val="24"/>
          <w:color w:val="auto"/>
        </w:rPr>
      </w:pPr>
    </w:p>
    <w:p>
      <w:pPr>
        <w:ind w:right="140"/>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rFonts w:ascii="MS PGothic" w:cs="MS PGothic" w:eastAsia="MS PGothic" w:hAnsi="MS PGothic"/>
          <w:sz w:val="11"/>
          <w:szCs w:val="11"/>
          <w:color w:val="auto"/>
        </w:rPr>
        <w:t>☐</w:t>
      </w:r>
    </w:p>
    <w:p>
      <w:pPr>
        <w:spacing w:after="0" w:line="53"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June 30, 2023, the aggregate market value of the Comcast Corporation common stock held by non-affiliates of the registrant was $170.209 billion.</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the number of shares outstanding of each of the registrant’s classes of common stock, as of the latest practicable date: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January 15, 2024, there were 3,962,412,964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2205990</wp:posOffset>
            </wp:positionH>
            <wp:positionV relativeFrom="paragraph">
              <wp:posOffset>46355</wp:posOffset>
            </wp:positionV>
            <wp:extent cx="27622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62250" cy="6985"/>
                    </a:xfrm>
                    <a:prstGeom prst="rect">
                      <a:avLst/>
                    </a:prstGeom>
                    <a:noFill/>
                  </pic:spPr>
                </pic:pic>
              </a:graphicData>
            </a:graphic>
          </wp:anchor>
        </w:drawing>
      </w:r>
    </w:p>
    <w:p>
      <w:pPr>
        <w:spacing w:after="0" w:line="11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Comcast Corporation – Part III – The registrant’s definitive Proxy Statement for its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397510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53340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1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Comcast Corporation</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2023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006EBF"/>
        </w:rPr>
        <w:t>Table of Contents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53"/>
        </w:trPr>
        <w:tc>
          <w:tcPr>
            <w:tcW w:w="11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Item 1</w:t>
            </w:r>
          </w:p>
        </w:tc>
        <w:tc>
          <w:tcPr>
            <w:tcW w:w="500" w:type="dxa"/>
            <w:vAlign w:val="bottom"/>
            <w:tcBorders>
              <w:bottom w:val="single" w:sz="8" w:color="0000FF"/>
            </w:tcBorders>
          </w:tcPr>
          <w:p>
            <w:pPr>
              <w:spacing w:after="0" w:line="153" w:lineRule="exact"/>
              <w:rPr>
                <w:sz w:val="20"/>
                <w:szCs w:val="20"/>
                <w:color w:val="auto"/>
              </w:rPr>
            </w:pPr>
            <w:r>
              <w:rPr>
                <w:rFonts w:ascii="Times New Roman" w:cs="Times New Roman" w:eastAsia="Times New Roman" w:hAnsi="Times New Roman"/>
                <w:sz w:val="14"/>
                <w:szCs w:val="14"/>
                <w:color w:val="0000FF"/>
                <w:w w:val="96"/>
              </w:rPr>
              <w:t>Business</w:t>
            </w:r>
          </w:p>
        </w:tc>
        <w:tc>
          <w:tcPr>
            <w:tcW w:w="7660" w:type="dxa"/>
            <w:vAlign w:val="bottom"/>
            <w:gridSpan w:val="21"/>
          </w:tcPr>
          <w:p>
            <w:pPr>
              <w:spacing w:after="0"/>
              <w:rPr>
                <w:sz w:val="13"/>
                <w:szCs w:val="13"/>
                <w:color w:val="auto"/>
              </w:rPr>
            </w:pPr>
          </w:p>
        </w:tc>
        <w:tc>
          <w:tcPr>
            <w:tcW w:w="19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816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1B</w:t>
            </w:r>
          </w:p>
        </w:tc>
        <w:tc>
          <w:tcPr>
            <w:tcW w:w="816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1C</w:t>
            </w:r>
          </w:p>
        </w:tc>
        <w:tc>
          <w:tcPr>
            <w:tcW w:w="16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6560" w:type="dxa"/>
            <w:vAlign w:val="bottom"/>
            <w:gridSpan w:val="12"/>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7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7380" w:type="dxa"/>
            <w:vAlign w:val="bottom"/>
            <w:gridSpan w:val="17"/>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816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816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3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5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153"/>
        </w:trPr>
        <w:tc>
          <w:tcPr>
            <w:tcW w:w="11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Item 5</w:t>
            </w:r>
          </w:p>
        </w:tc>
        <w:tc>
          <w:tcPr>
            <w:tcW w:w="6340" w:type="dxa"/>
            <w:vAlign w:val="bottom"/>
            <w:tcBorders>
              <w:bottom w:val="single" w:sz="8" w:color="0000FF"/>
            </w:tcBorders>
            <w:gridSpan w:val="21"/>
          </w:tcPr>
          <w:p>
            <w:pPr>
              <w:spacing w:after="0" w:line="153"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820" w:type="dxa"/>
            <w:vAlign w:val="bottom"/>
          </w:tcPr>
          <w:p>
            <w:pPr>
              <w:spacing w:after="0"/>
              <w:rPr>
                <w:sz w:val="13"/>
                <w:szCs w:val="13"/>
                <w:color w:val="auto"/>
              </w:rPr>
            </w:pPr>
          </w:p>
        </w:tc>
        <w:tc>
          <w:tcPr>
            <w:tcW w:w="19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30</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7"/>
              </w:rPr>
              <w:t>[Reserved]</w:t>
            </w:r>
          </w:p>
        </w:tc>
        <w:tc>
          <w:tcPr>
            <w:tcW w:w="7540" w:type="dxa"/>
            <w:vAlign w:val="bottom"/>
            <w:gridSpan w:val="19"/>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w:t>
            </w:r>
          </w:p>
        </w:tc>
        <w:tc>
          <w:tcPr>
            <w:tcW w:w="816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7A</w:t>
            </w:r>
          </w:p>
        </w:tc>
        <w:tc>
          <w:tcPr>
            <w:tcW w:w="34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4"/>
          </w:tcPr>
          <w:p>
            <w:pPr>
              <w:spacing w:after="0"/>
              <w:rPr>
                <w:sz w:val="13"/>
                <w:szCs w:val="13"/>
                <w:color w:val="auto"/>
              </w:rPr>
            </w:pPr>
          </w:p>
        </w:tc>
        <w:tc>
          <w:tcPr>
            <w:tcW w:w="3100" w:type="dxa"/>
            <w:vAlign w:val="bottom"/>
            <w:gridSpan w:val="4"/>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8</w:t>
            </w:r>
          </w:p>
        </w:tc>
        <w:tc>
          <w:tcPr>
            <w:tcW w:w="38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Comcast Corporation Financial Statements and Supplementary Data</w:t>
            </w:r>
          </w:p>
        </w:tc>
        <w:tc>
          <w:tcPr>
            <w:tcW w:w="4300" w:type="dxa"/>
            <w:vAlign w:val="bottom"/>
            <w:gridSpan w:val="6"/>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w:t>
            </w:r>
          </w:p>
        </w:tc>
        <w:tc>
          <w:tcPr>
            <w:tcW w:w="816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9A</w:t>
            </w:r>
          </w:p>
        </w:tc>
        <w:tc>
          <w:tcPr>
            <w:tcW w:w="50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080" w:type="dxa"/>
            <w:vAlign w:val="bottom"/>
            <w:gridSpan w:val="3"/>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9B</w:t>
            </w:r>
          </w:p>
        </w:tc>
        <w:tc>
          <w:tcPr>
            <w:tcW w:w="13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6780" w:type="dxa"/>
            <w:vAlign w:val="bottom"/>
            <w:gridSpan w:val="14"/>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9C</w:t>
            </w:r>
          </w:p>
        </w:tc>
        <w:tc>
          <w:tcPr>
            <w:tcW w:w="816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3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5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153"/>
        </w:trPr>
        <w:tc>
          <w:tcPr>
            <w:tcW w:w="11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Item 10</w:t>
            </w:r>
          </w:p>
        </w:tc>
        <w:tc>
          <w:tcPr>
            <w:tcW w:w="3220" w:type="dxa"/>
            <w:vAlign w:val="bottom"/>
            <w:tcBorders>
              <w:bottom w:val="single" w:sz="8" w:color="0000FF"/>
            </w:tcBorders>
            <w:gridSpan w:val="13"/>
          </w:tcPr>
          <w:p>
            <w:pPr>
              <w:spacing w:after="0" w:line="153"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4940" w:type="dxa"/>
            <w:vAlign w:val="bottom"/>
            <w:gridSpan w:val="9"/>
          </w:tcPr>
          <w:p>
            <w:pPr>
              <w:spacing w:after="0"/>
              <w:rPr>
                <w:sz w:val="13"/>
                <w:szCs w:val="13"/>
                <w:color w:val="auto"/>
              </w:rPr>
            </w:pPr>
          </w:p>
        </w:tc>
        <w:tc>
          <w:tcPr>
            <w:tcW w:w="19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93</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11</w:t>
            </w:r>
          </w:p>
        </w:tc>
        <w:tc>
          <w:tcPr>
            <w:tcW w:w="1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Executive Compensation</w:t>
            </w:r>
          </w:p>
        </w:tc>
        <w:tc>
          <w:tcPr>
            <w:tcW w:w="6740" w:type="dxa"/>
            <w:vAlign w:val="bottom"/>
            <w:gridSpan w:val="13"/>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12</w:t>
            </w:r>
          </w:p>
        </w:tc>
        <w:tc>
          <w:tcPr>
            <w:tcW w:w="816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13</w:t>
            </w:r>
          </w:p>
        </w:tc>
        <w:tc>
          <w:tcPr>
            <w:tcW w:w="42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40" w:type="dxa"/>
            <w:vAlign w:val="bottom"/>
            <w:tcBorders>
              <w:top w:val="single" w:sz="8" w:color="0000FF"/>
            </w:tcBorders>
            <w:gridSpan w:val="3"/>
          </w:tcPr>
          <w:p>
            <w:pPr>
              <w:spacing w:after="0"/>
              <w:rPr>
                <w:sz w:val="13"/>
                <w:szCs w:val="13"/>
                <w:color w:val="auto"/>
              </w:rPr>
            </w:pPr>
          </w:p>
        </w:tc>
        <w:tc>
          <w:tcPr>
            <w:tcW w:w="2440" w:type="dxa"/>
            <w:vAlign w:val="bottom"/>
            <w:gridSpan w:val="2"/>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14</w:t>
            </w:r>
          </w:p>
        </w:tc>
        <w:tc>
          <w:tcPr>
            <w:tcW w:w="816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3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5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153"/>
        </w:trPr>
        <w:tc>
          <w:tcPr>
            <w:tcW w:w="11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Item 15</w:t>
            </w:r>
          </w:p>
        </w:tc>
        <w:tc>
          <w:tcPr>
            <w:tcW w:w="2480" w:type="dxa"/>
            <w:vAlign w:val="bottom"/>
            <w:tcBorders>
              <w:bottom w:val="single" w:sz="8" w:color="0000FF"/>
            </w:tcBorders>
            <w:gridSpan w:val="12"/>
          </w:tcPr>
          <w:p>
            <w:pPr>
              <w:spacing w:after="0" w:line="153" w:lineRule="exact"/>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5680" w:type="dxa"/>
            <w:vAlign w:val="bottom"/>
            <w:gridSpan w:val="10"/>
          </w:tcPr>
          <w:p>
            <w:pPr>
              <w:spacing w:after="0"/>
              <w:rPr>
                <w:sz w:val="13"/>
                <w:szCs w:val="13"/>
                <w:color w:val="auto"/>
              </w:rPr>
            </w:pPr>
          </w:p>
        </w:tc>
        <w:tc>
          <w:tcPr>
            <w:tcW w:w="19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95</w:t>
            </w:r>
          </w:p>
        </w:tc>
      </w:tr>
      <w:tr>
        <w:trPr>
          <w:trHeight w:val="16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16</w:t>
            </w:r>
          </w:p>
        </w:tc>
        <w:tc>
          <w:tcPr>
            <w:tcW w:w="816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60"/>
        </w:trPr>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540" w:type="dxa"/>
            <w:vAlign w:val="bottom"/>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Annual Report on Form 10-K is for the year ended December 31, 2023. This Annual Report on Form 10-K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 Unless indicated otherwise, throughout this Annual Report on Form 10-K, we refer to Comcast and its consolidated subsidiaries, as “Comcast,” “we,” “us” and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491490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Annual Report on Form 10-K contains trademarks, service marks and trade names owned by us, as well as those owned by others.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006EBF"/>
        </w:rPr>
        <w:t>Item 1: Business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 global media and technology company that reaches customers, viewers and guests worldwide through the connectivity and platforms services we provide and the content and experiences we create. We deliver broadband, wireless, video and voice services primarily under the Xfinity, Comcast Business and Sky brands; produce, distribute and stream leading entertainment, sports and news through brands including NBC, Telemundo, Universal, Peacock and Sky; and own and operate Universal theme parks.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two primary businesses:</w:t>
      </w:r>
    </w:p>
    <w:p>
      <w:pPr>
        <w:spacing w:after="0" w:line="92" w:lineRule="exact"/>
        <w:rPr>
          <w:sz w:val="20"/>
          <w:szCs w:val="20"/>
          <w:color w:val="auto"/>
        </w:rPr>
      </w:pPr>
    </w:p>
    <w:p>
      <w:pPr>
        <w:jc w:val="both"/>
        <w:ind w:left="520" w:hanging="260"/>
        <w:spacing w:after="0" w:line="271"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Connectivity &amp; Platforms: </w:t>
      </w:r>
      <w:r>
        <w:rPr>
          <w:rFonts w:ascii="Times New Roman" w:cs="Times New Roman" w:eastAsia="Times New Roman" w:hAnsi="Times New Roman"/>
          <w:sz w:val="14"/>
          <w:szCs w:val="14"/>
          <w:color w:val="auto"/>
        </w:rPr>
        <w:t>Contains our broadband, wireless, video and wireline voice businesses in the United States, United Kingdom and Italy (collectively, the “Connectivity &amp;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Platforms markets”). Also includes the operations of our Sky-branded entertainment television networks in the United Kingdom and Italy. Our Connectivity &amp; Platforms business is reported in two segments, Residential Connectivity &amp; Platforms and Business Services Connectivity.</w:t>
      </w:r>
    </w:p>
    <w:p>
      <w:pPr>
        <w:spacing w:after="0" w:line="48"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Content &amp; Experiences: </w:t>
      </w:r>
      <w:r>
        <w:rPr>
          <w:rFonts w:ascii="Times New Roman" w:cs="Times New Roman" w:eastAsia="Times New Roman" w:hAnsi="Times New Roman"/>
          <w:sz w:val="14"/>
          <w:szCs w:val="14"/>
          <w:color w:val="auto"/>
        </w:rPr>
        <w:t>Contains our media and entertainment businesses that produce and distribute entertainment, sports, news and other content for global audiences and that own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operate theme parks and attractions in the United States and Asia. Our Content &amp; Experiences business is reported in three segments, Media, Studios and Theme Parks.</w:t>
      </w:r>
    </w:p>
    <w:p>
      <w:pPr>
        <w:spacing w:after="0" w:line="3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additional information on our businesses and segments, including our segment change in the first quarter of 2023, refer to Item 7: Management’s Discussion and Analysis of Financial Condition and Results of Operations and Note 2 to the consolidated financial statements included in this Annual Report on Form 10-K.</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Description of Our Businesses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Connectivity &amp; Platforms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Residential Connectivity &amp; Platforms Segment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Residential Connectivity &amp; Platforms segment primarily includes:</w:t>
      </w:r>
    </w:p>
    <w:p>
      <w:pPr>
        <w:spacing w:after="0" w:line="94" w:lineRule="exact"/>
        <w:rPr>
          <w:sz w:val="20"/>
          <w:szCs w:val="20"/>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broadband and wireless services (collectively, “Residential Connectivity”)</w:t>
      </w:r>
    </w:p>
    <w:p>
      <w:pPr>
        <w:spacing w:after="0" w:line="93" w:lineRule="exact"/>
        <w:rPr>
          <w:rFonts w:ascii="Times New Roman" w:cs="Times New Roman" w:eastAsia="Times New Roman" w:hAnsi="Times New Roman"/>
          <w:sz w:val="14"/>
          <w:szCs w:val="14"/>
          <w:color w:val="auto"/>
        </w:rPr>
      </w:pPr>
    </w:p>
    <w:p>
      <w:pPr>
        <w:ind w:right="4900" w:firstLine="260"/>
        <w:spacing w:after="0" w:line="379" w:lineRule="auto"/>
        <w:tabs>
          <w:tab w:leader="none" w:pos="50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and business video services, Sky-branded entertainment television networks and advertising We offer services to customers individually and as bundled services at a discounted rate.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6EBF"/>
        </w:rPr>
        <w:t>Residential Connectivity</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Broadband</w:t>
      </w:r>
    </w:p>
    <w:p>
      <w:pPr>
        <w:spacing w:after="0" w:line="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offer broadband services in the United States over our hybrid fiber-optic and coaxial (“HFC”) network, as well as through direct fiber-to-the-premises connections for certain customers, and internationally in the United Kingdom and Italy by leveraging networks owned by third-party telecommunications providers.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domestic broadband services have a range of service levels that include downstream speeds up to 1.2 gigabits per second across nearly our entire footprint on our HFC network. In connection with a multiyear network transformation plan, in 2022 we began rolling out downstream speeds of up to 2 gigabits per second, which are now available to approximately a third of our footprint on our HFC network, and in 2023, we began deploying DOCSIS 4.0 in select markets. DOCSIS 4.0 enables us to deliver multigigabit symmetrical broadband speeds (i.e., comparable upstream and downstream speeds) to our domestic customers. We also deploy fiber-to-the-premises, with symmetrical speed offerings ranging up to 10 gigabits per second to customers who request that service, subject to local construction constraints. As part of our low-income broadband adoption program, we offer qualifying domestic customers high-speed broadband services at discounted rates through our Internet Essentials and Internet Essentials Plus services, with downstream speeds of up to 50 and 100 megabits per second, respectively. We also offer a separate service providing monthly access to our expanding network of secure Wi-Fi hotspots.</w:t>
      </w:r>
    </w:p>
    <w:p>
      <w:pPr>
        <w:spacing w:after="0" w:line="386" w:lineRule="exact"/>
        <w:rPr>
          <w:sz w:val="20"/>
          <w:szCs w:val="20"/>
          <w:color w:val="auto"/>
        </w:rPr>
      </w:pPr>
    </w:p>
    <w:p>
      <w:pPr>
        <w:ind w:left="558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1</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map below highlights our domestic HFC network footprint and the markets where we had 250,000 or more domestic residential broadband customers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4608195" cy="2391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0819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international broadband services primarily include fiber-to-the-cabinet offerings, and increasingly fiber-to-the-premises offerings. As part of our domestic and international broadband services, we offer our advanced, proprietary wireless gateways to customers that combine an internet modem with a Wi-Fi router to deliver reliable internet speeds and enhanced coverage through an in-and-out-of-home Wi-Fi network. In addition, customers may personalize and manage their Wi-Fi network and connected home with our mobile apps and online portal. Broadband customers have access to our expanding network of secure Wi-Fi hotspots.</w:t>
      </w:r>
    </w:p>
    <w:p>
      <w:pPr>
        <w:spacing w:after="0" w:line="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also offer Xumo Stream Box (formerly Flex) devices to our domestic broadband customers, which enable customers to consume content over the internet rather than via linear television. The Xumo Stream Box includes integrated search functionality and a voice-activated remote control. The Xumo Stream Box also provides access to and integration of streaming content and music from certain internet-based apps, including direct-to-consumer streaming services (“DTC streaming services”) such as Peacock and third-party services Disney+ and Netflix, and certain pay-per-view and video on demand programming available over the internet. We earn commission revenue from the sale of certain DTC streaming services through the Xumo Stream Box and our other video platforms.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Wireless</w:t>
      </w:r>
    </w:p>
    <w:p>
      <w:pPr>
        <w:spacing w:after="0" w:line="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offer wireless services for wireless handsets, tablets and smart watches (“wireless devices”) to residential customers in the United States and the United Kingdom using mobile virtual network operator (“MVNO”) rights. Our domestic wireless services are offered over Verizon’s wireless network and our existing network of secure residential, outdoor and business Wi-Fi hotspots, and are offered initially only as part of our bundled service offerings to customers that subscribe to our broadband services. Our wireless services in the United Kingdom are offered primarily using an arrangement to access network assets from Virgin Media O2.</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Wireless customers may activate multiple lines per account. Domestic customers may choose to pay for services on an unlimited data plan, on shared data plans or per gigabyte of data used, and international customers may choose to pay for services on various gigabyte plans. Customers may either bring their own device or purchase devices from us with the option to pay upfront or finance the purchase interest-free over 24 months for domestic customers and over 24 to 48 months for international customers.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60" w:type="dxa"/>
            <w:vAlign w:val="bottom"/>
          </w:tcPr>
          <w:p>
            <w:pPr>
              <w:jc w:val="right"/>
              <w:ind w:right="5583"/>
              <w:spacing w:after="0"/>
              <w:rPr>
                <w:sz w:val="20"/>
                <w:szCs w:val="20"/>
                <w:color w:val="auto"/>
              </w:rPr>
            </w:pPr>
            <w:r>
              <w:rPr>
                <w:rFonts w:ascii="Times New Roman" w:cs="Times New Roman" w:eastAsia="Times New Roman" w:hAnsi="Times New Roman"/>
                <w:sz w:val="11"/>
                <w:szCs w:val="11"/>
                <w:b w:val="1"/>
                <w:bCs w:val="1"/>
                <w:color w:val="auto"/>
              </w:rPr>
              <w:t>2</w:t>
            </w:r>
          </w:p>
        </w:tc>
      </w:tr>
      <w:tr>
        <w:trPr>
          <w:trHeight w:val="264"/>
        </w:trPr>
        <w:tc>
          <w:tcPr>
            <w:tcW w:w="3820" w:type="dxa"/>
            <w:vAlign w:val="bottom"/>
            <w:tcBorders>
              <w:bottom w:val="single" w:sz="8" w:color="9A9A9A"/>
            </w:tcBorders>
          </w:tcPr>
          <w:p>
            <w:pPr>
              <w:spacing w:after="0"/>
              <w:rPr>
                <w:sz w:val="22"/>
                <w:szCs w:val="22"/>
                <w:color w:val="auto"/>
              </w:rPr>
            </w:pPr>
          </w:p>
        </w:tc>
        <w:tc>
          <w:tcPr>
            <w:tcW w:w="74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006EBF"/>
        </w:rPr>
        <w:t>Video</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offer video services to residential and business customers primarily through our X1 platform in the United States over our HFC network, and through our Sky Q platform internationally in the United Kingdom and Italy using a combination of satellite transmission and broadband connections. X1 and Sky Q are cloud-based platforms that provide integrated search functionality leveraging set-top boxes and a voice-activated remote control. The integrated features operate across content in customers’ video service packages and content from internet-based streaming services that customers may access in a manner similar to our Xumo Stream Box. We offer a range of video packages from basic linear service to full linear service, which typically include free-to-air networks and a range of other linear television networks including premium, sports and news networks. Our international video packages also include Sky-branded entertainment television networks that offer entertainment, premium movie and free-to-air programming, as well as Sky Sports networks that are part of our Media segment. Customers may also subscribe to digital video recorder (“DVR”) services or access our video on demand services with programming that is available for no additional cost or to rent or buy digitally. These viewing options are also available through our mobile apps and online portals.</w:t>
      </w: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offer DTC streaming services marketed using the NOW brand, with an offering in the United States that launched in 2023. NOW services provide video content over the internet and do not require a set-top box. Our international NOW service offerings include packages for monthly access to entertainment, sports and movies programming, as well as daily pass options for sports programming. Our domestic NOW TV service is only offered to residential broadband customers and includes monthly access to a variety of linear television networks; entertainment and movie programming; integrated access to free streaming channels from Xumo Play, NBC and Sky; and access to the ad-supported tier of Peacock.</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offer video services in the United Kingdom and Italy over a broadband connection without the need for a satellite dish. These services have an operating system similar to Sky Q and are offered to customers that purchase our Sky Glass smart televisions or through Sky Stream, which leverages a streaming device and Wi-Fi.</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006EBF"/>
        </w:rPr>
        <w:t>Advertising</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generally receive an allocation of scheduled advertising time as part of our distribution agreements with domestic cable networks that our advertising business sells, and we also sell advertising on our Sky-branded entertainment television networks, on our digital platforms, and where we represent the advertising sales efforts of third parties both domestically and internationally. Additionally, we offer technology, tools, data-driven services and marketplace solutions to customers in the media industry to facilitate effective engagement of advertisers with their target audiences.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006EBF"/>
        </w:rPr>
        <w:t>Other</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offer residential wireline voice services primarily using interconnected Voice over Internet Protocol (“VoIP”) technology, and we offer residential security and automation services. We also license our technology platforms to other multichannel video providers and distribute certain of our Sky-branded entertainment television networks to third-party video service providers.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Services Connectivity Segment</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Business Services Connectivity segment consists of our service offerings for small business locations in the United States, which include broadband, wireline voice and wireless services, as well as our service offerings for medium-sized customers and larger enterprises. Certain business customers subscribe to our video services, and the associated revenue is included in our Residential Connectivity &amp; Platforms segment.</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offer broadband services primarily over our HFC network with a range of service levels that include downstream speeds up to 1.25 gigabits per second, as well as fiber-based services that deliver symmetrical speeds ranging up to 100 gigabits per second. We have also launched small business connectivity service offerings in the United Kingdom.</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small business broadband, wireline voice and wireless service offerings are similar to those provided to our residential customers and additionally include cloud-based cybersecurity services, wireless backup connectivity, advanced Wi-Fi solutions, video monitoring services and other cloud-based services.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medium-sized and enterprise customer offerings also include ethernet network services, which connect multiple locations and provide higher downstream and upstream speed options, advanced voice services, and a software-defined networking product. Our larger enterprises may also receive support services related to Wi-Fi networks, router management, network security, business continuity risks and other services. These services are primarily provided to Fortune 1000 companies and other large enterprises with multiple locations both within and outside of our distribution footprint, where we provide coverage outside of our service areas through agreements with other companies to use their networks.</w:t>
      </w:r>
    </w:p>
    <w:p>
      <w:pPr>
        <w:spacing w:after="0" w:line="380" w:lineRule="exact"/>
        <w:rPr>
          <w:sz w:val="20"/>
          <w:szCs w:val="20"/>
          <w:color w:val="auto"/>
        </w:rPr>
      </w:pPr>
    </w:p>
    <w:p>
      <w:pPr>
        <w:ind w:left="558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3</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Network and Technology</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segments within our Connectivity &amp; Platforms business use our HFC network in the United States, which we believe is sufficiently flexible and scalable to support our future technology requirements and enables us to continue to grow capacity and capabilities over time. This network provides the two-way transmissions required to provide connectivity services and interactive video and entertainment services through our platforms, and consists primarily of headends, coaxial and fiber-optic cables owned or leased by us, and equipment such as lasers, routers, switches and content distribution servers. Across nearly our entire domestic footprint, we currently leverage DOCSIS 3.1 to offer downstream broadband speeds up to over a gigabit per second to residential and business customers. We also deploy fiber-to-the-premises, with symmetrical speed offerings ranging up to 10 gigabits per second to customers who request that service, subject to local construction constraints. We offer domestic wireless services using an MVNO agreement that allows us to offer services using Verizon’s wireless network along with our existing network of Wi-Fi hotspots across our HFC network.</w:t>
      </w:r>
    </w:p>
    <w:p>
      <w:pPr>
        <w:spacing w:after="0" w:line="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continue to evolve and enhance the capabilities of our domestic network. In connection with a multiyear network transformation plan, in 2022 we began rolling out downstream speeds of up to 2 gigabits per second to our residential customers, which are now available to approximately a third of our footprint on our HFC network, and in 2023, we began deploying DOCSIS 4.0 in select markets. DOCSIS 4.0 enables us to deliver multigigabit symmetrical broadband speeds over our existing HFC network. Additionally, as part of our network evolution, our engineering teams have been virtualizing and automating many core network functions using various technologies to expand capacity, increase operating efficiency, and identify and fix network issues proactively before they affect our customers. We continue to extend our network’s reach to new homes and businesses within our existing service areas, as well as edging-out to new service areas to expand the number of homes and businesses “passed,” with homes and businesses considered passed if we can connect them to our network without further extending the transmission lines. Our investment in virtualizing the network enables us to maintain network reliability and operational efficiency regardless of whether we connect a residence using either fiber or our HFC network. We also have begun to partner with local, state and federal agencies when possible to provide services to unserved and underserved communities leveraging governmental subsidies where available.</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components of our domestic network require periodic maintenance and replacement and are primarily located on owned and leased properties, and in locations under agreements with local public utilities and municipalities. We operate national and regional data centers with equipment that is used to provide our services and maintain network operations centers with equipment necessary to monitor and manage the status of our services and network.</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international services are offered leveraging third-party networks, as well as our own core fiber network for broadband and wireline voice services in the United Kingdom. The related operating plant and equipment used to provide our video and connectivity services include leased satellite system signal receiving, encoding and decoding devices, and owned and leased headends and distribution networks, including coaxial, fiber-optic cables and other related equipment. For a majority of international customers, our video platform is delivered via one-way digital satellite transmission that uses satellites leased from third parties for the distribution of television networks, augmented by a set-top box and high-speed, two-way broadband connectivity. We offer broadband and wireline voice services primarily using BT Openreach’s network in the United Kingdom and Fastweb and Open Fiber’s networks in Italy, and in many cases, the fee for us to access these networks is on regulated terms. The ranges of service levels and speeds we offer are dependent upon the capabilities and reach of these third-party networks. We offer wireless services in the United Kingdom using a combination of Virgin Media O2’s network and our own mobile core network.</w:t>
      </w:r>
    </w:p>
    <w:p>
      <w:pPr>
        <w:spacing w:after="0" w:line="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Our Connectivity &amp; Platforms business engineering teams continue to focus on technology initiatives to develop and deploy next-generation media, content delivery, content aggregation and streaming platforms that support X1, Sky Q, NOW, Sky Glass, Sky Stream, Xumo and our cloud DVR technology. These platforms are based on our global technology platform and integrate linear television networks, owned and third-party DTC streaming services and other internet-based apps, and on demand programming in a unified experience with voice-activated remote control search and interactive features. We also continue to focus on leveraging our own cloud network services to deliver video and advanced search capabilities. Our Connectivity &amp; Platforms business also pursues technology initiatives related to broadband and wireless services that leverage our global technology platform. We provide our customers with in-and-out-of-home Wi-Fi, the ability to manage their Wi-Fi network and connected home with our mobile apps and online portal, advanced security technology, and other features.</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Programming</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offer video services, Residential Connectivity &amp; Platforms licenses substantial amounts of linear television programming from third parties and from our Media segment. The fees associated with these distribution agreements are generally based on the number of subscribers receiving the television network programming and a per subscriber fee, although programming expenses for certain television networks are based on a fixed fee. Additionally, certain of our agreements include the rights to offer such programming through multiple delivery platforms, such as through our on demand services, online portal, mobile apps, the Xumo Stream Box and our NOW and NOW TV streaming services.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60" w:type="dxa"/>
            <w:vAlign w:val="bottom"/>
          </w:tcPr>
          <w:p>
            <w:pPr>
              <w:jc w:val="right"/>
              <w:ind w:right="5583"/>
              <w:spacing w:after="0"/>
              <w:rPr>
                <w:sz w:val="20"/>
                <w:szCs w:val="20"/>
                <w:color w:val="auto"/>
              </w:rPr>
            </w:pPr>
            <w:r>
              <w:rPr>
                <w:rFonts w:ascii="Times New Roman" w:cs="Times New Roman" w:eastAsia="Times New Roman" w:hAnsi="Times New Roman"/>
                <w:sz w:val="11"/>
                <w:szCs w:val="11"/>
                <w:b w:val="1"/>
                <w:bCs w:val="1"/>
                <w:color w:val="auto"/>
              </w:rPr>
              <w:t>4</w:t>
            </w:r>
          </w:p>
        </w:tc>
      </w:tr>
      <w:tr>
        <w:trPr>
          <w:trHeight w:val="264"/>
        </w:trPr>
        <w:tc>
          <w:tcPr>
            <w:tcW w:w="3820" w:type="dxa"/>
            <w:vAlign w:val="bottom"/>
            <w:tcBorders>
              <w:bottom w:val="single" w:sz="8" w:color="9A9A9A"/>
            </w:tcBorders>
          </w:tcPr>
          <w:p>
            <w:pPr>
              <w:spacing w:after="0"/>
              <w:rPr>
                <w:sz w:val="22"/>
                <w:szCs w:val="22"/>
                <w:color w:val="auto"/>
              </w:rPr>
            </w:pPr>
          </w:p>
        </w:tc>
        <w:tc>
          <w:tcPr>
            <w:tcW w:w="74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programming on our Sky-branded entertainment television networks includes content licensed from third parties and from our Studios segment, including certain original content. Our most significant commitments for the licensing of film and television entertainment content include exclusive rights with Paramount, Warner Bros. and our Studios segment.</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Sources of Supply and Operations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purchase from a limited number of suppliers a significant amount of customer premise equipment, including wireless gateways and set-top boxes, network equipment and services to provide our broadband and video services to residential and business customers. We also purchase from a limited number of suppliers a significant number of wireless devices. We use a limited number of vendors to provide customer billing for our residential and business customers.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technical services groups perform various tasks, including installations, plant maintenance and upgrades to our domestic HFC network, and servicing and upgrades of customer premise equipment. The service vehicles used by our technical services groups are primarily owned. Our customer service teams provide primarily 24/7 call-answering capability and other services and also offer our services to residential and business customers.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06EBF"/>
        </w:rPr>
        <w:t>Residential Connectivity &amp; Platforms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Broadband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compete with a number of companies offering internet services, including:</w:t>
      </w:r>
    </w:p>
    <w:p>
      <w:pPr>
        <w:spacing w:after="0" w:line="94"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wireline telecommunications companies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wireless telecommunications companies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municipal broadband networks and power companies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satellite broadband providers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Certain wireline telecommunications companies, such as AT&amp;T, Frontier, Lumen and Verizon in the United States and BT and Virgin Media in the United Kingdom, have built and are continuing to build fiber-based wireline network infrastructure further into their networks, which enables them to provide data transmission speeds that exceed those that can be provided with traditional copper digital subscriber line (“DSL”) technology, and are offering services with these higher speeds in many of our service areas. Certain companies that offer DSL service have increased data transmission speeds, lowered prices or created bundled services to compete with our broadband services.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Various wireless companies are offering internet services using a variety of technologies, including 5G fixed wireless networks and 4G and 5G wireless broadband services. These networks work with devices such as smartphones, laptops, tablets, and mobile and fixed wireless routers, as well as wireless data cards.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companies have launched fiber networks that provide broadband services in certain areas in which we operate, and certain municipalities in our service areas are also building fiber-based networks.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Domestic broadband-deployment funding initiatives at the federal and state levels may result in other service providers deploying subsidized internet access networks within our footprint. The availability of these and other offerings could negatively impact the demand for our domestic broadband services.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Wireless</w:t>
      </w:r>
    </w:p>
    <w:p>
      <w:pPr>
        <w:spacing w:after="0" w:line="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compete with national and regional wireless service providers in the United States, including AT&amp;T, T-Mobile and Verizon, and wireless service providers in the United Kingdom that offer wireless service on both a stand-alone basis and with other services as bundled offerings.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Video</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compete with a number of companies offering video services in the Connectivity &amp; Platforms markets, including:</w:t>
      </w:r>
    </w:p>
    <w:p>
      <w:pPr>
        <w:spacing w:after="0" w:line="94"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streaming and other over-the-top (“OTT”) service providers and aggregators, including:</w:t>
      </w:r>
    </w:p>
    <w:p>
      <w:pPr>
        <w:spacing w:after="0" w:line="93" w:lineRule="exact"/>
        <w:rPr>
          <w:rFonts w:ascii="Times New Roman" w:cs="Times New Roman" w:eastAsia="Times New Roman" w:hAnsi="Times New Roman"/>
          <w:sz w:val="14"/>
          <w:szCs w:val="14"/>
          <w:color w:val="auto"/>
        </w:rPr>
      </w:pPr>
    </w:p>
    <w:p>
      <w:pPr>
        <w:ind w:left="1020" w:hanging="251"/>
        <w:spacing w:after="0" w:line="287" w:lineRule="auto"/>
        <w:tabs>
          <w:tab w:leader="none" w:pos="1028"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subscription-based services, such as Disney+ and Netflix, that offer online services that enable internet streaming and downloading of movies, television shows and other video programming</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virtual multichannel video providers, such as Hulu + Live TV and YouTube TV, that offer streamed linear television networks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ad-supported television services</w:t>
      </w:r>
    </w:p>
    <w:p>
      <w:pPr>
        <w:spacing w:after="0" w:line="200" w:lineRule="exact"/>
        <w:rPr>
          <w:sz w:val="20"/>
          <w:szCs w:val="20"/>
          <w:color w:val="auto"/>
        </w:rPr>
      </w:pPr>
    </w:p>
    <w:p>
      <w:pPr>
        <w:spacing w:after="0" w:line="218" w:lineRule="exact"/>
        <w:rPr>
          <w:sz w:val="20"/>
          <w:szCs w:val="20"/>
          <w:color w:val="auto"/>
        </w:rPr>
      </w:pPr>
    </w:p>
    <w:p>
      <w:pPr>
        <w:ind w:left="558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5</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251"/>
        <w:spacing w:after="0"/>
        <w:tabs>
          <w:tab w:leader="none" w:pos="10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companies that offer streaming devices that access and integrate streaming content</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broadcast satellite (“DBS”) providers that transmit satellite signals to substantially all households in the Connectivity &amp; Platforms markets to provide video programming and other information similar to our video services</w:t>
      </w:r>
    </w:p>
    <w:p>
      <w:pPr>
        <w:spacing w:after="0" w:line="39"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companies that have built and continue to build fiber-based networks that provide video services similar to ours and provide bundled offerings that include wireless and/or broadband services</w:t>
      </w:r>
    </w:p>
    <w:p>
      <w:pPr>
        <w:spacing w:after="0" w:line="24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providers that build and operate communications systems and services in the same areas that we serve, including traditional providers of linear television programming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broad array of other online content providers, such as social networking platforms and user-generated content providers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companies, such as broadcast television stations, that provide multiple free-to-air networks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Many of these competitors also have significant financial resources.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Similar to the competitive environment in our Media segment, our Sky-branded entertainment television networks compete for the distribution of our television network programming to third-party video service providers and for viewers’ attention and audience share.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Advertising</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compete for the sale of advertising with television networks and stations, digital properties, including an increasing number of ad-supported DTC streaming and other OTT service providers and a broad array of other online content providers, such as social networking platforms and user-generated content providers, and all other advertising platforms. Similar to the competitive environment in our Media segment, the willingness of advertisers to purchase advertising from us may be adversely affected by declines in audience ratings and television viewership, difficulty in measuring fragmented audiences and the increasing number of entertainment choices available. Our advertising is sold to local, regional and national advertisers, and competition is affected by the market conditions in the specific geographic locations in which we operate. We also compete with companies offering technology, tools and other services to customers in the media industry.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6EBF"/>
        </w:rPr>
        <w:t>Business Services Connectivity</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Business Services Connectivity primarily competes with wireline telecommunications companies and wide area network managed service providers. Competition for our connectivity services for small business customers is generally similar to the Residential Connectivity &amp; Platforms segment. We compete for the sale of services to medium-sized customers and larger enterprises primarily with wide area network managed service providers, cloud-based application service providers, and other telecommunication carriers.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 and Cyclicality</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Results in our Residential Connectivity &amp; Platforms segment are impacted by the seasonal nature of residential customers receiving our services, including in college and vacation markets in the United States, and by the timing of the European football seasons in our international markets, which generally result in negative impacts to net customer relationship additions/(losses) in the second quarter of each year.</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Similar to seasonal and cyclical variations in our Media segment, advertising revenue is subject to cyclical patterns and changes in viewership levels, driven by timing of the winter holiday season, political campaigns, sports seasons and when programming is aired.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60" w:type="dxa"/>
            <w:vAlign w:val="bottom"/>
          </w:tcPr>
          <w:p>
            <w:pPr>
              <w:jc w:val="right"/>
              <w:ind w:right="5583"/>
              <w:spacing w:after="0"/>
              <w:rPr>
                <w:sz w:val="20"/>
                <w:szCs w:val="20"/>
                <w:color w:val="auto"/>
              </w:rPr>
            </w:pPr>
            <w:r>
              <w:rPr>
                <w:rFonts w:ascii="Times New Roman" w:cs="Times New Roman" w:eastAsia="Times New Roman" w:hAnsi="Times New Roman"/>
                <w:sz w:val="11"/>
                <w:szCs w:val="11"/>
                <w:b w:val="1"/>
                <w:bCs w:val="1"/>
                <w:color w:val="auto"/>
              </w:rPr>
              <w:t>6</w:t>
            </w:r>
          </w:p>
        </w:tc>
      </w:tr>
      <w:tr>
        <w:trPr>
          <w:trHeight w:val="264"/>
        </w:trPr>
        <w:tc>
          <w:tcPr>
            <w:tcW w:w="3820" w:type="dxa"/>
            <w:vAlign w:val="bottom"/>
            <w:tcBorders>
              <w:bottom w:val="single" w:sz="8" w:color="9A9A9A"/>
            </w:tcBorders>
          </w:tcPr>
          <w:p>
            <w:pPr>
              <w:spacing w:after="0"/>
              <w:rPr>
                <w:sz w:val="22"/>
                <w:szCs w:val="22"/>
                <w:color w:val="auto"/>
              </w:rPr>
            </w:pPr>
          </w:p>
        </w:tc>
        <w:tc>
          <w:tcPr>
            <w:tcW w:w="74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Content &amp; Experiences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 Segment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our Media segment as a combined television and streaming business, which primarily includes:</w:t>
      </w:r>
    </w:p>
    <w:p>
      <w:pPr>
        <w:spacing w:after="0" w:line="94"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NBCUniversal’s national and regional cable networks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 and Telemundo broadcast networks and owned local broadcast television stations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Peacock DTC streaming service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television networks, including Sky Sports networks in the United Kingdom and Italy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distribute a wide variety of programming on our linear television networks and streaming services to appeal to consumers with varying preferences across demographics and geographic areas.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is primarily generated from the sale of advertising and from the distribution of our television and streaming programming.</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sell advertising on our linear television networks, Peacock and other digital properties. Our advertising sales are affected by the prices we charge for each advertising unit, which are generally based on the size and demographics of our viewing audiences, audience ratings on our television networks, the number of advertising units we can place in our programming and on our digital properties, and our ability to sell advertising across our television and streaming business.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receive fees from the distribution of our television networks to traditional multichannel video providers, such as our Residential Connectivity &amp; Platforms segment, and virtual multichannel video providers that offer streamed linear television networks. Our distribution agreements are generally multiyear, with revenue based on the number of subscribers receiving the programming on our television networks and a per subscriber fee, although revenue for certain of our television networks is based on a fixed fee. These fees include amounts for our owned television networks, including under NBC and Telemundo retransmission consent agreements, as well as associated fees from NBC-affiliated and Telemundo-affiliated local broadcast television stations. We also receive monthly retail or wholesale subscription fees for our Peacock service.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generate revenue from the licensing of our owned content and technology and from various digital properties.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06EBF"/>
        </w:rPr>
        <w:t>Domestic Cable Networks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operate a diversified portfolio of cable networks operating predominantly in the United States. The table below presents a summary of NBCUniversal’s national cable networks and their advertising reach to U.S. households.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80" w:type="dxa"/>
            <w:vAlign w:val="bottom"/>
          </w:tcPr>
          <w:p>
            <w:pPr>
              <w:spacing w:after="0"/>
              <w:rPr>
                <w:sz w:val="12"/>
                <w:szCs w:val="1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Approximate U.S.</w:t>
            </w:r>
          </w:p>
        </w:tc>
        <w:tc>
          <w:tcPr>
            <w:tcW w:w="7080" w:type="dxa"/>
            <w:vAlign w:val="bottom"/>
          </w:tcPr>
          <w:p>
            <w:pPr>
              <w:spacing w:after="0"/>
              <w:rPr>
                <w:sz w:val="12"/>
                <w:szCs w:val="12"/>
                <w:color w:val="auto"/>
              </w:rPr>
            </w:pPr>
          </w:p>
        </w:tc>
      </w:tr>
      <w:tr>
        <w:trPr>
          <w:trHeight w:val="149"/>
        </w:trPr>
        <w:tc>
          <w:tcPr>
            <w:tcW w:w="2080" w:type="dxa"/>
            <w:vAlign w:val="bottom"/>
          </w:tcPr>
          <w:p>
            <w:pPr>
              <w:spacing w:after="0"/>
              <w:rPr>
                <w:sz w:val="12"/>
                <w:szCs w:val="1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Households as of</w:t>
            </w:r>
          </w:p>
        </w:tc>
        <w:tc>
          <w:tcPr>
            <w:tcW w:w="7080" w:type="dxa"/>
            <w:vAlign w:val="bottom"/>
          </w:tcPr>
          <w:p>
            <w:pPr>
              <w:spacing w:after="0"/>
              <w:rPr>
                <w:sz w:val="12"/>
                <w:szCs w:val="12"/>
                <w:color w:val="auto"/>
              </w:rPr>
            </w:pPr>
          </w:p>
        </w:tc>
      </w:tr>
      <w:tr>
        <w:trPr>
          <w:trHeight w:val="139"/>
        </w:trPr>
        <w:tc>
          <w:tcPr>
            <w:tcW w:w="2080" w:type="dxa"/>
            <w:vAlign w:val="bottom"/>
          </w:tcPr>
          <w:p>
            <w:pPr>
              <w:spacing w:after="0"/>
              <w:rPr>
                <w:sz w:val="12"/>
                <w:szCs w:val="1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December 31, 2023</w:t>
            </w:r>
          </w:p>
        </w:tc>
        <w:tc>
          <w:tcPr>
            <w:tcW w:w="7080" w:type="dxa"/>
            <w:vAlign w:val="bottom"/>
          </w:tcPr>
          <w:p>
            <w:pPr>
              <w:spacing w:after="0"/>
              <w:rPr>
                <w:sz w:val="12"/>
                <w:szCs w:val="12"/>
                <w:color w:val="auto"/>
              </w:rPr>
            </w:pPr>
          </w:p>
        </w:tc>
      </w:tr>
      <w:tr>
        <w:trPr>
          <w:trHeight w:val="198"/>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Cable Network</w:t>
            </w:r>
          </w:p>
        </w:tc>
        <w:tc>
          <w:tcPr>
            <w:tcW w:w="9200" w:type="dxa"/>
            <w:vAlign w:val="bottom"/>
            <w:tcBorders>
              <w:bottom w:val="single" w:sz="8" w:color="auto"/>
            </w:tcBorders>
            <w:gridSpan w:val="2"/>
          </w:tcPr>
          <w:p>
            <w:pPr>
              <w:ind w:left="1440"/>
              <w:spacing w:after="0" w:line="198" w:lineRule="exact"/>
              <w:rPr>
                <w:sz w:val="20"/>
                <w:szCs w:val="20"/>
                <w:color w:val="auto"/>
              </w:rPr>
            </w:pPr>
            <w:r>
              <w:rPr>
                <w:rFonts w:ascii="Times New Roman" w:cs="Times New Roman" w:eastAsia="Times New Roman" w:hAnsi="Times New Roman"/>
                <w:sz w:val="11"/>
                <w:szCs w:val="11"/>
                <w:color w:val="auto"/>
              </w:rPr>
              <w:t>(in millions)</w:t>
            </w: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Description of Programming</w:t>
            </w:r>
          </w:p>
        </w:tc>
      </w:tr>
      <w:tr>
        <w:trPr>
          <w:trHeight w:val="171"/>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USA Network</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entertainment and sports</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Syfy</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Genre-based entertainment</w:t>
            </w:r>
          </w:p>
        </w:tc>
      </w:tr>
      <w:tr>
        <w:trPr>
          <w:trHeight w:val="18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Entertainment and pop culture</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MSNBC</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News, political commentary and information</w:t>
            </w:r>
          </w:p>
        </w:tc>
      </w:tr>
      <w:tr>
        <w:trPr>
          <w:trHeight w:val="18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Bravo</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Lifestyle entertainment</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CNBC</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and financial news</w:t>
            </w:r>
          </w:p>
        </w:tc>
      </w:tr>
      <w:tr>
        <w:trPr>
          <w:trHeight w:val="18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Oxygen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True crime</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Golf Channel</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Golf competition and golf entertainment</w:t>
            </w:r>
          </w:p>
        </w:tc>
      </w:tr>
      <w:tr>
        <w:trPr>
          <w:trHeight w:val="18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Universal Kids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Children’s entertainment</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Universo</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Spanish-language entertainment</w:t>
            </w:r>
          </w:p>
        </w:tc>
      </w:tr>
      <w:tr>
        <w:trPr>
          <w:trHeight w:val="18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CNBC World</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7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Global financial news</w:t>
            </w:r>
          </w:p>
        </w:tc>
      </w:tr>
    </w:tbl>
    <w:p>
      <w:pPr>
        <w:spacing w:after="0" w:line="99" w:lineRule="exact"/>
        <w:rPr>
          <w:sz w:val="20"/>
          <w:szCs w:val="20"/>
          <w:color w:val="auto"/>
        </w:rPr>
      </w:pPr>
    </w:p>
    <w:p>
      <w:pPr>
        <w:ind w:left="200" w:hanging="195"/>
        <w:spacing w:after="0" w:line="280" w:lineRule="auto"/>
        <w:tabs>
          <w:tab w:leader="none" w:pos="198"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Household data is based on information from The Nielsen Company as of December 31, 2023 using its Cable Coverage Universe Estimates report and dynamic ad insertion estimates. The Nielsen estimates include subscribers to both traditional and certain virtual multichannel video providers. The Nielsen estimates are not based on information provided by us and are included solely to enable comparisons between our cable networks and those operated by our peers.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regional sports networks serve approximately 15 million households across the United States, including in markets such as Boston, Chicago, Philadelphia, Sacramento and San Francisco.</w:t>
      </w:r>
    </w:p>
    <w:p>
      <w:pPr>
        <w:spacing w:after="0" w:line="200" w:lineRule="exact"/>
        <w:rPr>
          <w:sz w:val="20"/>
          <w:szCs w:val="20"/>
          <w:color w:val="auto"/>
        </w:rPr>
      </w:pPr>
    </w:p>
    <w:p>
      <w:pPr>
        <w:spacing w:after="0" w:line="229" w:lineRule="exact"/>
        <w:rPr>
          <w:sz w:val="20"/>
          <w:szCs w:val="20"/>
          <w:color w:val="auto"/>
        </w:rPr>
      </w:pPr>
    </w:p>
    <w:p>
      <w:pPr>
        <w:ind w:left="558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7</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161925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006EBF"/>
        </w:rPr>
        <w:t>Domestic Broadcast Networks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NBC</w:t>
      </w:r>
    </w:p>
    <w:p>
      <w:pPr>
        <w:spacing w:after="0" w:line="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NBC network features original entertainment, news and sports programming that reaches viewers in virtually all U.S. television households through more than 200 affiliated stations across the United States, including our 11 owned NBC local broadcast television stations. The NBC owned local broadcast television stations include stations in 8 of the top 10 general markets and collectively reached approximately 35 million U.S. television households as of December 31, 2023, representing approximately 28% of U.S. television households. In addition to broadcasting the NBC network’s national programming, local broadcast television stations deliver local news, weather, and investigative and consumer reporting.</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Telemundo</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Telemundo network, a Spanish-language broadcast network, features original entertainment, news, live specials and sports programming that reaches viewers in over 95% of all U.S. Hispanic television households through 120 affiliated stations, including our 30 owned Telemundo local broadcast television stations, and our national feed. The Telemundo owned local broadcast television stations include stations in all of the top 20 U.S. Hispanic markets and collectively reached approximately 72% of U.S. Hispanic television households as of December 31, 2023. In addition to broadcasting the Telemundo network’s national programming, local broadcast television stations deliver local news, weather, and investigative and consumer reporting. We also own an independent Telemundo station serving the Puerto Rico television market.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6EBF"/>
        </w:rPr>
        <w:t>Peacock</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Peacock is our premium DTC streaming service, featuring NBCUniversal and third-party content. Programming choices include exclusive Peacock originals, current NBC, Bravo and Telemundo shows, news, late-night comedy, live sports and a library of television shows and movies, as well as several live channels. The service is available on internet-connected devices and offered through two subscription-based tiers: an ad-supported tier and a tier featuring the same content ad-free, with certain limited exceptions. The ad-free tier also allows customers to download and watch select programming offline and provides customers with a live stream of their local NBC affiliate stations. We offer Peacock directly to customers or through wholesale arrangements and select partnerships as part of certain video and other platforms in the United States.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6EBF"/>
        </w:rPr>
        <w:t>International Networks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operate a diversified portfolio of international television networks, including premium sports networks under the Sky Sports brand in the United Kingdom and Italy, with a majority of networks dedicated to a specific sport, such as European football. We also operate several NBCUniversal international television networks globally, including CNBC International, Studio Universal, Telemundo International and Universal TV.</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006EBF"/>
        </w:rPr>
        <w:t>Programming</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television networks and Peacock include content licensed from our Studios segment and from third parties, as well as content produced by Media segment businesses, such as live news and sports programming and certain original content, including late-night comedy for NBC and original telenovelas for Telemundo.</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various multiyear contractual commitments for the licensing of content, including contracts related to broadcast and/or streaming rights for sporting events. We generally seek to include in our sports rights agreements the rights to distribute content on one or more of our television networks and on digital properties, including Peacock.</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60" w:type="dxa"/>
            <w:vAlign w:val="bottom"/>
          </w:tcPr>
          <w:p>
            <w:pPr>
              <w:jc w:val="right"/>
              <w:ind w:right="5583"/>
              <w:spacing w:after="0"/>
              <w:rPr>
                <w:sz w:val="20"/>
                <w:szCs w:val="20"/>
                <w:color w:val="auto"/>
              </w:rPr>
            </w:pPr>
            <w:r>
              <w:rPr>
                <w:rFonts w:ascii="Times New Roman" w:cs="Times New Roman" w:eastAsia="Times New Roman" w:hAnsi="Times New Roman"/>
                <w:sz w:val="11"/>
                <w:szCs w:val="11"/>
                <w:b w:val="1"/>
                <w:bCs w:val="1"/>
                <w:color w:val="auto"/>
              </w:rPr>
              <w:t>8</w:t>
            </w:r>
          </w:p>
        </w:tc>
      </w:tr>
      <w:tr>
        <w:trPr>
          <w:trHeight w:val="264"/>
        </w:trPr>
        <w:tc>
          <w:tcPr>
            <w:tcW w:w="3820" w:type="dxa"/>
            <w:vAlign w:val="bottom"/>
            <w:tcBorders>
              <w:bottom w:val="single" w:sz="8" w:color="9A9A9A"/>
            </w:tcBorders>
          </w:tcPr>
          <w:p>
            <w:pPr>
              <w:spacing w:after="0"/>
              <w:rPr>
                <w:sz w:val="22"/>
                <w:szCs w:val="22"/>
                <w:color w:val="auto"/>
              </w:rPr>
            </w:pPr>
          </w:p>
        </w:tc>
        <w:tc>
          <w:tcPr>
            <w:tcW w:w="74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most significant sports rights commitments relate to the NFL, Olympics and English Premier League. The table below presents a summary of these and certain other sports rights commitments for broadcast and/or streaming rights: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Broadcast and/or Streaming Rights</w:t>
            </w: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Rights Expiration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46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4"/>
                <w:szCs w:val="14"/>
                <w:color w:val="auto"/>
              </w:rPr>
              <w:t>NFL</w:t>
            </w:r>
            <w:r>
              <w:rPr>
                <w:rFonts w:ascii="Times New Roman" w:cs="Times New Roman" w:eastAsia="Times New Roman" w:hAnsi="Times New Roman"/>
                <w:sz w:val="18"/>
                <w:szCs w:val="18"/>
                <w:color w:val="auto"/>
                <w:vertAlign w:val="superscript"/>
              </w:rPr>
              <w:t>(a)</w:t>
            </w: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2033-34 season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Summer and Winter Olympic Games</w:t>
            </w: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2032</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English Premier League</w:t>
            </w:r>
          </w:p>
        </w:tc>
        <w:tc>
          <w:tcPr>
            <w:tcW w:w="40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Kingdom and United States</w:t>
            </w:r>
          </w:p>
        </w:tc>
        <w:tc>
          <w:tcPr>
            <w:tcW w:w="28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2028-29 season and 2027-28 season,</w:t>
            </w:r>
          </w:p>
        </w:tc>
        <w:tc>
          <w:tcPr>
            <w:tcW w:w="0" w:type="dxa"/>
            <w:vAlign w:val="bottom"/>
          </w:tcPr>
          <w:p>
            <w:pPr>
              <w:spacing w:after="0"/>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4460" w:type="dxa"/>
            <w:vAlign w:val="bottom"/>
            <w:gridSpan w:val="2"/>
            <w:vMerge w:val="continue"/>
            <w:shd w:val="clear" w:color="auto" w:fill="CCEEFF"/>
          </w:tcPr>
          <w:p>
            <w:pPr>
              <w:spacing w:after="0"/>
              <w:rPr>
                <w:sz w:val="10"/>
                <w:szCs w:val="10"/>
                <w:color w:val="auto"/>
              </w:rPr>
            </w:pPr>
          </w:p>
        </w:tc>
        <w:tc>
          <w:tcPr>
            <w:tcW w:w="4000" w:type="dxa"/>
            <w:vAlign w:val="bottom"/>
            <w:gridSpan w:val="2"/>
            <w:vMerge w:val="continue"/>
            <w:shd w:val="clear" w:color="auto" w:fill="CCEEFF"/>
          </w:tcPr>
          <w:p>
            <w:pPr>
              <w:spacing w:after="0"/>
              <w:rPr>
                <w:sz w:val="10"/>
                <w:szCs w:val="10"/>
                <w:color w:val="auto"/>
              </w:rPr>
            </w:pPr>
          </w:p>
        </w:tc>
        <w:tc>
          <w:tcPr>
            <w:tcW w:w="28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0" w:type="dxa"/>
            <w:vAlign w:val="bottom"/>
          </w:tcPr>
          <w:p>
            <w:pPr>
              <w:spacing w:after="0"/>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3540" w:type="dxa"/>
            <w:vAlign w:val="bottom"/>
            <w:shd w:val="clear" w:color="auto" w:fill="CCEEFF"/>
          </w:tcPr>
          <w:p>
            <w:pPr>
              <w:spacing w:after="0"/>
              <w:rPr>
                <w:sz w:val="6"/>
                <w:szCs w:val="6"/>
                <w:color w:val="auto"/>
              </w:rPr>
            </w:pPr>
          </w:p>
        </w:tc>
        <w:tc>
          <w:tcPr>
            <w:tcW w:w="2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NASCAR</w:t>
            </w: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2031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PGA Tour and other golf events</w:t>
            </w: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2031</w:t>
            </w: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Big Ten football and basketball</w:t>
            </w: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2029-30 season</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Worldwide Wrestling Entertainment (“WWE”)</w:t>
            </w: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 on television and 2026 on Peacock</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Formula One</w:t>
            </w: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Kingdom and Italy</w:t>
            </w:r>
          </w:p>
        </w:tc>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2029 and 2027, respectively</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England and Wales Cricket Board</w:t>
            </w: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Kingdom</w:t>
            </w: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English Football League</w:t>
            </w: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Kingdom</w:t>
            </w:r>
          </w:p>
        </w:tc>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2028-29 season</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 A</w:t>
            </w: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Italy</w:t>
            </w: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2028-29 season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Spanish-language FIFA World Cup</w:t>
            </w:r>
          </w:p>
        </w:tc>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auto"/>
            </w:tcBorders>
            <w:shd w:val="clear" w:color="auto" w:fill="CCEEFF"/>
          </w:tcPr>
          <w:p>
            <w:pPr>
              <w:spacing w:after="0"/>
              <w:rPr>
                <w:sz w:val="15"/>
                <w:szCs w:val="15"/>
                <w:color w:val="auto"/>
              </w:rPr>
            </w:pPr>
          </w:p>
        </w:tc>
        <w:tc>
          <w:tcPr>
            <w:tcW w:w="44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Certain professional sports teams through our Regional Sports Networks</w:t>
            </w:r>
          </w:p>
        </w:tc>
        <w:tc>
          <w:tcPr>
            <w:tcW w:w="40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Certain regions in the United States</w:t>
            </w:r>
          </w:p>
        </w:tc>
        <w:tc>
          <w:tcPr>
            <w:tcW w:w="28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Between 2024 and 2040</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200" w:hanging="195"/>
        <w:spacing w:after="0" w:line="270" w:lineRule="auto"/>
        <w:tabs>
          <w:tab w:leader="none" w:pos="173"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agreements to produce and broadcast a specified number of regular season and playoff games, including Sunday Night Football and three remaining Super Bowl games on the NBC network, the next of which is in February 2026, through the 2033-34 season, with a termination right available to the NFL after the 2029-30 season. These agreements also include streaming rights, additional exclusive games on Peacock and the Spanish-language U.S. broadcast rights for certain NFL games, which air on Telemundo.</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television and streaming business competes for the acquisition of content, including sports rights, and for on-air and creative talent primarily with other television networks, DTC streaming and other OTT service providers, and local broadcast television stations. In Europe, broadcasting rights for major sports, which are significant to our international networks, are usually tendered through a competitive auction process, with the winning bidder or bidders acquiring rights over a 3 to 5 year period.</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Studios Segment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Studios segment primarily includes our NBCUniversal and Sky film and television studio production and distribution operations. Our studio production facilities primarily include our owned Universal City location in Los Angeles, California and our leased studios in Atlanta, Georgia and in Elstree, United Kingdom, which were both opened in 2023. Revenue is generated primarily from licensing our owned film and television content in the United States and internationally and from the worldwide distribution of our produced and acquired films for exhibition in movie theaters. We also generate revenue from the sale of physical and digital home entertainment products, as well as the production and licensing of live stage plays and the distribution of content produced by third parties.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6EBF"/>
        </w:rPr>
        <w:t>Film Studios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film studios develop, produce, acquire, market and distribute filmed entertainment worldwide. Our films are produced primarily under the following names:</w:t>
      </w:r>
    </w:p>
    <w:p>
      <w:pPr>
        <w:spacing w:after="0" w:line="94"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Pictures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Illumination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DreamWorks Animation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Focus Features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Title</w:t>
      </w:r>
    </w:p>
    <w:p>
      <w:pPr>
        <w:spacing w:after="0" w:line="200" w:lineRule="exact"/>
        <w:rPr>
          <w:sz w:val="20"/>
          <w:szCs w:val="20"/>
          <w:color w:val="auto"/>
        </w:rPr>
      </w:pPr>
    </w:p>
    <w:p>
      <w:pPr>
        <w:spacing w:after="0" w:line="218" w:lineRule="exact"/>
        <w:rPr>
          <w:sz w:val="20"/>
          <w:szCs w:val="20"/>
          <w:color w:val="auto"/>
        </w:rPr>
      </w:pPr>
    </w:p>
    <w:p>
      <w:pPr>
        <w:ind w:left="558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9</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majority of our films are initially distributed for exhibition in movie theaters, while other films are distributed direct-to-video. After their initial release, we distribute films globally to different customers over multiple licensing windows. We license films, including recent films and selections from our film library, which is comprised of more than 6,500 movies in a variety of genres, to linear television networks and DTC streaming service providers, and to video on demand and pay-per-view services provided by multichannel video providers. This includes licenses to our Media and Residential Connectivity &amp; Platforms segments. Certain films are also licensed to our Media segment and made available for viewing on Peacock on the same date as the theatrical release. We also distribute films globally through the sale of physical and digital home entertainment products. Theatrical revenue is significantly affected by the timing of each release and the number of films we distribute, their acceptance by audiences, the number of exhibition screens, ticket prices, the percentage of ticket sales retention by the exhibitors and the popularity of competing films at the time our films are released. The success of a film in movie theaters is generally a significant factor in determining the revenue a film is likely to generate in succeeding licensing windows and through physical and digital home entertainment product sales.</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develop and produce films both alone and jointly with other studios or production companies. In certain cases, we have also entered into film co-financing arrangements with third party studios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film studio productions, we typically owe “residuals” payments to individuals hired under collective bargaining agreements, which are generally calculated based on post-theatrical or content licensing revenue. We also typically owe “participations” payments to creative talent, to third parties under co-financing agreements and to other parties involved in content production, which are generally based on the financial performance of the content.</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market and distribute our films worldwide and we also acquire distribution rights to films produced by third parties, which may be limited to particular geographic regions, specific forms of media or certain periods of time.</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006EBF"/>
        </w:rPr>
        <w:t>Television Studios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television studios develop, produce and distribute original content, including scripted and unscripted television series. We also produce television content jointly as co-producers with third-party studios and production companies. Our television studios produce content primarily under the following names:</w:t>
      </w:r>
    </w:p>
    <w:p>
      <w:pPr>
        <w:spacing w:after="0" w:line="39"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Television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Content Productions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Television Alternative Studio</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International Studios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Sky Studios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original content is primarily initially licensed to linear television networks, as well as to DTC streaming service providers, including those in our Media and Residential Connectivity &amp; Platforms segments. We also license content after its initial airing, license older television content from our television library, and distribute owned and acquired content globally through the sale of physical and digital home entertainment products. The production and distribution costs related to original television content generally exceed the revenue generated from the initial license, which means that obtaining additional licenses following the initial license is critical to the content’s financial success. Similar to our film studios, we typically owe residuals and participations payments in connection with television studio productions.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Theme Parks Segment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Theme Parks segment primarily includes the operations of the following Universal theme parks:</w:t>
      </w:r>
    </w:p>
    <w:p>
      <w:pPr>
        <w:spacing w:after="0" w:line="92" w:lineRule="exact"/>
        <w:rPr>
          <w:sz w:val="20"/>
          <w:szCs w:val="20"/>
          <w:color w:val="auto"/>
        </w:rPr>
      </w:pPr>
    </w:p>
    <w:p>
      <w:pPr>
        <w:jc w:val="both"/>
        <w:ind w:left="520" w:hanging="260"/>
        <w:spacing w:after="0" w:line="282"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Universal Orlando Resort: </w:t>
      </w:r>
      <w:r>
        <w:rPr>
          <w:rFonts w:ascii="Times New Roman" w:cs="Times New Roman" w:eastAsia="Times New Roman" w:hAnsi="Times New Roman"/>
          <w:sz w:val="14"/>
          <w:szCs w:val="14"/>
          <w:color w:val="auto"/>
        </w:rPr>
        <w:t>Includes two theme parks, Universal Studios Florida and Islands of Adventure, and our water park, Volcano Bay, all of which are located in Orlando, Florida.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Universal Orlando Resort also includes Universal CityWalk Orlando, a dining, retail and entertainment complex, and features on-site themed hotels in which we own a noncontrolling interest.</w:t>
      </w:r>
    </w:p>
    <w:p>
      <w:pPr>
        <w:spacing w:after="0" w:line="21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Universal Studios Hollywood: </w:t>
      </w:r>
      <w:r>
        <w:rPr>
          <w:rFonts w:ascii="Times New Roman" w:cs="Times New Roman" w:eastAsia="Times New Roman" w:hAnsi="Times New Roman"/>
          <w:sz w:val="14"/>
          <w:szCs w:val="14"/>
          <w:color w:val="auto"/>
        </w:rPr>
        <w:t>Includes a theme park located in Hollywood, California and Universal CityWalk Hollywood.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Universal Studios Japan: </w:t>
      </w:r>
      <w:r>
        <w:rPr>
          <w:rFonts w:ascii="Times New Roman" w:cs="Times New Roman" w:eastAsia="Times New Roman" w:hAnsi="Times New Roman"/>
          <w:sz w:val="14"/>
          <w:szCs w:val="14"/>
          <w:color w:val="auto"/>
        </w:rPr>
        <w:t>Includes a theme park located in Osaka, Japan.</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10</w:t>
            </w:r>
          </w:p>
        </w:tc>
      </w:tr>
      <w:tr>
        <w:trPr>
          <w:trHeight w:val="25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5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Universal Beijing Resort: </w:t>
      </w:r>
      <w:r>
        <w:rPr>
          <w:rFonts w:ascii="Times New Roman" w:cs="Times New Roman" w:eastAsia="Times New Roman" w:hAnsi="Times New Roman"/>
          <w:sz w:val="14"/>
          <w:szCs w:val="14"/>
          <w:color w:val="auto"/>
        </w:rPr>
        <w:t>Includes the Universal Studios Beijing theme park, as well as Universal CityWalk Beijing and on-site themed hotels, all of which are located in Beijing, China.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Universal Beijing Resort is owned by us and a consortium of Chinese state-owned companies (see Note 8 to the consolidated financial statements included in this Annual Report on Form 10-K).</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Theme Parks segment properties are primarily owned with certain properties under lease including land in Beijing, China and Osaka, Japan. We have invested and continue to invest significantly in existing and new theme park attractions, hotels and infrastructure, as well as in new destinations and experiences, including an additional theme park at Universal Orlando Resort named Universal’s Epic Universe that is expected to open in 2025, a smaller-scale Universal theme park in Frisco, Texas designed specifically for younger audiences and a year-round horror entertainment experience in Las Vegas, Nevada.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is generated primarily from guest spending at our theme parks, including ticket sales and in-park spending on food, beverages and merchandise, and from our consumer products business.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for our theme parks generally depends on the overall environment for travel and tourism, including consumer spending on leisure and other recreational activities.</w:t>
      </w:r>
    </w:p>
    <w:p>
      <w:pPr>
        <w:spacing w:after="0" w:line="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license the right to use the Universal Studios brand name and other intellectual property and provide other services to third parties, including the party that owns and operates the Universal Studios Singapore theme park on Sentosa Island, Singapore. The themed elements in our rides, attractions, and merchandising are based on intellectual property in our Studios and Media segments and intellectual property licensed from third parties under long-term agreements.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06EBF"/>
        </w:rPr>
        <w:t>Media</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Media segment competes for viewers’ attention and audience share with all forms of programming provided to viewers, including television networks; DTC streaming and other OTT service providers; local broadcast television stations; physical and digital home entertainment products; video on demand and pay-per-view services; online activities, such as social networking and viewing user-generated content; gaming products; and other forms of entertainment, news and information.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Media competes for the sale of advertising with other television networks and stations, digital properties, including an increasing number of ad-supported DTC streaming and other OTT service providers and a broad array of other online content, such as social networking platforms and user-generated content, and all other advertising platforms. The willingness of advertisers to purchase advertising from us may be adversely affected by lower audience ratings and viewership at the related networks, stations or digital properties. Declines in audience ratings can be caused by increased competition for the leisure time of viewers and by audience fragmentation resulting from the increasing number of entertainment choices available. Additionally, it is increasingly challenging to accurately measure fragmented audiences.</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domestic cable networks and international networks compete primarily with other cable networks and programming providers for carriage by multichannel video providers and DTC streaming and other OTT service providers. Our domestic broadcast networks compete with the other broadcast networks in markets across the United States to secure affiliations with independently owned local broadcast television stations, which are necessary to ensure the effective distribution of broadcast network programming to a nationwide audience. Peacock competes for subscribers primarily with other DTC streaming and other OTT service providers, as well as with traditional providers of linear television programming.</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006EBF"/>
        </w:rPr>
        <w:t>Studios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film and television studios compete for audiences with other major film and television studios, independent film producers and creators of content, as well as with alternative forms of entertainment. The competitive position of our studios primarily depends on the number of films and television series and episodes produced, their distribution and marketing success, and consumer response. Our studios also compete to obtain creative, performing and technical talent, including writers, actors, directors, and producers, as well as scripts for films and television shows, and for the distribution of, and consumer interest in, their content. We also compete with other major film and television studios and other producers of entertainment content for the exhibition of content in theaters, on demand, on television networks, and on DTC streaming and other OTT services.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6EBF"/>
        </w:rPr>
        <w:t>Theme Parks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Theme Parks competes with other multi-park entertainment companies as well as other providers of entertainment, lodging, tourism and recreational activities. The competitive position of our theme parks primarily depends on the quality and popularity of rides and attractions, including effective use of intellectual property in themed attractions. There is increased competition in areas with high concentrations of theme parks and other attractions operated by several companies. Macroeconomic conditions and other factors may also result in shifting consumer preferences toward other types of destinations and experiences.</w:t>
      </w:r>
    </w:p>
    <w:p>
      <w:pPr>
        <w:spacing w:after="0" w:line="380"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11</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 and Cyclicality</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 and costs and expenses in our Media segment are cyclical as a result of our periodic broadcasts of major sporting events, such as the Olympic Games and the Super Bowl. In particular, advertising revenue increases due to increased demand for advertising time for these events and distribution revenue increases in the period of broadcasts of the Olympic Games. Costs and expenses also increase as a result of our production costs for these broadcasts and the recognition of the related rights fees.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Revenue in Media is also subject to cyclical advertising patterns and changes in viewership levels. Domestic advertising revenue is generally higher in the second and fourth quarters of each year and in even-numbered years due to increases in advertising in the spring and in the period leading up to and including the winter holiday season, and advertising related to candidates running for political office and issue-oriented advertising, respectively. International advertising revenue typically has seasonally higher audience levels in winter months, with lower levels in summer months due to the timing of European football seasons, winter holidays and summer vacations. Revenue also fluctuates depending on the timing of when our programming is aired, which typically results in additional advertising revenue in the second and fourth quarters of each year.</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Revenue in Studios fluctuates due to the timing, nature and number of films released in movie theaters, on physical and digital home entertainment products, and through various other distribution platforms, including viewing on demand, DTC platforms or other OTT service providers. Release dates are determined by several factors, including competition and the timing of vacation and holiday periods. As a result, revenue tends to be seasonal, with increases experienced each year during the summer months and around the winter holiday season. We incur significant marketing expenses before and throughout the release of a film in movie theaters and as a result, we typically incur losses on a film prior to and during the film’s exhibition in movie theaters. Content licensing revenue also fluctuates due to the timing of when our film and television content is made available to licensees. Revenue from our television studios fluctuates in part due to a correlation with the broadcast network season beginning annually in September.</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 in Theme Parks fluctuates with changes in theme park attendance that typically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winter holiday season.</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other business interests reported in Corporate and Other consist primarily of our Sky-branded video services and television networks in Germany, Comcast Spectacor, which owns the Philadelphia Flyers and the Wells Fargo Center arena in Philadelphia, Pennsylvania, and Xumo, our consolidated streaming platform joint venture with Charter Communications formed in June 2022. Xumo is focused on developing and offering a streaming platform on a variety of devices, including Xumo TV smart televisions, which have an operating system that leverages our global technology platform, and also operates the Xumo Play streaming service.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Legislation and Regulation</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businesses are subject to various federal, state and local laws and regulations, with some also subject to international laws and regulations. In particular, the Communications Act of 1934, as amended (the “Communications Act”), and Federal Communications Commission (“FCC”) regulations and policies affect significant aspects of our communications businesses in the United States.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Beyond the more significant regulations summarized below, 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These legislators and regulators, along with some state attorneys general and foreign governmental authorities, have been active in conducting inquiries and reviews regarding our services. State legislative and regulatory initiatives can create a patchwork of different and/or conflicting state requirements, such as with respect to privacy and Open Internet/net neutrality regulations, that can affect our businesses and ability to effectively compete.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12</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Legislative and regulatory activity has increased under the Biden Administration, particularly with respect to broadband networks. For example, Congress has approved tens of billions of dollars in new funding for broadband deployment and adoption initiatives, and may consider other proposals that address communications issues, including whether it should rewrite the entire Communications Act to account for changes in the communications marketplace and whether it should enact new, permanent Open Internet/net neutrality requirements. Federal agencies are considering adopting new regulations for communications services, including broadband. States and localities are also increasingly proposing new regulations impacting communications services, including broader regulation of broadband networks. Any of these regulations could significantly affect our business and our legal and compliance costs. In addition, United States and foreign regulators and courts could adopt new interpretations of existing competition or antitrust laws or enact new competition or antitrust laws or regulatory tools that could negatively impact our businesses. 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paragraphs summarize the more significant legal and regulatory requirements and risks affecting our businesses.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Communications-Related Regulations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Broadband</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broadband services are subject to a number of regulations and commitments. The FCC frequently considers imposing new broadband-related regulations such as those relating to an Open Internet, and from time to time, imposing new regulatory obligations on internet service providers (“ISPs”) such as us. States and localities also periodically consider new broadband-related regulations, including those regarding government-owned broadband networks, net neutrality and broadband affordability. New broadband regulations, if adopted, may have adverse effects on our businesses. We may also become subject to additional broadband-related commitments as a condition of receiving federal or state broadband funding.</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006EBF"/>
        </w:rPr>
        <w:t>Broadband Deployment and Adoption Initiatives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have been, and may continue to be, substantial broadband-deployment funding initiatives at the federal and state level that could subsidize (i) other service providers building networks within our footprint and (ii) potential expansion of our network to new areas. Federal and state rules for certain funding programs, such as some programs in the American Rescue Plan Act, have been finalized and are being implemented, and we have successfully participated in a number of these programs. Requirements for participation in other recent programs, such as the Infrastructure Act’s Broadband Equity Access and Deployment program, however, have not been finalized. We cannot predict how any such funds will be awarded or the impact of these initiatives on our businesses.</w:t>
      </w:r>
    </w:p>
    <w:p>
      <w:pPr>
        <w:spacing w:after="0" w:line="5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participate in the Affordable Connectivity Program (“ACP”) that Congress created to provide a monthly discount toward broadband service for eligible low-income households starting in 2022. We cannot predict whether Congress will decide to continue funding the ACP after the initial funding allocation is expended, likely at some point during 2024, or the related impact of any such decision.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006EBF"/>
        </w:rPr>
        <w:t>Open Internet Regulations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Various forms of Open Internet regulations can significantly affect our broadband services. The FCC currently recognizes broadband internet access services as “information services” under Title I of the Communications Act subject to a “light touch” regulatory approach rather than to the telecommunications utilities-style regulations from the Communications Act of 1934. However, in October 2023, the FCC proposed to reclassify broadband internet access services as a “telecommunications service,” which would authorize the FCC to subject our broadband services to traditional common carriage regulation under Title II of the Communications Act. While we have disclosed that we do not, and have committed not to, block, throttle, or discriminate against lawful content, which would likely be part of a Title II framework adopted by the FCC, the FCC also could, under a Title II framework, potentially regulate our customer rates, speeds, data usage thresholds or other terms for internet services and could prohibit or seriously restrict arrangements between us and internet content, applications and service providers, including backbone interconnection arrangements.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several states have adopted laws or executive orders that impose Open Internet requirements in a variety of ways, and new state legislation may be adopted in the future. Such attempts by the states to regulate have the potential to create differing and/or conflicting state regulations. In addition, any FCC action could impact state Open Internet initiatives and prompt litigation.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Congress may also consider legislation addressing these regulations and the regulatory framework for broadband internet access services.</w:t>
      </w:r>
    </w:p>
    <w:p>
      <w:pPr>
        <w:spacing w:after="0" w:line="200" w:lineRule="exact"/>
        <w:rPr>
          <w:sz w:val="20"/>
          <w:szCs w:val="20"/>
          <w:color w:val="auto"/>
        </w:rPr>
      </w:pPr>
    </w:p>
    <w:p>
      <w:pPr>
        <w:spacing w:after="0" w:line="218"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13</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cannot predict whether or how the rules might be changed, the impact of any potential new legislation or the outcome of any litigation relating to such rule changes or new legislation.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06EBF"/>
        </w:rPr>
        <w:t>Municipally Owned Broadband Networks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number of local municipalities operate municipally owned broadband networks, and there may be further efforts by local governments to expand or create government-owned networks, particularly in light of federal funding for broadband deployment. Certain states have enacted laws that restrict or prohibit local municipalities from operating municipally owned broadband networks, and there may be efforts in other state legislatures to restrict the development of government-owned networks. Other states, however, have amended or may amend such laws to facilitate such networks. Much of the federal funding authorized for broadband deployment is conditioned on states agreeing to make it available for potential use by government-owned networks, although the funding prioritizes deployment to unserved areas and locations. We cannot predict how successful any of those efforts will be and how they might affect our businesses.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6EBF"/>
        </w:rPr>
        <w:t>Digital Discrimination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2021, Congress enacted the Infrastructure Investment and Jobs Act that, among other things, directed the FCC to adopt rules to facilitate equal access to broadband service by preventing digital discrimination of access to that service based on income level, race, ethnicity, color, religion and national origin. In 2023, the FCC adopted implementing rules that, among other things, bar policies and practices not justified by genuine issues of technical or economic feasibility that: (1) differentially impact customers’ access to broadband internet access service based on income level or other statutory categories, or (2) are intended to have such differential impact. The rules apply broadly to all aspects of broadband service that could affect a consumer’s ability to receive and effectively utilize broadband services, including performance characteristics like speeds and capacity, as well as service plan characteristics like data caps and non-technical terms and conditions of service, such as pricing and promotions. The FCC will enforce the rules on a case-by-case basis based on complaints filed by consumers, state and local governments, and other entities. We cannot predict how these rules will be interpreted and enforced and how they might affect our business, or the outcome of any potential litigation to challenge the rules.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Video</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video marketplace continues to be competitive, particularly with DTC streaming and other OTT service providers. There are a number of laws and regulations that apply solely to multichannel video programming distributors (“MVPDs”) or cable operators such as us in terms of the video services we provide through our Residential Connectivity &amp; Platforms business and to cable networks and local broadcast television stations. These laws and regulations can constrain our ability to compete, particularly against DTC streaming and other OTT service providers, which are not subject to these same requirements.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006EBF"/>
        </w:rPr>
        <w:t>Cable Pricing and Packaging</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our video services are not subject to rate regulation, certain state entities monitor and challenge in court the marketing and advertising of our services. The FCC and the Federal Trade Commission (“FTC”) are also considering proposals that, if adopted, would regulate how we market, price and bill for our services. We cannot predict the outcome of these rulemakings or any current litigation with state entities.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006EBF"/>
        </w:rPr>
        <w:t>Cable Franchising</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Franchising authorities also may require adequate channel capacity, facilities and financial support for public, educational and governmental access programming, and other in-kind contributions.</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Communications Act also contains provisions governing the franchising process, including renewal procedures designed to protect incumbent franchisees against arbitrary denials of renewal and unreasonable renewal conditions. We believe that our franchise renewal prospects are generally favorable but cannot guarantee the future renewal of any individual franchise. The FCC currently prohibits state and local authorities from imposing duplicative franchise and/or fee requirements on the provision of broadband and other non-cable services, and franchise fees are subject to a federal statutory cap of 5% of cable service revenue only and may not include revenue from broadband or other non-cable services offered over a cable system. The current regulations also require that in-kind contributions (such as courtesy services) generally should be treated as franchise fees subject to that cap. Several localities have attempted, generally unsuccessfully to date, to impose franchise fees on DTC streaming and other OTT service providers.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14</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006EBF"/>
        </w:rPr>
        <w:t>Program Carriage</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FCC regulations prohibit us from unreasonably restraining the ability of an unaffiliated video programming network to compete fairly by discriminating against the network on the basis of its non-affiliation in the selection, terms or conditions for its carriage. In addition, cable operators and other MVPDs in the United States are prohibited from requiring as a condition of carriage a financial interest in, or exclusive distribution rights for, a video programming network. We have been involved in program carriage disputes at the FCC, as well as in the courts, and may be subject to new complaints in the future.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006EBF"/>
        </w:rPr>
        <w:t>Program Access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Communications Act and FCC regulations generally prevent cable networks affiliated with cable operators from favoring affiliated cable operators over competing MVPDs. The FCC and Congress have considered proposals that would require companies that own multiple cable networks to make each of their networks available individually when negotiating distribution agreements with MVPDs and potentially with DTC streaming and other OTT service providers. We currently offer our cable networks on a packaged basis (in “tiers”) and, in various cases, individually. We have been involved in program access disputes at the FCC and may be subject to new complaints in the future.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006EBF"/>
        </w:rPr>
        <w:t>Must-Carry/Retransmission Consent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Cable operators are required to carry, without compensation, programming transmitted by most local commercial and noncommercial broadcast television stations. As an alternative to this “must-carry” requirement, local broadcast television stations may choose to negotiate with the cable operator for “retransmission consent,” under which the station gives up its must-carry rights and instead seeks to negotiate a carriage agreement with the cable operator, which frequently will involve payments to the station. We currently pay certain local broadcast television stations in exchange for their required consent for the retransmission of the stations’ broadcast programming to our video services customers and expect to continue to be subject to demands for increased payments and other concessions from local broadcast television stations. Failure to reach a retransmission consent agreement with a broadcaster could result in the loss of popular programming on our video services.</w:t>
      </w:r>
    </w:p>
    <w:p>
      <w:pPr>
        <w:spacing w:after="0" w:line="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Every three years, each local commercial broadcast television station must elect for each cable system either must-carry or retransmission consent. A similar regulatory scheme applies to satellite providers. For the three-year period from January 1, 2021 to December 31, 2023, all of our owned NBC and Telemundo local broadcast television stations elected retransmission consent. Although we have reached retransmission consent agreements with almost all MVPDs in the past, there can be no assurance that we will always be able to renew those agreements under favorable terms or at all.</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006EBF"/>
        </w:rPr>
        <w:t>Broadcast Licensing</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Local broadcast television stations may be operated only in accordance with a license issued by the FCC upon a finding that the grant of the license will serve the public interest, convenience and necessity. The FCC grants broadcast television station licenses for 8-year cycles, which may be renewed with or without conditions. The FCC renewed all of our broadcast television station licenses without conditions during the last license renewal cycle; the current television license renewal cycle began in 2020 and some of our licenses have been renewed. Although our licenses have been renewed in prior cycles, there can be no assurance that we will always obtain renewal grants.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006EBF"/>
        </w:rPr>
        <w:t>Broadcast Ownership Restrictions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Communications Act and FCC regulations impose certain limitations on local and national television ownership, as well as limits on foreign ownership in a broadcast television station. Some of these limitations currently are under review at the FCC, including the national television ownership limit.</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006EBF"/>
        </w:rPr>
        <w:t>Children’s Programming</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federal regulations, the amount of commercial content that may be shown on cable networks, broadcast networks and local broadcast television stations during programming originally produced and broadcast primarily for an audience of children 12 years of age and under is limited, and certain television station programming must serve the educational and informational needs of children 16 years of age and under.</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006EBF"/>
        </w:rPr>
        <w:t>FCC Spectrum Proceedings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FCC, the Department of Commerce’s National Telecommunications and Information Administration and other federal agencies are in the process of evaluating and potentially modifying allocations and rules to make available additional spectrum that will likely be used for licensed and unlicensed commercial services, including 5G services, which could impact potential interest in future spectrum bands for auction or alternative assignment. In addition, because our businesses use some of this spectrum to provide services, they have been transitioning their operations to different frequencies in order to accommodate the reallocation of spectrum for 5G, and they may be required to transition other operations in the future if the FCC reallocates other spectrum bands that we use, which could disrupt our services and impose additional costs.</w:t>
      </w:r>
    </w:p>
    <w:p>
      <w:pPr>
        <w:spacing w:after="0" w:line="383"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15</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Wireless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offer a wireless voice and data service primarily using our MVNO rights to provide the service over Verizon’s wireless network. MVNOs are subject to many of the same FCC regulations as facilities-based wireless carriers, such as E911 services and local number portability, as well as certain state or local regulations. The FCC or other regulatory authorities may adopt new or different regulations for MVNOs and/or mobile broadband providers in the future, which could adversely affect our wireless phone service offering or our business generally.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Voice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provide voice services using VoIP technology. The FCC has adopted a number of regulations for providers of nontraditional voice services such as ours, including regulations relating to privacy of customer proprietary network information, local number portability duties and benefits, disability access, E911, law enforcement assistance, outage reporting, Universal Service Fund contribution obligations, rural call completion, customer equipment back-up power, robocall mitigation, service discontinuance and certain regulatory filing requirements. The FCC has not yet ruled on whether VoIP services such as ours should be classified as an “information service” or a “telecommunications service” under the Communications Act. State regulatory commissions and legislatures in other jurisdictions may continue to consider imposing regulatory requirements on our voice services as long as the regulatory classification of VoIP remains unsettled at the federal level.</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International Communications-Related and Other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of our international businesses are subject to telecommunications and media-specific regulation described below in Europe, Latin America and other international jurisdictions, and all of our international businesses are subject to regulation under generally applicable laws, such as competition, consumer protection, data protection and taxation in the jurisdictions where they operate. Our international businesses are currently, and may be in the future, subject to proceedings or investigations from regulatory and antitrust authorities in the jurisdictions in which those businesses operate. In addition, the U.K. government is proposing to introduce extensive new consumer and competition legislation in 2024, the Digital Markets Competition and Consumer Bill. We cannot predict how the proposed regulation will affect Sky’s businesses.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Platform Services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United Kingdom, Sky’s electronic program guide (“EPG”) and conditional access (“CA”) services are provided to other programming providers on fair, reasonable and nondiscriminatory terms, among other things, so that those providers’ content is available on the Sky satellite platform via the EPG on set-top boxes. Sky also has voluntarily committed to the United Kingdom’s communications regulator, the Office of Communications (“Ofcom”) to provide access control services to third parties that enable them to provide interactive services. Sky is subject to similar EPG and CA obligations in Germany.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Television Networks and On-Demand Services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video business holds a number of licenses and authorizations for their portfolios of television networks and on-demand services. For example, in the United Kingdom, Sky-branded television networks are licensed and subject to various codes issued by Ofcom affecting the content and delivery of these networks. We also hold various broadcast licenses in certain E.U. and other countries. These content-related rules and regulations cover issues such as the acquisition and exploitation of sports rights, media concentration and plurality, television advertising, the protection of children, accessibility, airtime for commercials and teleshopping, sponsorship and ensuring clear distinctions between program content and advertising.</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Broadband and Voice</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Connectivity &amp; Platforms business provides broadband and voice services in the United Kingdom, the Republic of Ireland and Italy pursuant to wholesale distribution agreements that third-party broadband and telecommunications companies either make available commercially or are required to make available under applicable laws in those jurisdictions. Material changes to these regulations could affect our business. As a provider of broadband services, we are subject to applicable laws and regulations relating to telecommunications security, including a U.K. law that requires providers to take certain measures with respect to potential security compromises. We are also subject to E.U. and other Open Internet/net neutrality regulations, which prohibit the blocking, throttling or discrimination of online content, applications and services and require ISPs to disclose their traffic management, throughput limitations and other practices impacting quality of service in customer contracts.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16</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Copyright, trademark, unfair competition, patent, trade secret and other proprietary-rights laws of the United States and other countries help protect our intellectual property rights. In particular, unauthorized copying, distribution and piracy of programming and films over the internet, through devices, software and websites, counterfeit DVDs/Blu-rays and through other platforms interfere with the market for copyrighted works and present challenges for our content businesses. We have actively engaged in the enforcement of our intellectual property rights and likely will continue to expend substantial resources to protect our content. Although many legal protections exist to combat such practices, the extent of copyright protection is sometimes ambiguous and the use of technological protections can be controversial. Modifications to existing laws, a weakening of these protections or their enforcement or a failure of existing laws, in the United States or internationally, to adapt to new technologies could have an adverse effect on our ability to license and sell our programming.</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U.S. copyright laws establish a cable compulsory copyright license that requires our video distribution business to contribute a specified percentage of revenue to a federal copyright royalty pool in exchange for retransmitting copyrighted material included in broadcast signals. We also pay standard industry licensing fees for the public performance of music in the programs we create or distribute. The cable compulsory copyright license and the royalties we pay are subject to audits and possible regulatory and legislative changes that could impact the royalty fees we pay and our ability to retransmit broadcast signals over cable systems. In addition, the landscape for music licensing is constantly changing, and music fees we pay are subject to new fee demands and negotiations. We cannot predict how changes to the compulsory copyright license and music licensing will impact the fees that we pay.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and Data Protection Regulation</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businesses are subject to laws and regulations that impose various restrictions and obligations related to privacy and the processing of individuals’ personal information. In the United States, federal privacy laws and regulations, such as those found within the Communications Act or the Video Privacy Protection Act, focus on restricting companies’ collection, use, disclosure and retention of personal information. The proliferation of laws at the state level has expanded consumers’ rights to include individual rights of access, deletion, portability, correction, the right to appeal, and the individual’s right to “opt in” to collection and use of certain types of “sensitive” personal information. Internationally, many of the laws are similar to the European Union’s General Data Protection Regulation and the United Kingdom’s Data Protection Act 2018, which broadly regulate the processing of personal data collected from individuals in the European Union and United Kingdom, respectively.</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Some of our businesses are also subject to the FTC’s general oversight of consumer privacy protections through its enforcement authority over unfair and deceptive acts or practices, as well as through its enforcement authority over the Children’s Online Privacy Protection Act. The FTC has sought to expand its authority in this area through various rulemakings related to general privacy, targeted advertising and children’s privacy. There has been an increased focus on children’s privacy at both the state and federal levels within the United States, as well as internationally, such as the United Kingdom’s Age-Appropriate Design Code. These new laws may require changes to our products and services and could adversely affect our advertising businesses.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many international data protection laws, some federal laws and all 50 U.S. states have security breach notification requirements that mandate a business to provide notice to consumers and government agencies if certain information has been accessed or exfiltrated by an unauthorized party; some of these laws also require documented information security programs.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 and Local Taxes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Some U.S. states and localities have imposed or are considering imposing, through both legislative and administrative channels, new or additional taxes or fees on, or limiting or eliminating incentives or credits earned or monetized by, our businesses, or imposing adverse methodologies by which taxes, fees, incentives or credits are computed, earned or monetized. These include combined reporting or other changes to general business taxes, central assessments for property tax, and taxes and fees on the businesses operated or services provided by our businesses, most notably new taxes or fees on digital advertising or other digital commerce. In some situations, DBS providers and other competitors (such as DTC streaming and other OTT service providers) that deliver their services over a broadband connection do not face the same state and local tax and fee burdens. Congress has also considered, and may consider again, proposals to bar or limit states from imposing taxes on these DBS providers or other competitors (such as DTC streaming and other OTT service providers) that are equivalent to the taxes or fees that we pay. The Internet Tax Freedom Act (“ITFA”) prohibits most states and localities from imposing sales and other taxes on our internet access charges and discriminating against electronic commerce; however, some jurisdictions may challenge the ITFA or the application of the ITFA to our business, or may assert that certain taxes akin to right-of-way fees are not preempted by the ITFA.</w:t>
      </w:r>
    </w:p>
    <w:p>
      <w:pPr>
        <w:spacing w:after="0" w:line="388"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17</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Regulations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U.S. states and localities, and various regulatory authorities, actively regulate other aspects of our businesses, including our Studios and Theme Parks businesses, accessibility to our video and voice services and broadcast television programming for people with disabilities, customer service standards, inside wiring, cable equipment, pole attachments, universal service fees, regulatory fees, public safety, telemarketing, leased access, indecency, loudness of commercial advertisements, advertising, political broadcasting, sponsorship identification, Emergency Alert System, equal employment opportunity and other employment-related laws, environmental-related matters, our equipment supply chain, and technical standards relating to the operation of cable systems and television stations. In addition, our international businesses are subject to various similar regulations, including those that cover television broadcasting, programming and advertising. We are occasionally subject to enforcement actions and investigations at the FCC and other federal, state and local agencies, as well as foreign governments and regulatory authorities, which can result in fines or being subject to sanctions.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Human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2023, we had approximately 186,000 full-time and part-time employees calculated on a full-time equivalent basis. Approximately 30% of our employees were located in over 30 countries outside the United States, with larger workforce concentrations in the United Kingdom, Western Europe, East Asia and South Asia. We also use freelance and temporary employees in the normal course of our business. A small overall portion of our full-time U.S. employees are unionized, although many of Content &amp; Experiences’ freelance and temporary writers, directors, actors, technical and production personnel, as well as some on-air and creative talent employees, are covered by industry-wide collective bargaining agreements or work councils. Outside the United States, employees in certain countries, particularly in Europe, are represented by an employee representative organization, such as a union, works council or employee association.</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company has been built on a foundation of respect, integrity and trust, and we are committed to creating and fostering a work environment that promotes those values. As a global media and technology company, we have a wide range of employees, including management professionals, technicians, engineers, call center employees, theme park employees, and media talent and production employees. Some of our key workforce-related programs and initiatives include the following.</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Engagement</w:t>
      </w:r>
    </w:p>
    <w:p>
      <w:pPr>
        <w:spacing w:after="0" w:line="94" w:lineRule="exact"/>
        <w:rPr>
          <w:sz w:val="20"/>
          <w:szCs w:val="20"/>
          <w:color w:val="auto"/>
        </w:rPr>
      </w:pPr>
    </w:p>
    <w:p>
      <w:pPr>
        <w:ind w:left="520" w:hanging="260"/>
        <w:spacing w:after="0" w:line="26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seek to create an engaged workforce through proactive listening and constructive dialogue, including through employee engagement surveys, as well as through employee resource groups.</w:t>
      </w:r>
    </w:p>
    <w:p>
      <w:pPr>
        <w:spacing w:after="0" w:line="247"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committed to creating an environment that encourages employees to ask questions, raise concerns and speak up about a workplace issue or suspected illegal or unethical conduct. We provide several channels for speaking up without fear of retaliation, including a helpline and a web portal that are administered by an independent third-party company and allow for anonymous reporting when permitted by applicable laws.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Talent Development</w:t>
      </w:r>
    </w:p>
    <w:p>
      <w:pPr>
        <w:spacing w:after="0" w:line="94"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a wide variety of opportunities for professional growth for all employees with in-classroom and online trainings and on-the-job experience.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offer education tuition assistance to full-time employees in the United States.</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6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succession planning for our CEO and the remainder of our senior executive management team at least once a year. Throughout the year, our senior executive management team, as well as a broader array of executives throughout our businesses, make presentations to the Board and its committees and interact with our directors informally outside of regularly scheduled Board meetings, which provides directors with meaningful insight into our current pool of talent, what attracts and retains our executives, and our company culture.</w:t>
      </w:r>
    </w:p>
    <w:p>
      <w:pPr>
        <w:spacing w:after="0" w:line="22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seek to have a workforce that reflects the diversity of the communities we serve across the company. We embrace diversity of background, culture, skills and experience throughout our business.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support nine employee resource groups, with 36,000 members in over 240 chapters, that are voluntary, employee-led organizations open to all across our business dedicated to developing the careers of our employees, contributing to community service and building on an inclusive and collaborative workplace and culture.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18</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Health and Welfare Benefits</w:t>
      </w:r>
    </w:p>
    <w:p>
      <w:pPr>
        <w:spacing w:after="0" w:line="94" w:lineRule="exact"/>
        <w:rPr>
          <w:sz w:val="20"/>
          <w:szCs w:val="20"/>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offer a robust portfolio of health and welfare programs and solutions designed to meet the unique needs of our employees and their families, delivered through a consistent and seamless member experience.</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offerings include comprehensive and affordable health care coverage options along with a variety of additional tools and resources, including access to dedicated health care navigators, expert medical opinion services, virtual primary care services and a diabetes management program. In addition, we offer comprehensive family planning options, including for adoption and surrogacy, and provide specialized support teams to help employees manage all stages in the family planning journey including the first few months of parenthood.</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6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continue to invest in the emotional wellbeing of our employees and offer a broad array of tools and resources such as our Employee Assistance Program, which provides personal counseling sessions to support employees and their families and provide problem-solving support for a broad range of issues, including stress, anxiety, depression, substance use and more. We also offer various digital emotional wellbeing tools, including child learning and behavior support, meditation, stress management, sleep issues, depression, chronic pain and substance use.</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Benefits</w:t>
      </w:r>
    </w:p>
    <w:p>
      <w:pPr>
        <w:spacing w:after="0" w:line="94" w:lineRule="exact"/>
        <w:rPr>
          <w:sz w:val="20"/>
          <w:szCs w:val="20"/>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focus on attracting and retaining employees by providing compensation and benefits packages that are competitive within the applicable market, taking into account the job position’s location and responsibilities.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competitive financial benefits such as a 401(k) retirement plan in the United States with a company match and other retirement arrangements internationally.</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employee stock purchase plans in the United States, United Kingdom, India and several other European countries where most of our full-time and part-time employees can purchase our stock at a discount.</w:t>
      </w:r>
    </w:p>
    <w:p>
      <w:pPr>
        <w:spacing w:after="0" w:line="39"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generally grant awards of restricted stock units and stock options on an annual basis to a meaningful portion of our employees, with over 20,000 employees receiving such awards in 2023.</w:t>
      </w:r>
    </w:p>
    <w:p>
      <w:pPr>
        <w:spacing w:after="0" w:line="24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offer financial literacy training and counseling to support employees in making their own financial decisions.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Available Information and Websites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phone number is (215) 286-1700, and our principal executive offices are located at One Comcast Center, Philadelphia, PA 19103-2838. Our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our website at www.comcastcorporation.com as soon as reasonably practicable after such reports are electronically filed with the SEC. The information posted on our websites is not incorporated into our SEC filings.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Caution Concerning Forward-Looking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Annual Report on Form 10-K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“goal,” “may,” “should,” “could,” “will,” “would,” “will be,” “will continue,” “will likely result” and similar expressions. In evaluating these statements, you should consider various factors, including the risks and uncertainties we describe in “Risk Factors” and in other reports we file with the SEC.</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375"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19</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006EBF"/>
        </w:rPr>
        <w:t>Item 1A: Risk Factors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Risks Related to Our Business, Industry and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businesses operate in highly competitive and dynamic industries, and our businesses and results of operations could be adversely affected if we do not compete effectively.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businesses operate in intensely competitive, consumer-driven, rapidly changing environments. We compete with a growing number of companies that provide a broad range of communications products and services and entertainment, sports, news and information content to consumers. There can be no assurance that we will be able to compete effectively against our competitors or that competition will not have an adverse effect on our businesses.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Below is a summary of our most significant sources of competition. Many of these competitors offer competitive pricing, packaging and/or bundling of services to customers, which further increases competition. In addition, our ability to compete will be negatively affected if we do not provide our customers with a satisfactory customer experience. For a more detailed description of the competition facing our businesses, see Item 1: Business and refer to the “Competition” discussion within that section.</w:t>
      </w:r>
    </w:p>
    <w:p>
      <w:pPr>
        <w:spacing w:after="0" w:line="51" w:lineRule="exact"/>
        <w:rPr>
          <w:sz w:val="20"/>
          <w:szCs w:val="20"/>
          <w:color w:val="auto"/>
        </w:rPr>
      </w:pPr>
    </w:p>
    <w:p>
      <w:pPr>
        <w:jc w:val="both"/>
        <w:ind w:left="520" w:hanging="260"/>
        <w:spacing w:after="0" w:line="248"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Connectivity &amp; Platforms’ broadband services compete primarily against wireline telecommunications companies, including many that are increasing deployment of fiber-based networks; wireless telecommunications companies offering internet services (using a variety of technologies, including 5G fixed wireless networks and 4G and 5G wireless broadband services); electric cooperatives and municipalities in the United States that own and operate their own broadband networks; and DBS and newer satellite broadband providers. Broadband-deployment funding initiatives at the federal and state level may result in other service providers deploying new subsidized internet access networks within our footprint, and in cases where we receive subsidies, may impose constraints on how we conduct our businesses. For a more extensive discussion of the significant risks associated with the regulation of our businesses, see “—We are subject to regulation by federal, state, local and foreign authorities, which impose additional costs and restrictions on our businesses” below and Item 1: Business and refer to the “Legislation and Regulation” discussion within that section.</w:t>
      </w:r>
    </w:p>
    <w:p>
      <w:pPr>
        <w:spacing w:after="0" w:line="5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for video services consists primarily of DTC streaming and other OTT service providers and aggregators, DBS providers and telecommunications companies, and our wireless and voice services compete with both telecommunications and wireless telecommunication providers.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Services Connectivity primarily competes with wireline telecommunications companies and wide area network managed service providers.</w:t>
      </w:r>
    </w:p>
    <w:p>
      <w:pPr>
        <w:spacing w:after="0" w:line="83"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businesses in Content &amp; Experiences, as well as our video business, face substantial and increasing competition from providers of similar types of entertainment, sports, news and information content, as well as from other forms of entertainment, including from social networking and user-generated content, and recreational activities. They must compete to obtain talent, popular content (including sports programming), advertising and other resources required to successfully operate their businesses. This competition has further intensified as certain DTC streaming and other OTT service providers have commissioned, and may continue to commission, high-cost programming and acquire live sports programming rights to attract viewers at significant costs.</w:t>
      </w:r>
    </w:p>
    <w:p>
      <w:pPr>
        <w:spacing w:after="0" w:line="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Competitors with significant resources, greater efficiencies of scale, fewer regulatory burdens and more competitive pricing and packaging continue to increasingly compete with our businesses in all forms of content distribution and production. Further, consolidation of, or cooperation between, our competitors may increase competition in all of these areas. For example, cooperation between competitors may allow them to offer free or lower cost DTC streaming and other OTT services, potentially on an exclusive basis, through unlimited data-usage plans for internet or wireless phone services or to bundle DTC streaming and other OTT services on their platform.</w:t>
      </w:r>
    </w:p>
    <w:p>
      <w:pPr>
        <w:spacing w:after="0" w:line="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businesses’ ability to compete effectively also depends on our perceived image and reputation among our various constituencies, including our customers, consumers, advertisers, business partners, employees, investors and government authorities. For example, some of these constituencies may have their own, and some have conflicting, environmental, social and governance priorities, which may present risks to our reputation and brands if these constituencies perceive misalignment.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consumer behavior continue to adversely affect our businesses and challenge existing business models.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Distribution platforms for viewing and purchasing content have been, and will likely continue to be, developed that further challenge existing business models and increase the number of competitors that our businesses face. DTC streaming and other OTT services have driven, and will continue to drive, changes in consumer behavior as consumers seek more control over when, where and how they consume content and access communications services, and how much they pay for such content.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20</w:t>
            </w:r>
          </w:p>
        </w:tc>
      </w:tr>
      <w:tr>
        <w:trPr>
          <w:trHeight w:val="25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consumers increasingly turn to DTC streaming and other OTT services in lieu of our linear video services, which continue to experience accelerated net customer losses, the number of video customers we have, the related video revenues and the amount of subscriber fees we receive for our linear television networks from other video service providers each decrease. The continuing trend of content owners delivering their content directly to consumers, rather than through, or in addition to, traditional video distribution channels, continues to disrupt traditional media distribution business models despite our efforts to adapt our video service offerings and offer new services, such as Peacock and NOW.</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number of entertainment choices available to consumers, such as DTC streaming and other OTT service providers and aggregators, social networking and user-generated content platforms, and gaming and virtual reality products and services, continue to significantly increase, intensify audience fragmentation and disaggregate the way that content traditionally has been distributed and viewed by consumers. This in turn has reduced traditional television viewership, and when coupled with time-shifting technologies, such as DVR and on demand services, has caused, and likely will continue to cause, audience ratings declines for our television networks. In addition, as more content owners offer their content directly to consumers through their own platforms, they may reduce the quantity and quality of the content they license to our linear television networks or Peacock. On the other hand, this practice may also negatively impact our results of operations when we keep our content for our own use, including for Peacock, rather than licensing it to third parties who pay us licensing fees for such content.</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failure to effectively anticipate or adapt to emerging competitors or changes in consumer behavior, including among younger consumers, and shifting business models could have an adverse effect on our competitive position, businesses and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decline in advertisers’ expenditures or changes in advertising markets could negatively impact our businesses.</w:t>
      </w:r>
    </w:p>
    <w:p>
      <w:pPr>
        <w:spacing w:after="0" w:line="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compete for the sale of advertising time with television networks and stations, digital properties, including an increasing number of ad-supported DTC streaming service providers and a broad array of other online content providers, such as social networking platforms and user-generated content providers, and all other advertising platforms. We derive substantial revenue from the sale of advertising, and we expect that a decline in expenditures by advertisers, including through traditional linear television distribution models or on Peacock, could negatively impact our results of operations. We have experienced, and may continue to experience, declines caused by the economic prospects of specific advertisers or industries, increased competition for the leisure time of viewers, such as from social networking and user-generated content platforms and video games, audience fragmentation, increased viewing of content through DTC streaming and other OTT service providers, increased use of time-shifting and advertising-blocking technologies or regulatory intervention regarding where and when advertising may be placed, and economic conditions generally. In addition, advertisers have shifted, and may continue to shift, a portion of their total expenditures to digital media, including DTC streaming service providers and other online content providers, and this trend may continue or accelerate. Lower audience ratings and reduced viewership, which many of our linear television networks have experienced, and likely will continue to experience, as well as the level of popularity of Peacock, affect advertisers’ willingness to purchase advertising from us and the rates paid. Advertising sales and rates also are dependent on the methodology used for audience measurement and could be negatively affected if methodologies do not accurately reflect actual viewership levels.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success depends on consumer acceptance of our content, and our businesses may be adversely affected if our content fails to achieve sufficient consumer acceptance.</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create and acquire media and entertainment content, the success of which depends substantially on consumer tastes and preferences that often change in unpredictable ways, and to meet the changing preferences of the broad domestic and international consumer markets, we must consistently create, acquire, market and distribute television programming, filmed entertainment, theme park attractions and other content. We have invested, and will continue to invest, substantial amounts in content, such as the production of films and original content for television networks and streaming services, and in the creation of new theme parks and theme park attractions, before learning the extent to which they will earn consumer acceptance. In addition, there can be no assurance that Peacock will continue to grow or sustain its revenue or user base, successfully compete as a standalone DTC streaming service or fully offset decreases to our linear television networks’ results of operations as the media distribution business model continues to change.</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obtain a significant portion of our content from third parties, such as movie studios, television production companies, sports organizations and other suppliers, sometimes on an exclusive basis. Competition for popular content, particularly for sports programming, is intense, and at times, we may increase the price we are willing to pay or be outbid by our competitors for popular content. We also may be unable to license popular third-party content if media companies determine that licensing the content to us is not in their strategic best interests. For example, content creators have launched, and may continue to launch, their own DTC streaming or other OTT services, forgoing license fees from us to provide their content directly to consumers, or they may license their content to our competitors on an exclusive basis.</w:t>
      </w:r>
    </w:p>
    <w:p>
      <w:pPr>
        <w:spacing w:after="0" w:line="383"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21</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Entering into or renewing contracts for such content rights or acquiring additional rights has in the past resulted, and may result in the future, in significantly increased costs. Particularly with respect to contracts for sports rights, our results of operations and cash flows over the term of a contract depend on a number of factors, including the strength of the advertising market, audience size, the timing and amount of rights payments, and the ability to secure distribution from, impose surcharges on, or obtain carriage on multichannel video providers or to grow and retain subscribers to our own DTC services. There can be no assurance that revenue from these contracts will exceed our costs for the rights, as well as the other costs of producing and distributing the programming.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our content does not achieve sufficient consumer acceptance, or if we cannot obtain or retain rights to popular content on acceptable terms, or at all, our businesses may be adversely affected.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Programming expenses for our video services are increasing on a per subscriber basis, which could adversely affect our video businesses.</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expect programming expenses for our video services to continue to be the largest single expense item for our Residential Connectivity &amp; Platforms business and to continue to increase on a per subscriber basis. Part of these programming expenses include payments to certain local broadcast television stations in exchange for their required consent for the retransmission of broadcast network programming to video services customers; we expect to continue to be subject to increasing demands for payment and other concessions from local broadcast television stations. These market factors may be exacerbated by consolidation in the media industry, which may further increase our programming expenses. If we are unable to offset programming cost increases through rate increases, the sale of additional services, cost management or other initiatives, the increasing cost of programming could have an adverse effect on our results of operations.</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Moreover, as our contracts with programming providers expire, there can be no assurance that they will be renewed on acceptable terms, or at all, in which case we may be unable to provide such programming as part of our video services, and our businesses and results of operations could be adversely affected.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loss of programming distribution agreements, or the renewal of these agreements on less favorable terms, could adversely affect our businesses.</w:t>
      </w:r>
    </w:p>
    <w:p>
      <w:pPr>
        <w:spacing w:after="0" w:line="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linear television networks depend on their ability to secure and maintain distribution agreements with traditional and virtual multichannel video providers. The number of subscribers to our television networks has been, and likely will continue to be, reduced as a result of fewer subscribers to multichannel video providers as the media distribution business model changes. Similarly, multichannel video providers may elect not to enter into agreements to distribute some or all of our linear television networks as a result of these changing market dynamics. In addition, our broadcast television networks depend on their ability to secure and maintain network affiliation agreements with third-party local broadcast television stations in the markets where we do not own the affiliated local broadcast television station. Our owned local broadcast television stations must elect, with respect to retransmission by certain multichannel video providers, either “must-carry” status, in which we require the provider to carry the station without paying any compensation to us, or “retransmission consent,” in which we give up our right to mandatory carriage and instead seek to negotiate the terms and conditions of carriage, including the amount of compensation, if any, paid to us by such provider.</w:t>
      </w:r>
    </w:p>
    <w:p>
      <w:pPr>
        <w:spacing w:after="0" w:line="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all of these types of arrangements, our ability to renew agreements on favorable terms may be affected by evolving market dynamics and industry consolidation. There can be no assurance that any of these agreements will be entered into or renewed in the future on similar terms. The inability to enter into or renew some or all of these agreements could reduce our revenues and the reach of our programming, which could adversely affect our businesses.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businesses depend on using and protecting certain intellectual property rights and on not infringing the intellectual property rights of others.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from importing into the United States or other jurisdictions in which we operate hardware or software that uses such intellectual property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our businesses could be adversely affected.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22</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intellectual property constitutes a significant part of the value of our businesses, and our success is highly dependent on protecting the intellectual property rights of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The legal landscape for new technologies, including artificial intelligence (“AI”), remains uncertain, and development of the law in this area could impact our ability to protect against unauthorized third-party use, misappropriation, reproduction or infringement.</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films through unauthorized distribution platforms continues to present challenges for our businesses. For example, certain entities may stream our broadcast television content illegally online without our consent and without paying us any compensation, and sporting events on our international networks may be illegally transmitted.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be unable to obtain necessary hardware, software and operational support.</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depend on third-party vendors to supply us with a significant amount of the hardware, software and operational support necessary to provide certain of our products and services. We also rely on third-party satellite transponder capacity to provide video services in Europe, as well as on third-party wireless networks to offer certain wireless services in the United States and internationally. Some of these vendors represent our primary source of supply or grant us the right to incorporate their intellectual property into some of our hardware and software products. While we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including as a result of cybersecurity incidents, or any other supply chain compliance-related issues, if our demand exceeds their capacity or if they breach or terminate their agreements with us or are otherwise unable to meet our specifications or provide the equipment, products or services we need in a timely manner (or at all), or at reasonable prices, our ability to provide some products or services may be adversely affected and we may incur additional costs.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businesses depend on keeping pace with technological developments.</w:t>
      </w:r>
    </w:p>
    <w:p>
      <w:pPr>
        <w:spacing w:after="0" w:line="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success is, to a large extent, dependent on our ability to acquire, develop, adopt and leverage new and existing technologies, and our competitors’ use of certain types of technology and equipment may provide them with a competitive advantage. New technologies can materially impact our businesses in a number of ways, including affecting the demand for our products, the distribution methods of our products and content to our customers, how we create our entertainment products, the ways in which our customers can purchase and view our content and the growth of distribution platforms available to advertisers. For example, current and new wireless internet technologies (including 5G fixed wireless networks and 4G and 5G wireless broadband services) continue to evolve rapidly and may allow for greater speed and reliability for those services as compared with prior technologies and create more competitors for our businesses. In addition, some companies and U.S. municipalities are building advanced fiber-based networks that provide very fast internet access speeds, and some providers offer newer satellite broadband services. We expect advances in communications technology to continue to occur in the future.</w:t>
      </w:r>
    </w:p>
    <w:p>
      <w:pPr>
        <w:spacing w:after="0" w:line="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If we choose technology or equipment that is not as effective or attractive to consumers as that employed by our competitors, if we fail to employ technologies desired by consumers or that enhance our business operations, such as through the use of AI, or if we fail to execute effectively on our technology initiatives, our businesses and results of operations could be adversely affected. We also will continue to incur additional costs as we execute our technology initiatives, such as the deployment of multigigabit symmetrical speeds by leveraging our DOCSIS 4.0 technology and the development and enhancement of various streaming platforms. There can be no assurance that we can execute on these and other initiatives in a manner sufficient to grow or maintain our revenue or to successfully compete in the future. We also may generate less revenue or incur increased costs if changes in our competitors’ product offerings require that we offer certain services or enhancements at a lower or no cost to our customers or that we increase our research and development expenditures.</w:t>
      </w:r>
    </w:p>
    <w:p>
      <w:pPr>
        <w:spacing w:after="0" w:line="390"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23</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161925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Network and information systems and other technologies, including those that are related to our network management, customer service operations and programming delivery and are embedded in our products and services, are critical to our business activities. In the ordinary course of our business, there are constant attempts by third parties to cause systems-related events and security incidents and to identify and exploit vulnerabilities in security architecture and system design. These incidents include computer hackings, cyber attacks, computer viruses, worms or other destructive or disruptive software, denial of service attacks, phishing attacks, malicious social engineering and other malicious activities. Incidents can be caused inadvertently by us or our third-party vendors, such as process breakdowns and vulnerabilities in security architecture or system design.</w:t>
      </w:r>
    </w:p>
    <w:p>
      <w:pPr>
        <w:spacing w:after="0" w:line="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Cyber threats and attacks are constantly evolving and are growing in sophistication and frequency, which increases the difficulty of detecting and successfully defending against them. For example, we expect threat actors will continue to gain sophistication by using tools and techniques (such as AI) that are specifically designed to circumvent security controls. Some cyber attacks have had, and in the future can have, cascading impacts that unfold with increasing speed across networks, information systems and other technologies across the world and create latent vulnerabilities in our and third-party vendors’ systems and other technologies. We also obtain certain confidential, proprietary and personal information about our customers, personnel and vendors, that in many cases is provided or made available to third-party vendors who agree to protect it, which has in the past and may in the future become compromised through a cyber attack or data breach, misappropriation, misuse, leakage, falsification or accidental release or loss of information by us or a third party. Due to the nature of our businesses, we may be at a disproportionately heightened risk of these types of incidents occurring because we maintain certain information necessary to conduct our business in digital form. We also incorporate third-party software (including extensive open-source software), applications, and data hosting and cloud-based services into many aspects of our products, services and operations, as well as rely on service providers to help us perform our business operations, all of which expose us to cyber attacks with respect to such third-party suppliers and service providers and their products and services.</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While we develop and maintain systems, and operate programs that seek to prevent security incidents from occurring, these efforts are costly and must be constantly monitored and updated in the face of sophisticated and rapidly evolving attempts to overcome our security measures and protections. The occurrence of both intentional and unintentional incidents has caused, and may from time to time in the future cause, a variety of business impacts. These include degradation or disruption of our network, products and services, excessive call volume to call centers, theft or misuse of our intellectual property or other assets, disruption of the security of our internal systems, products, services or satellite transmission signals, power outages, and the compromise or exfiltration of confidential or technical business information and customer or vendor data, and reputational impacts. Moreover, the amount and scope of insurance we maintain against losses resulting from any of the foregoing events likely would not be sufficient to fully cover our losses or otherwise adequately compensate us for disruptions to our business that may result. In addition, any such events have and could continue to lead to litigation or cause regulators in the United States and internationally to impose significant fines or other remedial measures, including with respect to relevant customer privacy rules, or otherwise have an adverse effect on our company. Despite our efforts, we expect that we will continue to experience such incidents in the future, and there can be no assurance that any such incident will not have an adverse effect on our business, reputation or results of operations. Refer to Item 1C: Cybersecurity for additional information.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Weak economic conditions may have a negative impact on our businesses.</w:t>
      </w:r>
    </w:p>
    <w:p>
      <w:pPr>
        <w:spacing w:after="0" w:line="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 substantial portion of our revenue comes from customers whose spending patterns may be affected by prevailing economic conditions. Weak economic conditions in the United States, in Europe or globally could adversely affect demand for any of our products and services, including advertising, and have a negative impact on our results of operations. For example, weak economic conditions will likely impact our customers’ discretionary spending and as a result, they may reduce the level of services to which they subscribe or may discontinue subscribing to one or more of our services altogether. This risk may be increased by the expanded availability of free or lower cost competitive services, such as certain DTC streaming and other OTT services, or substitute services for broadband and voice services, such as wireless and public Wi-Fi networks. Weak economic conditions also negatively impact our advertising revenue, the performance of our films and home entertainment releases, and attendance and spending in our theme parks. In particular, the success of our theme parks and theatrical releases largely depends on consumer demand for out-of-home entertainment experiences, which may be limited by weakened economic conditions.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24</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Weak economic conditions and disruptions in the global financial markets, such as higher interest rates, may impact our ability to obtain financing or to refinance existing debt on acceptable terms, if at all, which could increase the cost of our borrowings over time and may increase our exposure to currency fluctuations in countries where we operate. Further, inflationary pressures in the United States, in Europe and globally may also have negative impacts on our cost structure and pricing models and may impact the ability of third parties (including advertisers, customers, suppliers, wholesale distributors, retailers and content creators, among others) to satisfy their obligations to us.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Acquisitions and other strategic initiatives present many risks, and we may not realize the financial and strategic goals that we had contemplated.</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From time to time, we make acquisitions and investments and may pursue other strategic initiatives, such as Xumo, our consolidated streaming platform joint venture. In connection with such acquisitions and strategic initiatives, we may incur significant or unanticipated expenses, fail to realize anticipated benefits and synergies, have difficulty incorporating an acquired or new line of business, disrupt relationships with current and new employees, customers and vendors, incur significant debt, divert the attention of management from our current operations, or have to delay or not proceed with announced transactions or initiatives. These and other circumstances could also result in the impairment of goodwill and long-lived assets. Additionally, federal regulatory or antitrust agencies such as the FCC or DOJ or international regulators may impose restrictions on the operation of our businesses as a result of our seeking regulatory approvals for any significant acquisitions and strategic initiatives or may dissuade us from pursuing certain transactions. The occurrence of any of these events could have an adverse effect on our business and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face risks relating to doing business internationally that could adversely affect our businesses.</w:t>
      </w:r>
    </w:p>
    <w:p>
      <w:pPr>
        <w:spacing w:after="0" w:line="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operate our businesses worldwide. There are risks inherent in doing business internationally, including global financial market turmoil; economic volatility and global economic slowdown; currency exchange rate fluctuations and inflationary pressures; geopolitical risks, including acts of terror and war; requirements of local laws and customs relating to the publication and distribution of content and the display and sale of advertising; import or export restrictions, tariffs, sanctions and trade regulations; difficulties in developing, staffing and managing foreign operations; issues related to occupational safety and adherence to diverse local labor laws and regulations; and potentially adverse tax developments. Additionally, although we employ foreign currency derivative instruments to hedge certain exposure to foreign currency exchange rate risks, including the British pound, euro and Japanese yen, the use of such derivative instruments may not be sufficient to mitigate exchange rate fluctuations. In addition, doing business internationally subjects us to risks relating to political or social unrest, as well as corruption and government regulations, including U.S. laws such as the Foreign Corrupt Practices Act and the U.K. Bribery Act, that impose stringent requirements on how we conduct our foreign operations. Moreover, foreign enforcement of laws and contractual rights in certain countries where we do business can be inconsistent and unpredictable, which may affect our ability to enforce our rights or make investments that we believe otherwise make strategic sense. If any of these events occur or our conduct does not comply with such laws and regulations, our businesses may be adversely affected.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Natural disasters, severe weather and other uncontrollable events could adversely affect our business, reputation and results of operations.</w:t>
      </w:r>
    </w:p>
    <w:p>
      <w:pPr>
        <w:spacing w:after="0" w:line="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services, products and properties are vulnerable to damage from the occurrence of certain events, including natural disasters, severe weather events such as hurricanes and wildfires, and a range of other unforeseeable events such as infectious disease outbreaks, including COVID-19, terrorist attacks or other similar events. Such events have in the past caused, and could in the future cause, a variety of adverse business impacts including degradation or disruption of our network, products and services, excessive call volume to call centers, a reduction in demand for our products, services and theme parks, disruption of our internal systems, products, services or satellite transmission signals, power outages, and damage to our or our customers’ or vendors’ equipment and properties. These events also may result in lost revenue and large expenditures to repair or replace damaged properties, products and services and could lead to litigation and fines, including if we inadvertently contributed to damages suffered by others. For example, COVID-19 and corresponding governmental measures negatively impacted our businesses in the past, including as recently as in 2022 by requiring temporary closures of our theme parks.</w:t>
      </w:r>
    </w:p>
    <w:p>
      <w:pPr>
        <w:spacing w:after="0" w:line="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amount and scope of insurance we maintain against losses resulting from these types of events likely would not be sufficient to fully cover our losses or otherwise adequately compensate us for disruptions to our business that may result. We expect that we will continue to experience some or all of these events in the future, and there can be no assurance that any such event will not have an adverse effect on our business, reputation or results of operations.</w:t>
      </w:r>
    </w:p>
    <w:p>
      <w:pPr>
        <w:spacing w:after="0" w:line="381"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25</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161925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loss of key management personnel or popular on-air and creative talent could have an adverse effect on our businesses.</w:t>
      </w:r>
    </w:p>
    <w:p>
      <w:pPr>
        <w:spacing w:after="0" w:line="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businesses.</w:t>
      </w:r>
    </w:p>
    <w:p>
      <w:pPr>
        <w:spacing w:after="0" w:line="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Content &amp; Experiences depend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Labor disputes, whether involving employees or sports organizations, may disrupt our operations and adversely affect our businesses.</w:t>
      </w:r>
    </w:p>
    <w:p>
      <w:pPr>
        <w:spacing w:after="0" w:line="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Many of the writers, directors, actors, technical and production personnel, as well as some on-air and creative talent employees in our Content &amp; Experiences business, are covered by collective bargaining agreements or works councils. Many of these collective bargaining agreements are industry-wide agreements, and we may lack practical control over the negotiations and terms of the agreements. If we are unable to reach agreement with a labor union before the expiration of a collective bargaining agreement, our employees who were covered by that agreement may have a right to strike or take other actions that could adversely affect us, which could disrupt our operations and reduce our revenue, and the resolution of any disputes may increase our costs. For example, the Writers Guild of America (“Writers Guild”) and the Screen Actors Guild-American Federation of Television and Radio Artists (“SAG”) work stoppages from May to September 2023 and July to November 2023, respectively, paused productions, which reduced content licensing revenue at our Studios segment. There can be no assurance that we will renew our collective bargaining agreements as they expire or that we can renew them on favorable terms or without any work stoppages in the future.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labor disputes in sports organizations with which we have programming rights agreements of varying scope and duration could have an adverse effect on our businesses.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Risks Related to Legal, Regulatory and Governance Matters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are subject to regulation by federal, state, local and foreign authorities, which impose additional costs and restrictions on our businesses.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businesses are subject to various federal, state and local laws and regulations, with some also subject to international laws and regulations. In particular, the Communications Act and FCC regulations and policies affect significant aspects of our cable communications and broadcast businesses in the United States.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These legislators and regulators, along with some state attorneys general and foreign governmental authorities, have been active in conducting inquiries and reviews regarding our services. State legislative and regulatory initiatives can create a patchwork of different and/or conflicting state requirements, such as with respect to privacy and Open Internet/net neutrality regulations, that can affect our businesses and ability to effectively compete.</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Legislative and regulatory activity has increased under the Biden Administration, particularly with respect to broadband networks. For example, Congress has approved tens of billions of dollars in new funding for broadband deployment and adoption initiatives, and may consider other proposals that address communications issues, including whether it should rewrite the entire Communications Act to account for changes in the communications marketplace and whether it should enact new, permanent Open Internet/net neutrality requirements.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26</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Federal agencies likewise may consider adopting new regulations for communications services, including broadband. For example, the FCC has proposed reimposing network neutrality requirements that would reclassify our broadband service as a “telecommunications service” under Title II of the Communications Act, which would authorize the FCC to potentially regulate our customer rates, speeds, data usage thresholds or other terms for internet services and prohibit, or seriously restrict, arrangements between us and internet content, applications and service providers. States and localities are also increasingly proposing new regulations impacting communications services, including broader regulation of broadband networks. Any of these regulations could significantly affect our business and our legal and compliance costs. In addition, U.S. and foreign regulators and courts could adopt new interpretations of existing competition or antitrust laws or enact new competition or antitrust laws or regulatory tools that could negatively impact our businesses. 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Failure to comply with the laws and regulations applicable to our businesses could result in administrative enforcement actions, fines, and civil and criminal liability. Any changes to the legal and regulatory framework applicable to any of our services or businesses could have an adverse impact on our businesses and results of operations. For a more extensive discussion of the significant risks associated with the regulation of our businesses, see Item 1: Business and refer to the “Legislation and Regulation” discussion within that section.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Unfavorable litigation or governmental investigation results could require us to pay significant amounts or lead to onerous operating procedures.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subject from time to time to a number of lawsuits both in the United States and in foreign countries, including claims relating to competition, intellectual property rights (including patents), employment and labor matters, personal injury and property damage, free speech, customer privacy, regulatory requirements, advertising, marketing and selling practices, and credit and collection issues. Greater constraints on the use of arbitration to resolve certain of these disputes could adversely affect our business. We also spend substantial resources complying with various regulatory and government standards, including any related investigations and litigation. We may incur significant expenses defending any such suit or government charge and may be required to pay amounts or otherwise change our operations in ways that could adversely impact our businesses, results of operations or financial condition.</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Our Class B common stock has a non-dilutable 33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4"/>
          <w:szCs w:val="14"/>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us,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 has considerable influence over our company and the potential ability to transfer effective control by selling the Class B common stock, which could be at a premium.</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06EBF"/>
        </w:rPr>
        <w:t>Item 1B: Unresolved Staff Comments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29"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27</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161925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006EBF"/>
        </w:rPr>
        <w:t>Item 1C: Cybersecurity</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management, with involvement and input from our Board of Directors, performs an annual enterprise-wide risk management (“ERM”) assessment to identify and manage key existing and emerging risks for our company. Our ERM process assesses the characteristics and circumstances of the evolving business environment at the time and seeks to identify both the potential impacts to our company of a particular risk and the velocity with which the risk may manifest (e.g., rapidly in less than three months or more slowly in more than twelve months). Our senior executive management team has the overall responsibility for, and oversight of, our ERM process, and an ERM steering committee manages the process, with one or more senior business executives then monitoring and managing each of the identified risks. Cybersecurity is among the risks identified for Board-level oversight as a result of our most recent ERM assessment, with our Audit Committee of the Board being responsible for overseeing our policies, practices and assessments with respect to cybersecurity.</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Board and/or our Audit Committee receive regular updates throughout the year on cybersecurity. Each of our Board and Audit Committee separately receives an annual report on cybersecurity matters and related risk exposures from our primary businesses’ Chief Information Security Officers (“CISOs”) and Chief Technology Officers or other similar officers (“CTOs”). When covered during an Audit Committee meeting, the chair of the Audit Committee reports on its discussion to the full Board. Our Audit Committee also receives regular updates on our cybersecurity posture throughout the year, as appropriate.</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to this Board-level oversight, our Cybersecurity Leadership Council (“CLC”) oversees our cybersecurity strategy and is responsible for overseeing and managing our cybersecurity risk. The CLC includes our Chief Financial Officer (“CFO”), Chief Legal Officer, head of Internal Audit, and lead internal securities counsel, as well as the CISOs, CTOs, CFOs and General Counsels of our primary businesses. Given the complex and varied nature of our businesses, the Connectivity &amp; Platforms and Content &amp; Experiences businesses each have a dedicated CISO who we believe is appropriately qualified to assess and manage cybersecurity risks. The Connectivity &amp; Platforms CISO has served in various roles in product security and privacy at our company since 2016, held various leadership and technical positions in Fortune 500 companies before joining our company, and has educational degrees in computer science and electrical engineering. The Content &amp; Experiences CISO has served in various roles in information security at our company since 2018, held various roles in managing security operation center service portfolios and information security before joining our company, and has educational degrees in management and business organizational management and management information systems and services.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CLC conducts regular meetings throughout the year during which CISOs provide updates and report on meaningful cybersecurity risks, threats, incidents and vulnerabilities in accordance with the CLC’s reporting framework, as well as related priorities, mitigation and remediation activities, financial and employee resource levels, regulatory compliance, technology trends and third-party provider risks. To help inform this reporting framework, our primary businesses maintain incident response plans and other policies and procedures designed to respond to, mitigate and remediate cybersecurity incidents according to a defined set of severity ratings based on the potential impact to our business, information technology systems, network or data, including data held or information technology (“IT”) services provided by third-party vendors or other service providers.</w:t>
      </w:r>
    </w:p>
    <w:p>
      <w:pPr>
        <w:spacing w:after="0" w:line="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Network and information systems and other technologies, including those that are related to our network management, customer service operations and programming delivery and are embedded in our products and services, are critical to our business activities. We also obtain certain confidential, proprietary and personal information about our customers, personnel and vendors, that in many cases is provided or made available to third-party vendors who agree to protect it. As a result, we have multiple layers of security designed to detect and block cybersecurity events, as well as a dedicated team of cybersecurity personnel, which assist our CISOs in helping to assess, identify, monitor, detect and manage cybersecurity risks, threats, vulnerabilities and incidents. In the normal course, we engage assessors, consultants and other third parties to assist in various cyber-related matters. For example, an outside consulting firm conducts a National Institute of Standards and Technology and International Organization for Standardization based cybersecurity capability maturity assessment every three years, which is reviewed with the Audit Committee, and our security teams leverage third-party advisors, as appropriate. We also perform penetration tests, data recovery testing, security audits and risk assessments throughout the year. Our cybersecurity program also incorporates intelligence sharing capabilities about emerging threats within the telecommunications industry and other industries through collaboration with peer companies and specialized consultants and through public-private partnerships with government intelligence agencies. We hold cybersecurity trainings for our employees and request that key vendors do the same.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28</w:t>
            </w:r>
          </w:p>
        </w:tc>
      </w:tr>
      <w:tr>
        <w:trPr>
          <w:trHeight w:val="25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However, while we develop and maintain systems, and operate programs that seek to prevent security incidents from occurring, these systems and programs must be constantly monitored and updated in the face of sophisticated and rapidly evolving attempts to overcome our security measures and protections. The occurrence of both intentional and unintentional incidents has caused, and could cause in the future, a variety of adverse business impacts. See “Item 1A: Risk Factors” above for additional information on risks related our business, including for example risks related to cyber attacks, information and system breaches, and technology disruptions and failures; our reliance on using and protecting certain intellectual property rights; keeping pace with technological developments; legal and regulatory developments; and obtaining hardware, software and operational support from third-party vendors.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006EBF"/>
        </w:rPr>
        <w:t>Item 2: Properties</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our physical assets are generally in good operating condition and are suitable and adequate for our business operations. We own our corporate headquarters, which is located in Philadelphia, Pennsylvania at One Comcast Center.</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Connectivity &amp; Platforms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principal physical assets for the operations of the Residential Connectivity &amp; Platforms and the Business Services Connectivity segments consist of operating plant and equipment, including our HFC network in the United States. Refer to Item 1: Business: Network and Technology for additional information.</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Connectivity &amp; Platforms business headquarters is located in One Comcast Center, Philadelphia, Pennsylvania. We also own the Comcast Technology Center, which is a center for our technology and engineering workforce located adjacent to the Comcast Center, and our Sky headquarters, located in Middlesex, 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own or lease buildings throughout the Connectivity &amp; Platforms markets that contain administrative space, retail stores and customer service centers, and warehouses.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Content &amp; Experiences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Content &amp; Experiences business and NBCUniversal headquarters are located in New York, New York at 30 Rockefeller Plaza and its surrounding campus, which include offices and studios used by the Media segment. We own substantially all of the space we occupy at 30 Rockefeller Plaza, and we lease the spaces in the surrounding campus.</w:t>
      </w:r>
    </w:p>
    <w:p>
      <w:pPr>
        <w:spacing w:after="0" w:line="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principal locations supporting our Media segment operations include our leased Telemundo headquarters and production facilities in Miami, Florida, as well as our Universal City location in Los Angeles, California and our owned CNBC headquarters and production facilities located in Englewood Cliffs, New Jersey.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Item 1: Business: Studios Segment and Theme Parks Segment for information on properties used in those respective segment operations.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own or lease additional offices, studios, production facilities, screening rooms, retail operations, warehouse space, satellite transmission receiving facilities and data centers in numerous locations in the United States and around the world.</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006EBF"/>
        </w:rPr>
        <w:t>Item 3: Legal Proceedings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15 to the consolidated financial statements included in this Annual Report on Form 10-K for a discussion of legal proceedings.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006EBF"/>
        </w:rPr>
        <w:t>Item 4: Mine Safety Disclosures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18"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29</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006EBF"/>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006EBF"/>
        </w:rPr>
        <w:t>Market Information</w:t>
      </w:r>
    </w:p>
    <w:p>
      <w:pPr>
        <w:spacing w:after="0" w:line="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Comcast’s Class A common stock is listed on The Nasdaq Stock Market LLC under the symbol CMCSA. There is no established public trading market for Comcast’s Class B common stock. The Class B common stock can be converted, on a share for share basis, into Class A common stock.</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006EBF"/>
        </w:rPr>
        <w:t>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Record holders as of January 15, 2024 are presented in the table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Stock Class</w:t>
            </w:r>
          </w:p>
        </w:tc>
        <w:tc>
          <w:tcPr>
            <w:tcW w:w="5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Record</w:t>
            </w:r>
          </w:p>
        </w:tc>
        <w:tc>
          <w:tcPr>
            <w:tcW w:w="0" w:type="dxa"/>
            <w:vAlign w:val="bottom"/>
          </w:tcPr>
          <w:p>
            <w:pPr>
              <w:spacing w:after="0"/>
              <w:rPr>
                <w:sz w:val="1"/>
                <w:szCs w:val="1"/>
                <w:color w:val="auto"/>
              </w:rPr>
            </w:pPr>
          </w:p>
        </w:tc>
      </w:tr>
      <w:tr>
        <w:trPr>
          <w:trHeight w:val="153"/>
        </w:trPr>
        <w:tc>
          <w:tcPr>
            <w:tcW w:w="6080" w:type="dxa"/>
            <w:vAlign w:val="bottom"/>
            <w:tcBorders>
              <w:bottom w:val="single" w:sz="8" w:color="auto"/>
            </w:tcBorders>
            <w:vMerge w:val="continue"/>
          </w:tcPr>
          <w:p>
            <w:pPr>
              <w:spacing w:after="0"/>
              <w:rPr>
                <w:sz w:val="13"/>
                <w:szCs w:val="13"/>
                <w:color w:val="auto"/>
              </w:rPr>
            </w:pPr>
          </w:p>
        </w:tc>
        <w:tc>
          <w:tcPr>
            <w:tcW w:w="5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Holders</w:t>
            </w:r>
          </w:p>
        </w:tc>
        <w:tc>
          <w:tcPr>
            <w:tcW w:w="0" w:type="dxa"/>
            <w:vAlign w:val="bottom"/>
          </w:tcPr>
          <w:p>
            <w:pPr>
              <w:spacing w:after="0"/>
              <w:rPr>
                <w:sz w:val="1"/>
                <w:szCs w:val="1"/>
                <w:color w:val="auto"/>
              </w:rPr>
            </w:pPr>
          </w:p>
        </w:tc>
      </w:tr>
      <w:tr>
        <w:trPr>
          <w:trHeight w:val="177"/>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320,193</w:t>
            </w:r>
          </w:p>
        </w:tc>
        <w:tc>
          <w:tcPr>
            <w:tcW w:w="0" w:type="dxa"/>
            <w:vAlign w:val="bottom"/>
          </w:tcPr>
          <w:p>
            <w:pPr>
              <w:spacing w:after="0"/>
              <w:rPr>
                <w:sz w:val="1"/>
                <w:szCs w:val="1"/>
                <w:color w:val="auto"/>
              </w:rPr>
            </w:pPr>
          </w:p>
        </w:tc>
      </w:tr>
      <w:tr>
        <w:trPr>
          <w:trHeight w:val="180"/>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5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Holders of Class A common stock in the aggregate hold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4"/>
          <w:szCs w:val="14"/>
          <w:color w:val="auto"/>
        </w:rPr>
        <w:t>% of the combined voting power of our common stock. The number of votes that each share of Class A common stock has at any given time depends on the number of shares of Class A common stock and Class B common stock then outstanding, with each share of Class B common stock having 15 votes per share. The Class B common stock represents 33</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4"/>
          <w:szCs w:val="14"/>
          <w:color w:val="auto"/>
        </w:rPr>
        <w:t>% of the combined voting power of our common stock, which percentage is generally non-dilutable under the terms of our articles of incorporation.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006EBF"/>
        </w:rPr>
        <w:t>Dividends</w:t>
      </w:r>
    </w:p>
    <w:p>
      <w:pPr>
        <w:spacing w:after="0" w:line="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expect to continue to pay quarterly dividends, although each dividend is subject to approval by our Board of Directors. Refer to Liquidity and Capital Resources in Item 7: Management’s Discussion and Analysis of Financial Condition and Results of Operations for additional information.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EBF"/>
        </w:rPr>
        <w:t>Share Repurchases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summarizes Comcast’s common stock repurchases during 2023.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Total Number of</w:t>
            </w:r>
          </w:p>
        </w:tc>
        <w:tc>
          <w:tcPr>
            <w:tcW w:w="280" w:type="dxa"/>
            <w:vAlign w:val="bottom"/>
          </w:tcPr>
          <w:p>
            <w:pPr>
              <w:spacing w:after="0"/>
              <w:rPr>
                <w:sz w:val="11"/>
                <w:szCs w:val="1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Total Dollar</w:t>
            </w:r>
          </w:p>
        </w:tc>
        <w:tc>
          <w:tcPr>
            <w:tcW w:w="620" w:type="dxa"/>
            <w:vAlign w:val="bottom"/>
          </w:tcPr>
          <w:p>
            <w:pPr>
              <w:spacing w:after="0"/>
              <w:rPr>
                <w:sz w:val="11"/>
                <w:szCs w:val="1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Maximum Dollar Value</w:t>
            </w:r>
          </w:p>
        </w:tc>
        <w:tc>
          <w:tcPr>
            <w:tcW w:w="0" w:type="dxa"/>
            <w:vAlign w:val="bottom"/>
          </w:tcPr>
          <w:p>
            <w:pPr>
              <w:spacing w:after="0"/>
              <w:rPr>
                <w:sz w:val="1"/>
                <w:szCs w:val="1"/>
                <w:color w:val="auto"/>
              </w:rPr>
            </w:pPr>
          </w:p>
        </w:tc>
      </w:tr>
      <w:tr>
        <w:trPr>
          <w:trHeight w:val="117"/>
        </w:trPr>
        <w:tc>
          <w:tcPr>
            <w:tcW w:w="24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Shares</w:t>
            </w:r>
          </w:p>
        </w:tc>
        <w:tc>
          <w:tcPr>
            <w:tcW w:w="28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1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of Shares That</w:t>
            </w: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Purchased as</w:t>
            </w:r>
          </w:p>
        </w:tc>
        <w:tc>
          <w:tcPr>
            <w:tcW w:w="28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Amount</w:t>
            </w:r>
          </w:p>
        </w:tc>
        <w:tc>
          <w:tcPr>
            <w:tcW w:w="620" w:type="dxa"/>
            <w:vAlign w:val="bottom"/>
          </w:tcPr>
          <w:p>
            <w:pPr>
              <w:spacing w:after="0"/>
              <w:rPr>
                <w:sz w:val="11"/>
                <w:szCs w:val="1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May Yet Be Purchased</w:t>
            </w: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Total Number of</w:t>
            </w:r>
          </w:p>
        </w:tc>
        <w:tc>
          <w:tcPr>
            <w:tcW w:w="320" w:type="dxa"/>
            <w:vAlign w:val="bottom"/>
          </w:tcPr>
          <w:p>
            <w:pPr>
              <w:spacing w:after="0"/>
              <w:rPr>
                <w:sz w:val="11"/>
                <w:szCs w:val="11"/>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Average</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Part of Publicly</w:t>
            </w:r>
          </w:p>
        </w:tc>
        <w:tc>
          <w:tcPr>
            <w:tcW w:w="28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Purchased Under the Publicly</w:t>
            </w:r>
          </w:p>
        </w:tc>
        <w:tc>
          <w:tcPr>
            <w:tcW w:w="620" w:type="dxa"/>
            <w:vAlign w:val="bottom"/>
          </w:tcPr>
          <w:p>
            <w:pPr>
              <w:spacing w:after="0"/>
              <w:rPr>
                <w:sz w:val="11"/>
                <w:szCs w:val="1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Under the Publicly</w:t>
            </w:r>
          </w:p>
        </w:tc>
        <w:tc>
          <w:tcPr>
            <w:tcW w:w="0" w:type="dxa"/>
            <w:vAlign w:val="bottom"/>
          </w:tcPr>
          <w:p>
            <w:pPr>
              <w:spacing w:after="0"/>
              <w:rPr>
                <w:sz w:val="1"/>
                <w:szCs w:val="1"/>
                <w:color w:val="auto"/>
              </w:rPr>
            </w:pPr>
          </w:p>
        </w:tc>
      </w:tr>
      <w:tr>
        <w:trPr>
          <w:trHeight w:val="117"/>
        </w:trPr>
        <w:tc>
          <w:tcPr>
            <w:tcW w:w="2460" w:type="dxa"/>
            <w:vAlign w:val="bottom"/>
          </w:tcPr>
          <w:p>
            <w:pPr>
              <w:spacing w:after="0"/>
              <w:rPr>
                <w:sz w:val="10"/>
                <w:szCs w:val="10"/>
                <w:color w:val="auto"/>
              </w:rPr>
            </w:pPr>
          </w:p>
        </w:tc>
        <w:tc>
          <w:tcPr>
            <w:tcW w:w="19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Shares</w:t>
            </w:r>
          </w:p>
        </w:tc>
        <w:tc>
          <w:tcPr>
            <w:tcW w:w="320" w:type="dxa"/>
            <w:vAlign w:val="bottom"/>
          </w:tcPr>
          <w:p>
            <w:pPr>
              <w:spacing w:after="0"/>
              <w:rPr>
                <w:sz w:val="10"/>
                <w:szCs w:val="10"/>
                <w:color w:val="auto"/>
              </w:rPr>
            </w:pPr>
          </w:p>
        </w:tc>
        <w:tc>
          <w:tcPr>
            <w:tcW w:w="1200" w:type="dxa"/>
            <w:vAlign w:val="bottom"/>
          </w:tcPr>
          <w:p>
            <w:pPr>
              <w:jc w:val="right"/>
              <w:ind w:right="474"/>
              <w:spacing w:after="0" w:line="117" w:lineRule="exact"/>
              <w:rPr>
                <w:sz w:val="20"/>
                <w:szCs w:val="20"/>
                <w:color w:val="auto"/>
              </w:rPr>
            </w:pPr>
            <w:r>
              <w:rPr>
                <w:rFonts w:ascii="Times New Roman" w:cs="Times New Roman" w:eastAsia="Times New Roman" w:hAnsi="Times New Roman"/>
                <w:sz w:val="11"/>
                <w:szCs w:val="11"/>
                <w:color w:val="auto"/>
              </w:rPr>
              <w:t>Price Per</w:t>
            </w:r>
          </w:p>
        </w:tc>
        <w:tc>
          <w:tcPr>
            <w:tcW w:w="13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Announced</w:t>
            </w:r>
          </w:p>
        </w:tc>
        <w:tc>
          <w:tcPr>
            <w:tcW w:w="280" w:type="dxa"/>
            <w:vAlign w:val="bottom"/>
          </w:tcPr>
          <w:p>
            <w:pPr>
              <w:spacing w:after="0"/>
              <w:rPr>
                <w:sz w:val="10"/>
                <w:szCs w:val="10"/>
                <w:color w:val="auto"/>
              </w:rPr>
            </w:pPr>
          </w:p>
        </w:tc>
        <w:tc>
          <w:tcPr>
            <w:tcW w:w="1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Announced</w:t>
            </w:r>
          </w:p>
        </w:tc>
        <w:tc>
          <w:tcPr>
            <w:tcW w:w="620" w:type="dxa"/>
            <w:vAlign w:val="bottom"/>
          </w:tcPr>
          <w:p>
            <w:pPr>
              <w:spacing w:after="0"/>
              <w:rPr>
                <w:sz w:val="10"/>
                <w:szCs w:val="10"/>
                <w:color w:val="auto"/>
              </w:rPr>
            </w:pPr>
          </w:p>
        </w:tc>
        <w:tc>
          <w:tcPr>
            <w:tcW w:w="1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Announced</w:t>
            </w:r>
          </w:p>
        </w:tc>
        <w:tc>
          <w:tcPr>
            <w:tcW w:w="0" w:type="dxa"/>
            <w:vAlign w:val="bottom"/>
          </w:tcPr>
          <w:p>
            <w:pPr>
              <w:spacing w:after="0"/>
              <w:rPr>
                <w:sz w:val="1"/>
                <w:szCs w:val="1"/>
                <w:color w:val="auto"/>
              </w:rPr>
            </w:pPr>
          </w:p>
        </w:tc>
      </w:tr>
      <w:tr>
        <w:trPr>
          <w:trHeight w:val="166"/>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Period</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Purchased</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1"/>
                <w:szCs w:val="11"/>
                <w:color w:val="auto"/>
              </w:rPr>
              <w:t>Share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Authorization</w:t>
            </w: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Authorization</w:t>
            </w:r>
          </w:p>
        </w:tc>
        <w:tc>
          <w:tcPr>
            <w:tcW w:w="6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Authorization</w:t>
            </w:r>
            <w:r>
              <w:rPr>
                <w:rFonts w:ascii="Times New Roman" w:cs="Times New Roman" w:eastAsia="Times New Roman" w:hAnsi="Times New Roman"/>
                <w:sz w:val="14"/>
                <w:szCs w:val="14"/>
                <w:color w:val="auto"/>
                <w:vertAlign w:val="superscript"/>
              </w:rPr>
              <w:t>(a)</w:t>
            </w:r>
          </w:p>
        </w:tc>
        <w:tc>
          <w:tcPr>
            <w:tcW w:w="0" w:type="dxa"/>
            <w:vAlign w:val="bottom"/>
          </w:tcPr>
          <w:p>
            <w:pPr>
              <w:spacing w:after="0"/>
              <w:rPr>
                <w:sz w:val="1"/>
                <w:szCs w:val="1"/>
                <w:color w:val="auto"/>
              </w:rPr>
            </w:pPr>
          </w:p>
        </w:tc>
      </w:tr>
      <w:tr>
        <w:trPr>
          <w:trHeight w:val="183"/>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Quarter 2023</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52,545,035</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38.06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52,545,035</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1,999,999,325</w:t>
            </w:r>
          </w:p>
        </w:tc>
        <w:tc>
          <w:tcPr>
            <w:tcW w:w="62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14,000,000,855</w:t>
            </w: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Quarter 2023</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50,509,440</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39.60</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50,509,440</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1,999,999,962</w:t>
            </w: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12,000,000,893</w:t>
            </w: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Quarter 2023</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77,464,030</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45.18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77,464,030</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3,500,000,652</w:t>
            </w:r>
          </w:p>
        </w:tc>
        <w:tc>
          <w:tcPr>
            <w:tcW w:w="62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8,500,000,241</w:t>
            </w: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1-31, 2023</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44,347,247</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42.84</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44,347,247</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1,899,957,474</w:t>
            </w: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6,600,042,767</w:t>
            </w: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November 1-30, 2023</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22,423,430</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42.14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22,423,430</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944,948,397</w:t>
            </w:r>
          </w:p>
        </w:tc>
        <w:tc>
          <w:tcPr>
            <w:tcW w:w="62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5,655,094,370</w:t>
            </w: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1-31, 2023</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15,161,912</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43.21</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15,161,912</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655,093,867</w:t>
            </w: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5,000,000,503</w:t>
            </w:r>
          </w:p>
        </w:tc>
        <w:tc>
          <w:tcPr>
            <w:tcW w:w="0" w:type="dxa"/>
            <w:vAlign w:val="bottom"/>
          </w:tcPr>
          <w:p>
            <w:pPr>
              <w:spacing w:after="0"/>
              <w:rPr>
                <w:sz w:val="1"/>
                <w:szCs w:val="1"/>
                <w:color w:val="auto"/>
              </w:rPr>
            </w:pPr>
          </w:p>
        </w:tc>
      </w:tr>
      <w:tr>
        <w:trPr>
          <w:trHeight w:val="22"/>
        </w:trPr>
        <w:tc>
          <w:tcPr>
            <w:tcW w:w="2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262,451,094</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41.91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262,451,094</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10,999,999,677</w:t>
            </w:r>
          </w:p>
        </w:tc>
        <w:tc>
          <w:tcPr>
            <w:tcW w:w="62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5,000,000,503</w:t>
            </w:r>
          </w:p>
        </w:tc>
        <w:tc>
          <w:tcPr>
            <w:tcW w:w="0" w:type="dxa"/>
            <w:vAlign w:val="bottom"/>
          </w:tcPr>
          <w:p>
            <w:pPr>
              <w:spacing w:after="0"/>
              <w:rPr>
                <w:sz w:val="1"/>
                <w:szCs w:val="1"/>
                <w:color w:val="auto"/>
              </w:rPr>
            </w:pPr>
          </w:p>
        </w:tc>
      </w:tr>
      <w:tr>
        <w:trPr>
          <w:trHeight w:val="20"/>
        </w:trPr>
        <w:tc>
          <w:tcPr>
            <w:tcW w:w="2460" w:type="dxa"/>
            <w:vAlign w:val="bottom"/>
            <w:shd w:val="clear" w:color="auto" w:fill="0C6DFF"/>
          </w:tcPr>
          <w:p>
            <w:pPr>
              <w:spacing w:after="0" w:line="20" w:lineRule="exact"/>
              <w:rPr>
                <w:sz w:val="1"/>
                <w:szCs w:val="1"/>
                <w:color w:val="auto"/>
              </w:rPr>
            </w:pPr>
          </w:p>
        </w:tc>
        <w:tc>
          <w:tcPr>
            <w:tcW w:w="1960" w:type="dxa"/>
            <w:vAlign w:val="bottom"/>
            <w:shd w:val="clear" w:color="auto" w:fill="0C6DFF"/>
          </w:tcPr>
          <w:p>
            <w:pPr>
              <w:spacing w:after="0" w:line="20" w:lineRule="exact"/>
              <w:rPr>
                <w:sz w:val="1"/>
                <w:szCs w:val="1"/>
                <w:color w:val="auto"/>
              </w:rPr>
            </w:pPr>
          </w:p>
        </w:tc>
        <w:tc>
          <w:tcPr>
            <w:tcW w:w="320" w:type="dxa"/>
            <w:vAlign w:val="bottom"/>
            <w:shd w:val="clear" w:color="auto" w:fill="0C6DFF"/>
          </w:tcPr>
          <w:p>
            <w:pPr>
              <w:spacing w:after="0" w:line="20" w:lineRule="exact"/>
              <w:rPr>
                <w:sz w:val="1"/>
                <w:szCs w:val="1"/>
                <w:color w:val="auto"/>
              </w:rPr>
            </w:pPr>
          </w:p>
        </w:tc>
        <w:tc>
          <w:tcPr>
            <w:tcW w:w="1200" w:type="dxa"/>
            <w:vAlign w:val="bottom"/>
            <w:shd w:val="clear" w:color="auto" w:fill="0C6DFF"/>
          </w:tcPr>
          <w:p>
            <w:pPr>
              <w:spacing w:after="0" w:line="20" w:lineRule="exact"/>
              <w:rPr>
                <w:sz w:val="1"/>
                <w:szCs w:val="1"/>
                <w:color w:val="auto"/>
              </w:rPr>
            </w:pPr>
          </w:p>
        </w:tc>
        <w:tc>
          <w:tcPr>
            <w:tcW w:w="1300" w:type="dxa"/>
            <w:vAlign w:val="bottom"/>
            <w:shd w:val="clear" w:color="auto" w:fill="0C6DFF"/>
          </w:tcPr>
          <w:p>
            <w:pPr>
              <w:spacing w:after="0" w:line="20" w:lineRule="exact"/>
              <w:rPr>
                <w:sz w:val="1"/>
                <w:szCs w:val="1"/>
                <w:color w:val="auto"/>
              </w:rPr>
            </w:pPr>
          </w:p>
        </w:tc>
        <w:tc>
          <w:tcPr>
            <w:tcW w:w="280" w:type="dxa"/>
            <w:vAlign w:val="bottom"/>
            <w:shd w:val="clear" w:color="auto" w:fill="0C6DFF"/>
          </w:tcPr>
          <w:p>
            <w:pPr>
              <w:spacing w:after="0" w:line="20" w:lineRule="exact"/>
              <w:rPr>
                <w:sz w:val="1"/>
                <w:szCs w:val="1"/>
                <w:color w:val="auto"/>
              </w:rPr>
            </w:pPr>
          </w:p>
        </w:tc>
        <w:tc>
          <w:tcPr>
            <w:tcW w:w="1540" w:type="dxa"/>
            <w:vAlign w:val="bottom"/>
            <w:shd w:val="clear" w:color="auto" w:fill="0C6DFF"/>
          </w:tcPr>
          <w:p>
            <w:pPr>
              <w:spacing w:after="0" w:line="20" w:lineRule="exact"/>
              <w:rPr>
                <w:sz w:val="1"/>
                <w:szCs w:val="1"/>
                <w:color w:val="auto"/>
              </w:rPr>
            </w:pPr>
          </w:p>
        </w:tc>
        <w:tc>
          <w:tcPr>
            <w:tcW w:w="620" w:type="dxa"/>
            <w:vAlign w:val="bottom"/>
            <w:shd w:val="clear" w:color="auto" w:fill="0C6DFF"/>
          </w:tcPr>
          <w:p>
            <w:pPr>
              <w:spacing w:after="0" w:line="20" w:lineRule="exact"/>
              <w:rPr>
                <w:sz w:val="1"/>
                <w:szCs w:val="1"/>
                <w:color w:val="auto"/>
              </w:rPr>
            </w:pPr>
          </w:p>
        </w:tc>
        <w:tc>
          <w:tcPr>
            <w:tcW w:w="1600" w:type="dxa"/>
            <w:vAlign w:val="bottom"/>
            <w:shd w:val="clear" w:color="auto" w:fill="0C6D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00" w:hanging="195"/>
        <w:spacing w:after="0" w:line="300" w:lineRule="auto"/>
        <w:tabs>
          <w:tab w:leader="none" w:pos="198"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September 2022, our Board of Directors approved a share repurchase program authorization of $20 billion. In January 2024, our Board of Directors approved a new share repurchase program authorization of $15 billion, which has no expiration date. We expect to repurchase additional shares of our Class A common stock under this authorization in the open market or in private transactions, subject to market and other conditions.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30</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graph compares the annual percentage change in the cumulative total shareholder return on Comcast’s Class A common stock during the five years ended December 31, 2023 with the cumulative total returns on the Standard &amp; Poor’s 500 Stock Index and a select peer group consisting of us and other companies engaged in the transmission and distribution and media industries. This peer group consists of our Class A common stock and the common stock of AT&amp;T Inc., Charter Communications, Inc., Fox Corp. (Class A), Lumen Technologies, Inc., Paramount Global (Class B), T-Mobile US, Inc., Verizon Communications Inc., Warner Bros. Discovery Inc. and The Walt Disney Company (the “New Peer Group”).</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Following the change in our segment reporting in 2023, we have updated the peer group presented to simplify the calculation, to remove DISH Network Corporation (Class A) due to its smaller market capitalization and to add Fox Corp. The peer group presented in our 2022 Annual Report on Form 10-K was constructed as a composite peer group in which the subgroup of transmission and distribution industry peer companies listed above, along with DISH Network, and the subgroup of media industry peer companies listed above, were weighted based on the respective revenue of our transmission and distribution and media businesses, or 65% and 35%, respectively in the current year (the “Prior Peer Group”).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comparison assumes $100 was invested on December 31, 2018 in our Class A common stock and in each of the following indices and assumes the reinvestment of dividends.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48195" cy="2000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200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3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2019</w:t>
            </w: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2020</w:t>
            </w:r>
          </w:p>
        </w:tc>
        <w:tc>
          <w:tcPr>
            <w:tcW w:w="5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5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2023</w:t>
            </w: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Comcast Class A</w:t>
            </w:r>
          </w:p>
        </w:tc>
        <w:tc>
          <w:tcPr>
            <w:tcW w:w="256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8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 Stock Index</w:t>
            </w:r>
          </w:p>
        </w:tc>
        <w:tc>
          <w:tcPr>
            <w:tcW w:w="25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Peer Group</w:t>
            </w:r>
          </w:p>
        </w:tc>
        <w:tc>
          <w:tcPr>
            <w:tcW w:w="256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New Peer Group</w:t>
            </w:r>
          </w:p>
        </w:tc>
        <w:tc>
          <w:tcPr>
            <w:tcW w:w="25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006EBF"/>
        </w:rPr>
        <w:t>Item 6: [Reserved]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[Reserved]</w:t>
      </w:r>
    </w:p>
    <w:p>
      <w:pPr>
        <w:spacing w:after="0" w:line="344"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31</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161925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006EBF"/>
        </w:rPr>
        <w:t>Item 7: Management’s Discussion and Analysis of Financial Condition and Results of Operations</w:t>
      </w:r>
    </w:p>
    <w:p>
      <w:pPr>
        <w:spacing w:after="0" w:line="112" w:lineRule="exact"/>
        <w:rPr>
          <w:sz w:val="20"/>
          <w:szCs w:val="20"/>
          <w:color w:val="auto"/>
        </w:rPr>
      </w:pPr>
    </w:p>
    <w:p>
      <w:pPr>
        <w:jc w:val="both"/>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Management’s discussion and analysis of financial condition and results of operations is provided as a supplement to, and should be read in conjunction with, the consolidated financial statements and related notes (“Notes”) to enhance the understanding of our operations and our present business environment. For more information about our company’s operations and the risks facing our businesses, see Item 1: Business and Item 1A: Risk Factors, respectively. As discussed in Note 2, we changed the presentation of our segment operating results in 2023, and all amounts are presented under the new segment structure. Refer to Item 7: Management’s Discussion and Analysis of Financial Condition and Results of Operations in our </w:t>
      </w:r>
      <w:hyperlink r:id="rId72">
        <w:r>
          <w:rPr>
            <w:rFonts w:ascii="Times New Roman" w:cs="Times New Roman" w:eastAsia="Times New Roman" w:hAnsi="Times New Roman"/>
            <w:sz w:val="14"/>
            <w:szCs w:val="14"/>
            <w:u w:val="single" w:color="auto"/>
            <w:color w:val="0000FF"/>
          </w:rPr>
          <w:t>2022 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management’s discussion and analysis of our consolidated financial condition and results of operations for fiscal year 2022 compared to fiscal year 2021. The discussion and analysis related to our segment operating results and Corporate, Other and Eliminations are included below for all periods based on the new segment structure.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global media and technology company with two primary businesses: Connectivity &amp; Platforms and Content &amp; Experiences. We present the operations of (1) our Connectivity &amp; Platforms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 in two reportable business segments: Residential Connectivity &amp; Platforms and Business Services Connectivity and (2) our Content &amp; Experiences business in three reportable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segments: Media, Studios and Theme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46081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4608195" cy="698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Consolidated Revenue, Net Income Attributable to Comcast Corporation and Adjusted EBITDA</w:t>
      </w:r>
      <w:r>
        <w:rPr>
          <w:rFonts w:ascii="Arial" w:cs="Arial" w:eastAsia="Arial" w:hAnsi="Arial"/>
          <w:sz w:val="18"/>
          <w:szCs w:val="18"/>
          <w:color w:val="006EBF"/>
          <w:vertAlign w:val="superscript"/>
        </w:rPr>
        <w:t>(a)</w:t>
      </w:r>
    </w:p>
    <w:p>
      <w:pPr>
        <w:ind w:left="20"/>
        <w:spacing w:after="0"/>
        <w:rPr>
          <w:sz w:val="20"/>
          <w:szCs w:val="20"/>
          <w:color w:val="auto"/>
        </w:rPr>
      </w:pPr>
      <w:r>
        <w:rPr>
          <w:rFonts w:ascii="Times New Roman" w:cs="Times New Roman" w:eastAsia="Times New Roman" w:hAnsi="Times New Roman"/>
          <w:sz w:val="11"/>
          <w:szCs w:val="11"/>
          <w:color w:val="auto"/>
        </w:rPr>
        <w:t>(in billions)</w:t>
      </w:r>
    </w:p>
    <w:p>
      <w:pPr>
        <w:sectPr>
          <w:pgSz w:w="11900" w:h="16838" w:orient="portrait"/>
          <w:cols w:equalWidth="0" w:num="1">
            <w:col w:w="11280"/>
          </w:cols>
          <w:pgMar w:left="300" w:top="123" w:right="319" w:bottom="1440" w:gutter="0" w:footer="0" w:header="0"/>
        </w:sectPr>
      </w:pPr>
    </w:p>
    <w:p>
      <w:pPr>
        <w:spacing w:after="0" w:line="18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0"/>
          <w:szCs w:val="10"/>
          <w:b w:val="1"/>
          <w:bCs w:val="1"/>
          <w:color w:val="auto"/>
        </w:rPr>
        <w:t>Revenue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Net Income Attributable to Comcast</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104775</wp:posOffset>
            </wp:positionV>
            <wp:extent cx="1421765" cy="902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421765" cy="902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187960</wp:posOffset>
            </wp:positionV>
            <wp:extent cx="7148195" cy="9969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8195" cy="996950"/>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187960</wp:posOffset>
            </wp:positionV>
            <wp:extent cx="7148195" cy="996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8195" cy="996950"/>
                    </a:xfrm>
                    <a:prstGeom prst="rect">
                      <a:avLst/>
                    </a:prstGeom>
                    <a:noFill/>
                  </pic:spPr>
                </pic:pic>
              </a:graphicData>
            </a:graphic>
          </wp:anchor>
        </w:drawing>
      </w:r>
    </w:p>
    <w:p>
      <w:pPr>
        <w:spacing w:after="0" w:line="330" w:lineRule="exact"/>
        <w:rPr>
          <w:sz w:val="20"/>
          <w:szCs w:val="20"/>
          <w:color w:val="auto"/>
        </w:rPr>
      </w:pPr>
    </w:p>
    <w:p>
      <w:pPr>
        <w:sectPr>
          <w:pgSz w:w="11900" w:h="16838" w:orient="portrait"/>
          <w:cols w:equalWidth="0" w:num="3">
            <w:col w:w="2280" w:space="720"/>
            <w:col w:w="1860" w:space="720"/>
            <w:col w:w="5700"/>
          </w:cols>
          <w:pgMar w:left="300" w:top="12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00" w:hanging="195"/>
        <w:spacing w:after="0" w:line="280" w:lineRule="auto"/>
        <w:tabs>
          <w:tab w:leader="none" w:pos="198"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Adjusted EBITDA is a financial measure that is not defined by generally accepted accounting principles in the United States (“GAAP”). Refer to the “Non-GAAP Financial Measures” section on page 47 for additional information, including our definition and our use of Adjusted EBITDA, and for a reconciliation from net income attributable to Comcast Corporation to Adjusted EBITDA. Revenue, Net Income Attributable to Comcast Corporation and Adjusted EBITDA charts are not presented on the same scale.</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2023 Revenue and Adjusted EBITDA Segment Contribution</w:t>
      </w:r>
      <w:r>
        <w:rPr>
          <w:rFonts w:ascii="Arial" w:cs="Arial" w:eastAsia="Arial" w:hAnsi="Arial"/>
          <w:sz w:val="18"/>
          <w:szCs w:val="18"/>
          <w:color w:val="006EBF"/>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481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55" w:lineRule="exact"/>
        <w:rPr>
          <w:sz w:val="20"/>
          <w:szCs w:val="20"/>
          <w:color w:val="auto"/>
        </w:rPr>
      </w:pPr>
    </w:p>
    <w:p>
      <w:pPr>
        <w:ind w:left="2860"/>
        <w:spacing w:after="0"/>
        <w:tabs>
          <w:tab w:leader="none" w:pos="5440" w:val="left"/>
        </w:tabs>
        <w:rPr>
          <w:sz w:val="20"/>
          <w:szCs w:val="20"/>
          <w:color w:val="auto"/>
        </w:rPr>
      </w:pPr>
      <w:r>
        <w:rPr>
          <w:rFonts w:ascii="Times New Roman" w:cs="Times New Roman" w:eastAsia="Times New Roman" w:hAnsi="Times New Roman"/>
          <w:sz w:val="11"/>
          <w:szCs w:val="11"/>
          <w:b w:val="1"/>
          <w:bCs w:val="1"/>
          <w:color w:val="auto"/>
        </w:rPr>
        <w:t>Revenue</w:t>
      </w:r>
      <w:r>
        <w:rPr>
          <w:sz w:val="20"/>
          <w:szCs w:val="20"/>
          <w:color w:val="auto"/>
        </w:rPr>
        <w:tab/>
      </w:r>
      <w:r>
        <w:rPr>
          <w:rFonts w:ascii="Times New Roman" w:cs="Times New Roman" w:eastAsia="Times New Roman" w:hAnsi="Times New Roman"/>
          <w:sz w:val="11"/>
          <w:szCs w:val="11"/>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4446270" cy="12261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4446270" cy="12261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1508125</wp:posOffset>
            </wp:positionV>
            <wp:extent cx="71481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hanging="195"/>
        <w:spacing w:after="0" w:line="270" w:lineRule="auto"/>
        <w:tabs>
          <w:tab w:leader="none" w:pos="198"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Charts exclude the results of Content &amp; Experiences Headquarters and Other, Corporate and Other, and eliminations. Refer to our Management’s Discussion and Analysis of Financial Condition and Results of Operations for additional information.</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32</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2023 Developments</w:t>
      </w:r>
    </w:p>
    <w:p>
      <w:pPr>
        <w:spacing w:after="0" w:line="176"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4"/>
          <w:szCs w:val="14"/>
          <w:b w:val="1"/>
          <w:bCs w:val="1"/>
          <w:color w:val="006EBF"/>
        </w:rPr>
        <w:t>Connectivity &amp; Platforms</w:t>
      </w:r>
      <w:r>
        <w:rPr>
          <w:rFonts w:ascii="Arial" w:cs="Arial" w:eastAsia="Arial" w:hAnsi="Arial"/>
          <w:sz w:val="18"/>
          <w:szCs w:val="18"/>
          <w:b w:val="1"/>
          <w:bCs w:val="1"/>
          <w:color w:val="006EBF"/>
          <w:vertAlign w:val="superscript"/>
        </w:rPr>
        <w:t>(a)</w:t>
      </w:r>
      <w:r>
        <w:rPr>
          <w:sz w:val="20"/>
          <w:szCs w:val="20"/>
          <w:color w:val="auto"/>
        </w:rPr>
        <w:tab/>
      </w:r>
      <w:r>
        <w:rPr>
          <w:rFonts w:ascii="Arial" w:cs="Arial" w:eastAsia="Arial" w:hAnsi="Arial"/>
          <w:sz w:val="13"/>
          <w:szCs w:val="13"/>
          <w:b w:val="1"/>
          <w:bCs w:val="1"/>
          <w:color w:val="006EBF"/>
        </w:rPr>
        <w:t>Content &amp; Experiences</w:t>
      </w:r>
      <w:r>
        <w:rPr>
          <w:rFonts w:ascii="Arial" w:cs="Arial" w:eastAsia="Arial" w:hAnsi="Arial"/>
          <w:sz w:val="17"/>
          <w:szCs w:val="17"/>
          <w:b w:val="1"/>
          <w:bCs w:val="1"/>
          <w:color w:val="006EBF"/>
          <w:vertAlign w:val="superscript"/>
        </w:rPr>
        <w: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54610</wp:posOffset>
            </wp:positionV>
            <wp:extent cx="5706745" cy="16103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706745" cy="161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0" w:hanging="155"/>
        <w:spacing w:after="0"/>
        <w:tabs>
          <w:tab w:leader="none" w:pos="1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Revenue and Adjusted EBITDA charts are not presented on the same scale.</w:t>
      </w:r>
    </w:p>
    <w:p>
      <w:pPr>
        <w:spacing w:after="0" w:line="64"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Segment details in the charts exclude the results of Content &amp; Experiences Headquarters and Other and Eliminations and therefore the amounts do not equal the total.</w:t>
      </w:r>
    </w:p>
    <w:p>
      <w:pPr>
        <w:spacing w:after="0" w:line="97"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4"/>
          <w:szCs w:val="14"/>
          <w:b w:val="1"/>
          <w:bCs w:val="1"/>
          <w:color w:val="auto"/>
        </w:rPr>
        <w:t>Residential Connectivity &amp; Platforms</w:t>
      </w:r>
      <w:r>
        <w:rPr>
          <w:sz w:val="20"/>
          <w:szCs w:val="20"/>
          <w:color w:val="auto"/>
        </w:rPr>
        <w:tab/>
      </w:r>
      <w:r>
        <w:rPr>
          <w:rFonts w:ascii="Times New Roman" w:cs="Times New Roman" w:eastAsia="Times New Roman" w:hAnsi="Times New Roman"/>
          <w:sz w:val="13"/>
          <w:szCs w:val="13"/>
          <w:b w:val="1"/>
          <w:bCs w:val="1"/>
          <w:color w:val="auto"/>
        </w:rPr>
        <w:t>Media</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Revenue remained consistent with the prior year due to decreases in video, advertising and •</w:t>
            </w:r>
          </w:p>
        </w:tc>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Revenue decreased primarily due to the impact of our broadcasts of the Beijing Olympics,</w:t>
            </w:r>
          </w:p>
        </w:tc>
      </w:tr>
      <w:tr>
        <w:trPr>
          <w:trHeight w:val="170"/>
        </w:trPr>
        <w:tc>
          <w:tcPr>
            <w:tcW w:w="5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revenue, offset by increases in domestic broadband, international connectivity and</w:t>
            </w:r>
          </w:p>
        </w:tc>
        <w:tc>
          <w:tcPr>
            <w:tcW w:w="18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Super Bowl and FIFA World Cup in 2022. Excluding $1.7 billion of revenue associated with</w:t>
            </w:r>
          </w:p>
        </w:tc>
      </w:tr>
      <w:tr>
        <w:trPr>
          <w:trHeight w:val="170"/>
        </w:trPr>
        <w:tc>
          <w:tcPr>
            <w:tcW w:w="5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domestic wireless revenue.</w:t>
            </w:r>
          </w:p>
        </w:tc>
        <w:tc>
          <w:tcPr>
            <w:tcW w:w="18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these events, revenue increased due to increases in domestic distribution and international</w:t>
            </w:r>
          </w:p>
        </w:tc>
      </w:tr>
      <w:tr>
        <w:trPr>
          <w:trHeight w:val="170"/>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   Adjusted EBITDA increased primarily due to decreases in other expenses and programming</w:t>
            </w:r>
          </w:p>
        </w:tc>
        <w:tc>
          <w:tcPr>
            <w:tcW w:w="18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networks revenue, partially offset by decreases in domestic advertising and other revenue.</w:t>
            </w:r>
          </w:p>
        </w:tc>
      </w:tr>
      <w:tr>
        <w:trPr>
          <w:trHeight w:val="170"/>
        </w:trPr>
        <w:tc>
          <w:tcPr>
            <w:tcW w:w="5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expenses.</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EBITDA decreased primarily due to a decrease in revenue, which was partially</w:t>
            </w:r>
          </w:p>
        </w:tc>
      </w:tr>
      <w:tr>
        <w:trPr>
          <w:trHeight w:val="170"/>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   Adjusted EBITDA margin increased from 36.1% to 37.5%.</w:t>
            </w:r>
          </w:p>
        </w:tc>
        <w:tc>
          <w:tcPr>
            <w:tcW w:w="18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offset by a decrease in programming and production costs driven by events in 2022 and higher</w:t>
            </w:r>
          </w:p>
        </w:tc>
      </w:tr>
      <w:tr>
        <w:trPr>
          <w:trHeight w:val="184"/>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Peacock programming costs in 2023.</w:t>
            </w:r>
          </w:p>
        </w:tc>
      </w:tr>
    </w:tbl>
    <w:p>
      <w:pPr>
        <w:spacing w:after="0" w:line="1" w:lineRule="exact"/>
        <w:rPr>
          <w:sz w:val="20"/>
          <w:szCs w:val="20"/>
          <w:color w:val="auto"/>
        </w:rPr>
      </w:pPr>
    </w:p>
    <w:p>
      <w:pPr>
        <w:sectPr>
          <w:pgSz w:w="11900" w:h="16838" w:orient="portrait"/>
          <w:cols w:equalWidth="0" w:num="1">
            <w:col w:w="11260"/>
          </w:cols>
          <w:pgMar w:left="300" w:top="123" w:right="339" w:bottom="1440" w:gutter="0" w:footer="0" w:header="0"/>
        </w:sectPr>
      </w:pP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Business Services Connectivity</w:t>
      </w:r>
    </w:p>
    <w:p>
      <w:pPr>
        <w:spacing w:after="0" w:line="25" w:lineRule="exact"/>
        <w:rPr>
          <w:sz w:val="20"/>
          <w:szCs w:val="20"/>
          <w:color w:val="auto"/>
        </w:rPr>
      </w:pPr>
    </w:p>
    <w:p>
      <w:pPr>
        <w:ind w:left="280" w:hanging="261"/>
        <w:spacing w:after="0" w:line="253" w:lineRule="auto"/>
        <w:tabs>
          <w:tab w:leader="none" w:pos="27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increased due to increases in revenue from small business, medium-sized and enterprise customers.</w:t>
      </w:r>
    </w:p>
    <w:p>
      <w:pPr>
        <w:ind w:left="280" w:right="20" w:hanging="261"/>
        <w:spacing w:after="0" w:line="253" w:lineRule="auto"/>
        <w:tabs>
          <w:tab w:leader="none" w:pos="27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increased due to an increase in revenue, partially offset by increased costs and expenses.</w:t>
      </w:r>
    </w:p>
    <w:p>
      <w:pPr>
        <w:ind w:left="280" w:hanging="261"/>
        <w:spacing w:after="0"/>
        <w:tabs>
          <w:tab w:leader="none" w:pos="2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was consistent at 57.2%.</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Customer Metrics</w:t>
      </w:r>
    </w:p>
    <w:p>
      <w:pPr>
        <w:spacing w:after="0" w:line="25" w:lineRule="exact"/>
        <w:rPr>
          <w:sz w:val="20"/>
          <w:szCs w:val="20"/>
          <w:color w:val="auto"/>
        </w:rPr>
      </w:pPr>
    </w:p>
    <w:p>
      <w:pPr>
        <w:ind w:left="280" w:hanging="261"/>
        <w:spacing w:after="0"/>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customer relationships decreased by 288,000 to 52.1 million.</w:t>
      </w:r>
    </w:p>
    <w:p>
      <w:pPr>
        <w:spacing w:after="0" w:line="8" w:lineRule="exact"/>
        <w:rPr>
          <w:rFonts w:ascii="Times New Roman" w:cs="Times New Roman" w:eastAsia="Times New Roman" w:hAnsi="Times New Roman"/>
          <w:sz w:val="14"/>
          <w:szCs w:val="14"/>
          <w:color w:val="auto"/>
        </w:rPr>
      </w:pPr>
    </w:p>
    <w:p>
      <w:pPr>
        <w:ind w:left="280" w:hanging="261"/>
        <w:spacing w:after="0"/>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broadband customers decreased by 66,000 to 32.3 million.</w:t>
      </w:r>
    </w:p>
    <w:p>
      <w:pPr>
        <w:spacing w:after="0" w:line="8" w:lineRule="exact"/>
        <w:rPr>
          <w:rFonts w:ascii="Times New Roman" w:cs="Times New Roman" w:eastAsia="Times New Roman" w:hAnsi="Times New Roman"/>
          <w:sz w:val="14"/>
          <w:szCs w:val="14"/>
          <w:color w:val="auto"/>
        </w:rPr>
      </w:pPr>
    </w:p>
    <w:p>
      <w:pPr>
        <w:ind w:left="280" w:hanging="261"/>
        <w:spacing w:after="0"/>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wireless lines increased by 1.3 million to 6.6 million.</w:t>
      </w:r>
    </w:p>
    <w:p>
      <w:pPr>
        <w:spacing w:after="0" w:line="8" w:lineRule="exact"/>
        <w:rPr>
          <w:rFonts w:ascii="Times New Roman" w:cs="Times New Roman" w:eastAsia="Times New Roman" w:hAnsi="Times New Roman"/>
          <w:sz w:val="14"/>
          <w:szCs w:val="14"/>
          <w:color w:val="auto"/>
        </w:rPr>
      </w:pPr>
    </w:p>
    <w:p>
      <w:pPr>
        <w:ind w:left="280" w:hanging="261"/>
        <w:spacing w:after="0"/>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video customers decreased by 2.0 million to 14.1 million.</w:t>
      </w:r>
    </w:p>
    <w:p>
      <w:pPr>
        <w:spacing w:after="0" w:line="20" w:lineRule="exact"/>
        <w:rPr>
          <w:sz w:val="20"/>
          <w:szCs w:val="20"/>
          <w:color w:val="auto"/>
        </w:rPr>
      </w:pPr>
      <w:r>
        <w:rPr>
          <w:sz w:val="20"/>
          <w:szCs w:val="20"/>
          <w:color w:val="auto"/>
        </w:rPr>
        <w:br w:type="column"/>
      </w:r>
    </w:p>
    <w:p>
      <w:pPr>
        <w:jc w:val="both"/>
        <w:ind w:left="260" w:hanging="257"/>
        <w:spacing w:after="0" w:line="259"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Peacock generated revenue and costs and expenses of $3.4 billion and $6.1 billion in 2023, respectively, compared to $2.1 billion and $4.6 billion in 2022, respectively. Paid subscribers increased by 10 million to 31 million in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Studios</w:t>
      </w:r>
    </w:p>
    <w:p>
      <w:pPr>
        <w:spacing w:after="0" w:line="25" w:lineRule="exact"/>
        <w:rPr>
          <w:sz w:val="20"/>
          <w:szCs w:val="20"/>
          <w:color w:val="auto"/>
        </w:rPr>
      </w:pPr>
    </w:p>
    <w:p>
      <w:pPr>
        <w:jc w:val="both"/>
        <w:ind w:left="260" w:hanging="257"/>
        <w:spacing w:after="0" w:line="253"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decreased due to a decrease in content licensing revenue primarily driven by the Writers Guild and SAG work stoppages in 2023, partially offset by an increase in theatrical revenue.</w:t>
      </w:r>
    </w:p>
    <w:p>
      <w:pPr>
        <w:ind w:left="260" w:hanging="257"/>
        <w:spacing w:after="0" w:line="266"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increased due to decreases in programming and production and marketing and promotion expenses, partially offset by a decrease in revenue.</w:t>
      </w:r>
    </w:p>
    <w:p>
      <w:pPr>
        <w:spacing w:after="0" w:line="534" w:lineRule="exact"/>
        <w:rPr>
          <w:sz w:val="20"/>
          <w:szCs w:val="20"/>
          <w:color w:val="auto"/>
        </w:rPr>
      </w:pPr>
    </w:p>
    <w:p>
      <w:pPr>
        <w:sectPr>
          <w:pgSz w:w="11900" w:h="16838" w:orient="portrait"/>
          <w:cols w:equalWidth="0" w:num="2">
            <w:col w:w="5640" w:space="20"/>
            <w:col w:w="5600"/>
          </w:cols>
          <w:pgMar w:left="300" w:top="123" w:right="33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33</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4"/>
          <w:szCs w:val="14"/>
          <w:b w:val="1"/>
          <w:bCs w:val="1"/>
          <w:color w:val="auto"/>
        </w:rPr>
        <w:t>Capital Expenditures</w:t>
      </w:r>
      <w:r>
        <w:rPr>
          <w:sz w:val="20"/>
          <w:szCs w:val="20"/>
          <w:color w:val="auto"/>
        </w:rPr>
        <w:tab/>
      </w:r>
      <w:r>
        <w:rPr>
          <w:rFonts w:ascii="Times New Roman" w:cs="Times New Roman" w:eastAsia="Times New Roman" w:hAnsi="Times New Roman"/>
          <w:sz w:val="14"/>
          <w:szCs w:val="14"/>
          <w:b w:val="1"/>
          <w:bCs w:val="1"/>
          <w:color w:val="auto"/>
        </w:rPr>
        <w:t>Theme Parks</w:t>
      </w:r>
    </w:p>
    <w:p>
      <w:pPr>
        <w:spacing w:after="0" w:line="25" w:lineRule="exact"/>
        <w:rPr>
          <w:sz w:val="20"/>
          <w:szCs w:val="20"/>
          <w:color w:val="auto"/>
        </w:rPr>
      </w:pPr>
    </w:p>
    <w:p>
      <w:pPr>
        <w:ind w:left="20"/>
        <w:spacing w:after="0"/>
        <w:tabs>
          <w:tab w:leader="none" w:pos="260" w:val="left"/>
          <w:tab w:leader="none" w:pos="59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Total Connectivity &amp; Platforms capital expenditures increased 1.5% to $8.2 billion, reflecting •</w:t>
        <w:tab/>
        <w:t>Revenue increased due to increases in revenue at our international theme parks and our theme</w:t>
      </w:r>
    </w:p>
    <w:p>
      <w:pPr>
        <w:spacing w:after="0" w:line="9" w:lineRule="exact"/>
        <w:rPr>
          <w:sz w:val="20"/>
          <w:szCs w:val="20"/>
          <w:color w:val="auto"/>
        </w:rPr>
      </w:pPr>
    </w:p>
    <w:p>
      <w:pPr>
        <w:ind w:left="280"/>
        <w:spacing w:after="0"/>
        <w:tabs>
          <w:tab w:leader="none" w:pos="5900" w:val="left"/>
        </w:tabs>
        <w:rPr>
          <w:sz w:val="20"/>
          <w:szCs w:val="20"/>
          <w:color w:val="auto"/>
        </w:rPr>
      </w:pPr>
      <w:r>
        <w:rPr>
          <w:rFonts w:ascii="Times New Roman" w:cs="Times New Roman" w:eastAsia="Times New Roman" w:hAnsi="Times New Roman"/>
          <w:sz w:val="14"/>
          <w:szCs w:val="14"/>
          <w:color w:val="auto"/>
        </w:rPr>
        <w:t>increased spending on line extensions and scalable infrastructure, partially offset by decreased</w:t>
      </w:r>
      <w:r>
        <w:rPr>
          <w:sz w:val="20"/>
          <w:szCs w:val="20"/>
          <w:color w:val="auto"/>
        </w:rPr>
        <w:tab/>
      </w:r>
      <w:r>
        <w:rPr>
          <w:rFonts w:ascii="Times New Roman" w:cs="Times New Roman" w:eastAsia="Times New Roman" w:hAnsi="Times New Roman"/>
          <w:sz w:val="14"/>
          <w:szCs w:val="14"/>
          <w:color w:val="auto"/>
        </w:rPr>
        <w:t>park in Hollywood, partially offset by a decrease in revenue at our theme park in Orlando.</w:t>
      </w:r>
    </w:p>
    <w:p>
      <w:pPr>
        <w:spacing w:after="0" w:line="9" w:lineRule="exact"/>
        <w:rPr>
          <w:sz w:val="20"/>
          <w:szCs w:val="20"/>
          <w:color w:val="auto"/>
        </w:rPr>
      </w:pPr>
    </w:p>
    <w:p>
      <w:pPr>
        <w:ind w:left="280"/>
        <w:spacing w:after="0"/>
        <w:tabs>
          <w:tab w:leader="none" w:pos="5640" w:val="left"/>
          <w:tab w:leader="none" w:pos="5900" w:val="left"/>
        </w:tabs>
        <w:rPr>
          <w:sz w:val="20"/>
          <w:szCs w:val="20"/>
          <w:color w:val="auto"/>
        </w:rPr>
      </w:pPr>
      <w:r>
        <w:rPr>
          <w:rFonts w:ascii="Times New Roman" w:cs="Times New Roman" w:eastAsia="Times New Roman" w:hAnsi="Times New Roman"/>
          <w:sz w:val="14"/>
          <w:szCs w:val="14"/>
          <w:color w:val="auto"/>
        </w:rPr>
        <w:t>spending on customer premise equipment and support capital.</w:t>
      </w:r>
      <w:r>
        <w:rPr>
          <w:sz w:val="20"/>
          <w:szCs w:val="20"/>
          <w:color w:val="auto"/>
        </w:rPr>
        <w:tab/>
      </w:r>
      <w:r>
        <w:rPr>
          <w:rFonts w:ascii="Times New Roman" w:cs="Times New Roman" w:eastAsia="Times New Roman" w:hAnsi="Times New Roman"/>
          <w:sz w:val="14"/>
          <w:szCs w:val="14"/>
          <w:color w:val="auto"/>
        </w:rPr>
        <w:t>•</w:t>
        <w:tab/>
        <w:t>Adjusted EBITDA increased due to an increase in revenue, partially offset by an increase in</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color w:val="auto"/>
        </w:rPr>
        <w:t>costs and expenses driven by increased guest attendance.</w:t>
      </w:r>
    </w:p>
    <w:p>
      <w:pPr>
        <w:spacing w:after="0" w:line="9" w:lineRule="exact"/>
        <w:rPr>
          <w:sz w:val="20"/>
          <w:szCs w:val="20"/>
          <w:color w:val="auto"/>
        </w:rPr>
      </w:pPr>
    </w:p>
    <w:p>
      <w:pPr>
        <w:ind w:left="5660"/>
        <w:spacing w:after="0"/>
        <w:tabs>
          <w:tab w:leader="none" w:pos="5900" w:val="left"/>
        </w:tabs>
        <w:rPr>
          <w:sz w:val="20"/>
          <w:szCs w:val="20"/>
          <w:color w:val="auto"/>
        </w:rPr>
      </w:pPr>
      <w:r>
        <w:rPr>
          <w:rFonts w:ascii="Times New Roman" w:cs="Times New Roman" w:eastAsia="Times New Roman" w:hAnsi="Times New Roman"/>
          <w:sz w:val="14"/>
          <w:szCs w:val="14"/>
          <w:color w:val="auto"/>
        </w:rPr>
        <w:t>•</w:t>
        <w:tab/>
        <w:t>Capital expenditures increased related to the development of Epic Universe in Orlando.</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006EBF"/>
        </w:rPr>
        <w:t>Other</w:t>
      </w:r>
    </w:p>
    <w:p>
      <w:pPr>
        <w:spacing w:after="0" w:line="51" w:lineRule="exact"/>
        <w:rPr>
          <w:sz w:val="20"/>
          <w:szCs w:val="20"/>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Repurchased a total of 262 million shares of our Class A common stock for $11.0 billion in 2023 compared to a total of 332 million shares of our Class A common stock for $13.0 billion in 2022. Raised our dividend by $0.08 to $1.16 per share on an annualized basis in January 2023 and paid $4.8 billion of dividends in 2023.</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Exercised the put right to sell our 33% interest in Hulu in the fourth quarter of 2023 and received $8.6 billion of net pre-tax proceeds relating to the minimum equity value, net of capital calls. A portion of these proceeds was used to repay our $5.2 billion collateralized obligation. Additional proceeds for any excess of the fair value of our interest over the minimum equity value will be due following the final determination of Hulu’s fair value pursuant to a third-party appraisal process. See Note 8.</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40" w:type="dxa"/>
            <w:vAlign w:val="bottom"/>
          </w:tcPr>
          <w:p>
            <w:pPr>
              <w:ind w:left="6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Change</w:t>
            </w:r>
          </w:p>
        </w:tc>
        <w:tc>
          <w:tcPr>
            <w:tcW w:w="0" w:type="dxa"/>
            <w:vAlign w:val="bottom"/>
          </w:tcPr>
          <w:p>
            <w:pPr>
              <w:spacing w:after="0"/>
              <w:rPr>
                <w:sz w:val="1"/>
                <w:szCs w:val="1"/>
                <w:color w:val="auto"/>
              </w:rPr>
            </w:pPr>
          </w:p>
        </w:tc>
      </w:tr>
      <w:tr>
        <w:trPr>
          <w:trHeight w:val="15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 except per share data)</w:t>
            </w: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color w:val="auto"/>
              </w:rPr>
              <w:t>2021</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 to 2022</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121,572</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121,427</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116,385</w:t>
            </w:r>
          </w:p>
        </w:tc>
        <w:tc>
          <w:tcPr>
            <w:tcW w:w="14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0.1 %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Programming and production</w:t>
            </w: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36,762</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38,213</w:t>
            </w: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38,450</w:t>
            </w:r>
          </w:p>
        </w:tc>
        <w:tc>
          <w:tcPr>
            <w:tcW w:w="14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(3.8)</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Marketing and promotion</w:t>
            </w: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7,971</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8,506</w:t>
            </w:r>
          </w:p>
        </w:tc>
        <w:tc>
          <w:tcPr>
            <w:tcW w:w="440" w:type="dxa"/>
            <w:vAlign w:val="bottom"/>
          </w:tcPr>
          <w:p>
            <w:pPr>
              <w:spacing w:after="0"/>
              <w:rPr>
                <w:sz w:val="15"/>
                <w:szCs w:val="15"/>
                <w:color w:val="auto"/>
              </w:rPr>
            </w:pP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rPr>
              <w:t>7,695</w:t>
            </w:r>
          </w:p>
        </w:tc>
        <w:tc>
          <w:tcPr>
            <w:tcW w:w="1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(6.3)</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and administrative</w:t>
            </w: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39,190</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38,263</w:t>
            </w: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35,619</w:t>
            </w:r>
          </w:p>
        </w:tc>
        <w:tc>
          <w:tcPr>
            <w:tcW w:w="14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2.4</w:t>
            </w: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w:t>
            </w: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8,854</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8,724</w:t>
            </w:r>
          </w:p>
        </w:tc>
        <w:tc>
          <w:tcPr>
            <w:tcW w:w="440" w:type="dxa"/>
            <w:vAlign w:val="bottom"/>
          </w:tcPr>
          <w:p>
            <w:pPr>
              <w:spacing w:after="0"/>
              <w:rPr>
                <w:sz w:val="15"/>
                <w:szCs w:val="15"/>
                <w:color w:val="auto"/>
              </w:rPr>
            </w:pP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rPr>
              <w:t>8,628</w:t>
            </w:r>
          </w:p>
        </w:tc>
        <w:tc>
          <w:tcPr>
            <w:tcW w:w="14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1.5</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5,482</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w:t>
            </w: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5,176</w:t>
            </w:r>
          </w:p>
        </w:tc>
        <w:tc>
          <w:tcPr>
            <w:tcW w:w="14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7.5</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Goodwill and long-lived assets impairments</w:t>
            </w: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8,583</w:t>
            </w:r>
          </w:p>
        </w:tc>
        <w:tc>
          <w:tcPr>
            <w:tcW w:w="440" w:type="dxa"/>
            <w:vAlign w:val="bottom"/>
          </w:tcPr>
          <w:p>
            <w:pPr>
              <w:spacing w:after="0"/>
              <w:rPr>
                <w:sz w:val="15"/>
                <w:szCs w:val="15"/>
                <w:color w:val="auto"/>
              </w:rPr>
            </w:pP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NM</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98,258</w:t>
            </w:r>
          </w:p>
        </w:tc>
        <w:tc>
          <w:tcPr>
            <w:tcW w:w="3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107,385</w:t>
            </w:r>
          </w:p>
        </w:tc>
        <w:tc>
          <w:tcPr>
            <w:tcW w:w="4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95,568</w:t>
            </w:r>
          </w:p>
        </w:tc>
        <w:tc>
          <w:tcPr>
            <w:tcW w:w="14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(8.5)</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7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23,314</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14,041</w:t>
            </w:r>
          </w:p>
        </w:tc>
        <w:tc>
          <w:tcPr>
            <w:tcW w:w="440" w:type="dxa"/>
            <w:vAlign w:val="bottom"/>
          </w:tcPr>
          <w:p>
            <w:pPr>
              <w:spacing w:after="0"/>
              <w:rPr>
                <w:sz w:val="14"/>
                <w:szCs w:val="14"/>
                <w:color w:val="auto"/>
              </w:rPr>
            </w:pP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rPr>
              <w:t>20,817</w:t>
            </w:r>
          </w:p>
        </w:tc>
        <w:tc>
          <w:tcPr>
            <w:tcW w:w="14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66.0</w:t>
            </w: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(4,087)</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rPr>
              <w:t>(4,281)</w:t>
            </w:r>
          </w:p>
        </w:tc>
        <w:tc>
          <w:tcPr>
            <w:tcW w:w="14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4.9</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0"/>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and other income (loss), net</w:t>
            </w: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1,252</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2,557</w:t>
            </w:r>
          </w:p>
        </w:tc>
        <w:tc>
          <w:tcPr>
            <w:tcW w:w="14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NM</w:t>
            </w:r>
          </w:p>
        </w:tc>
        <w:tc>
          <w:tcPr>
            <w:tcW w:w="10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20,478</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9,284</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19,093</w:t>
            </w:r>
          </w:p>
        </w:tc>
        <w:tc>
          <w:tcPr>
            <w:tcW w:w="14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120.6</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(51.4)</w:t>
            </w:r>
          </w:p>
        </w:tc>
        <w:tc>
          <w:tcPr>
            <w:tcW w:w="0" w:type="dxa"/>
            <w:vAlign w:val="bottom"/>
          </w:tcPr>
          <w:p>
            <w:pPr>
              <w:spacing w:after="0"/>
              <w:rPr>
                <w:sz w:val="1"/>
                <w:szCs w:val="1"/>
                <w:color w:val="auto"/>
              </w:rPr>
            </w:pPr>
          </w:p>
        </w:tc>
      </w:tr>
      <w:tr>
        <w:trPr>
          <w:trHeight w:val="180"/>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(5,371)</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(4,359)</w:t>
            </w: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rPr>
              <w:t>(5,259)</w:t>
            </w:r>
          </w:p>
        </w:tc>
        <w:tc>
          <w:tcPr>
            <w:tcW w:w="14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23.2</w:t>
            </w: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15,107</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13,833</w:t>
            </w:r>
          </w:p>
        </w:tc>
        <w:tc>
          <w:tcPr>
            <w:tcW w:w="1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NM</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180"/>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(282)</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rPr>
              <w:t>(325)</w:t>
            </w:r>
          </w:p>
        </w:tc>
        <w:tc>
          <w:tcPr>
            <w:tcW w:w="14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(36.8)</w:t>
            </w:r>
          </w:p>
        </w:tc>
        <w:tc>
          <w:tcPr>
            <w:tcW w:w="10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71"/>
        </w:trPr>
        <w:tc>
          <w:tcPr>
            <w:tcW w:w="46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Comcast Corporation</w:t>
            </w:r>
          </w:p>
        </w:tc>
        <w:tc>
          <w:tcPr>
            <w:tcW w:w="520" w:type="dxa"/>
            <w:vAlign w:val="bottom"/>
            <w:tcBorders>
              <w:bottom w:val="single" w:sz="8" w:color="0C6D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15,388</w:t>
            </w:r>
          </w:p>
        </w:tc>
        <w:tc>
          <w:tcPr>
            <w:tcW w:w="380" w:type="dxa"/>
            <w:vAlign w:val="bottom"/>
            <w:tcBorders>
              <w:bottom w:val="single" w:sz="8" w:color="0C6D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440" w:type="dxa"/>
            <w:vAlign w:val="bottom"/>
            <w:tcBorders>
              <w:bottom w:val="single" w:sz="8" w:color="0C6D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0C6D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14,159</w:t>
            </w:r>
          </w:p>
        </w:tc>
        <w:tc>
          <w:tcPr>
            <w:tcW w:w="1440" w:type="dxa"/>
            <w:vAlign w:val="bottom"/>
            <w:tcBorders>
              <w:bottom w:val="single" w:sz="8" w:color="0C6DFF"/>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186.5 %</w:t>
            </w:r>
          </w:p>
        </w:tc>
        <w:tc>
          <w:tcPr>
            <w:tcW w:w="10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133"/>
        </w:trPr>
        <w:tc>
          <w:tcPr>
            <w:tcW w:w="46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Basic earnings per common share attributable to Comcast Corporation</w:t>
            </w:r>
          </w:p>
        </w:tc>
        <w:tc>
          <w:tcPr>
            <w:tcW w:w="5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3.73</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NM</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5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rPr>
              <w:t>3.09</w:t>
            </w:r>
          </w:p>
        </w:tc>
        <w:tc>
          <w:tcPr>
            <w:tcW w:w="144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43"/>
        </w:trPr>
        <w:tc>
          <w:tcPr>
            <w:tcW w:w="46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Diluted earnings per common share attributable to Comcast Corporation</w:t>
            </w:r>
          </w:p>
        </w:tc>
        <w:tc>
          <w:tcPr>
            <w:tcW w:w="52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3.71</w:t>
            </w: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NM</w:t>
            </w: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5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3.04</w:t>
            </w:r>
          </w:p>
        </w:tc>
        <w:tc>
          <w:tcPr>
            <w:tcW w:w="144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 - basic</w:t>
            </w: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4,122</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w:t>
            </w:r>
          </w:p>
        </w:tc>
        <w:tc>
          <w:tcPr>
            <w:tcW w:w="440" w:type="dxa"/>
            <w:vAlign w:val="bottom"/>
          </w:tcPr>
          <w:p>
            <w:pPr>
              <w:spacing w:after="0"/>
              <w:rPr>
                <w:sz w:val="15"/>
                <w:szCs w:val="15"/>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4,584</w:t>
            </w:r>
          </w:p>
        </w:tc>
        <w:tc>
          <w:tcPr>
            <w:tcW w:w="1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(6.4)%</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0"/>
        </w:trPr>
        <w:tc>
          <w:tcPr>
            <w:tcW w:w="46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520" w:type="dxa"/>
            <w:vAlign w:val="bottom"/>
            <w:tcBorders>
              <w:bottom w:val="single" w:sz="8" w:color="0C6DFF"/>
            </w:tcBorders>
            <w:shd w:val="clear" w:color="auto" w:fill="CCEEFF"/>
          </w:tcPr>
          <w:p>
            <w:pPr>
              <w:spacing w:after="0"/>
              <w:rPr>
                <w:sz w:val="15"/>
                <w:szCs w:val="15"/>
                <w:color w:val="auto"/>
              </w:rPr>
            </w:pPr>
          </w:p>
        </w:tc>
        <w:tc>
          <w:tcPr>
            <w:tcW w:w="8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4,148</w:t>
            </w:r>
          </w:p>
        </w:tc>
        <w:tc>
          <w:tcPr>
            <w:tcW w:w="380" w:type="dxa"/>
            <w:vAlign w:val="bottom"/>
            <w:tcBorders>
              <w:bottom w:val="single" w:sz="8" w:color="0C6DFF"/>
            </w:tcBorders>
            <w:shd w:val="clear" w:color="auto" w:fill="CCEEFF"/>
          </w:tcPr>
          <w:p>
            <w:pPr>
              <w:spacing w:after="0"/>
              <w:rPr>
                <w:sz w:val="15"/>
                <w:szCs w:val="15"/>
                <w:color w:val="auto"/>
              </w:rPr>
            </w:pPr>
          </w:p>
        </w:tc>
        <w:tc>
          <w:tcPr>
            <w:tcW w:w="8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440" w:type="dxa"/>
            <w:vAlign w:val="bottom"/>
            <w:tcBorders>
              <w:bottom w:val="single" w:sz="8" w:color="0C6DFF"/>
            </w:tcBorders>
            <w:shd w:val="clear" w:color="auto" w:fill="CCEEFF"/>
          </w:tcPr>
          <w:p>
            <w:pPr>
              <w:spacing w:after="0"/>
              <w:rPr>
                <w:sz w:val="15"/>
                <w:szCs w:val="15"/>
                <w:color w:val="auto"/>
              </w:rPr>
            </w:pPr>
          </w:p>
        </w:tc>
        <w:tc>
          <w:tcPr>
            <w:tcW w:w="1280" w:type="dxa"/>
            <w:vAlign w:val="bottom"/>
            <w:tcBorders>
              <w:bottom w:val="single" w:sz="8" w:color="0C6D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rPr>
              <w:t>4,654</w:t>
            </w:r>
          </w:p>
        </w:tc>
        <w:tc>
          <w:tcPr>
            <w:tcW w:w="1440" w:type="dxa"/>
            <w:vAlign w:val="bottom"/>
            <w:tcBorders>
              <w:bottom w:val="single" w:sz="8" w:color="0C6D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(6.4)%</w:t>
            </w:r>
          </w:p>
        </w:tc>
        <w:tc>
          <w:tcPr>
            <w:tcW w:w="10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65"/>
        </w:trPr>
        <w:tc>
          <w:tcPr>
            <w:tcW w:w="46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4600" w:type="dxa"/>
            <w:vAlign w:val="bottom"/>
            <w:tcBorders>
              <w:bottom w:val="single" w:sz="8" w:color="0C6D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18"/>
                <w:szCs w:val="18"/>
                <w:color w:val="auto"/>
                <w:vertAlign w:val="superscript"/>
              </w:rPr>
              <w:t>(a)</w:t>
            </w:r>
          </w:p>
        </w:tc>
        <w:tc>
          <w:tcPr>
            <w:tcW w:w="520" w:type="dxa"/>
            <w:vAlign w:val="bottom"/>
            <w:tcBorders>
              <w:bottom w:val="single" w:sz="8" w:color="0C6D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37,633</w:t>
            </w:r>
          </w:p>
        </w:tc>
        <w:tc>
          <w:tcPr>
            <w:tcW w:w="380" w:type="dxa"/>
            <w:vAlign w:val="bottom"/>
            <w:tcBorders>
              <w:bottom w:val="single" w:sz="8" w:color="0C6D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36,459</w:t>
            </w:r>
          </w:p>
        </w:tc>
        <w:tc>
          <w:tcPr>
            <w:tcW w:w="440" w:type="dxa"/>
            <w:vAlign w:val="bottom"/>
            <w:tcBorders>
              <w:bottom w:val="single" w:sz="8" w:color="0C6D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0C6D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34,708</w:t>
            </w:r>
          </w:p>
        </w:tc>
        <w:tc>
          <w:tcPr>
            <w:tcW w:w="1440" w:type="dxa"/>
            <w:vAlign w:val="bottom"/>
            <w:tcBorders>
              <w:bottom w:val="single" w:sz="8" w:color="0C6DFF"/>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3.2 %</w:t>
            </w:r>
          </w:p>
        </w:tc>
        <w:tc>
          <w:tcPr>
            <w:tcW w:w="10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Percentage changes that are considered not meaningful are denoted with NM.</w:t>
      </w:r>
    </w:p>
    <w:p>
      <w:pPr>
        <w:spacing w:after="0" w:line="54" w:lineRule="exact"/>
        <w:rPr>
          <w:sz w:val="20"/>
          <w:szCs w:val="20"/>
          <w:color w:val="auto"/>
        </w:rPr>
      </w:pPr>
    </w:p>
    <w:p>
      <w:pPr>
        <w:ind w:left="200" w:hanging="195"/>
        <w:spacing w:after="0" w:line="300" w:lineRule="auto"/>
        <w:tabs>
          <w:tab w:leader="none" w:pos="198"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Adjusted EBITDA is a non-GAAP financial measure. Refer to the “Non-GAAP Financial Measures” section on page 47 for additional information, including our definition and our use of Adjusted EBITDA, and for a reconciliation from net income attributable to Comcast Corporation to Adjusted EBITDA.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34</w:t>
            </w:r>
          </w:p>
        </w:tc>
      </w:tr>
      <w:tr>
        <w:trPr>
          <w:trHeight w:val="25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Revenue</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graph illustrates the contributions to the change in consolidated revenue made by our Connectivity &amp; Platforms and Content &amp; Experiences businesses,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4608195" cy="15697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4608195" cy="156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Graph is presented using a truncated scale.</w:t>
      </w:r>
    </w:p>
    <w:p>
      <w:pPr>
        <w:spacing w:after="0" w:line="173" w:lineRule="exact"/>
        <w:rPr>
          <w:sz w:val="20"/>
          <w:szCs w:val="20"/>
          <w:color w:val="auto"/>
        </w:rPr>
      </w:pPr>
    </w:p>
    <w:p>
      <w:pPr>
        <w:ind w:right="4100"/>
        <w:spacing w:after="0" w:line="378" w:lineRule="auto"/>
        <w:rPr>
          <w:sz w:val="20"/>
          <w:szCs w:val="20"/>
          <w:color w:val="auto"/>
        </w:rPr>
      </w:pPr>
      <w:r>
        <w:rPr>
          <w:rFonts w:ascii="Times New Roman" w:cs="Times New Roman" w:eastAsia="Times New Roman" w:hAnsi="Times New Roman"/>
          <w:sz w:val="14"/>
          <w:szCs w:val="14"/>
          <w:color w:val="auto"/>
        </w:rPr>
        <w:t xml:space="preserve">Revenue for our segments and other businesses is discussed separately below under the heading “Segment Operating Results.” </w:t>
      </w:r>
      <w:r>
        <w:rPr>
          <w:rFonts w:ascii="Arial" w:cs="Arial" w:eastAsia="Arial" w:hAnsi="Arial"/>
          <w:sz w:val="14"/>
          <w:szCs w:val="14"/>
          <w:b w:val="1"/>
          <w:bCs w:val="1"/>
          <w:color w:val="auto"/>
        </w:rPr>
        <w:t>Consolidated Costs and Expenses</w:t>
      </w:r>
    </w:p>
    <w:p>
      <w:pPr>
        <w:spacing w:after="0" w:line="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graph illustrates the contributions to the change in consolidated costs and expenses, excluding depreciation expense, amortization expense, and goodwill and long-lived asset impairments, made by our Connectivity &amp; Platforms and Content &amp; Experiences businesses, as well as by Corporate and Other activities, including adjustments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4608195" cy="1549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4608195" cy="154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Graph is presented using a truncated scale.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and expenses for our segments and our corporate operations and other businesses are discussed separately below under the heading “Segment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006EBF"/>
        </w:rPr>
        <w:t xml:space="preserve">Consolidated depreciation and amortization expense </w:t>
      </w:r>
      <w:r>
        <w:rPr>
          <w:rFonts w:ascii="Times New Roman" w:cs="Times New Roman" w:eastAsia="Times New Roman" w:hAnsi="Times New Roman"/>
          <w:sz w:val="14"/>
          <w:szCs w:val="14"/>
          <w:color w:val="000000"/>
        </w:rPr>
        <w:t>increased in 2023 compared to 2022 primarily due to increases in the amortization of software and theme park depreciation.</w:t>
      </w:r>
    </w:p>
    <w:p>
      <w:pPr>
        <w:spacing w:after="0" w:line="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Amortization expense from acquisition-related intangible assets totaled $2.3 billion and $2.2 billion in 2023 and 2022, respectively. Amounts primarily relate to customer relationship intangible assets recorded in connection with the Sky transaction in 2018 and the NBCUniversal transaction in 2011.</w:t>
      </w:r>
    </w:p>
    <w:p>
      <w:pPr>
        <w:spacing w:after="0" w:line="364"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35</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006EBF"/>
        </w:rPr>
        <w:t xml:space="preserve">Consolidated goodwill and long-lived asset impairments </w:t>
      </w:r>
      <w:r>
        <w:rPr>
          <w:rFonts w:ascii="Times New Roman" w:cs="Times New Roman" w:eastAsia="Times New Roman" w:hAnsi="Times New Roman"/>
          <w:sz w:val="14"/>
          <w:szCs w:val="14"/>
          <w:color w:val="000000"/>
        </w:rPr>
        <w:t>included charges related to Sky totaling $8.6 billion in 2022 recognized in connection with our annual impairment assessment. The</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impairments primarily reflected an increased discount rate and reduced estimated future cash flows as a result of macroeconomic conditions. See “Critical Accounting Estimates” and Note 10 for further discussion.</w:t>
      </w:r>
    </w:p>
    <w:p>
      <w:pPr>
        <w:spacing w:after="0" w:line="9" w:lineRule="exact"/>
        <w:rPr>
          <w:sz w:val="20"/>
          <w:szCs w:val="20"/>
          <w:color w:val="auto"/>
        </w:rPr>
      </w:pPr>
    </w:p>
    <w:p>
      <w:pPr>
        <w:ind w:right="420"/>
        <w:spacing w:after="0" w:line="285" w:lineRule="auto"/>
        <w:rPr>
          <w:sz w:val="20"/>
          <w:szCs w:val="20"/>
          <w:color w:val="auto"/>
        </w:rPr>
      </w:pPr>
      <w:r>
        <w:rPr>
          <w:rFonts w:ascii="Arial" w:cs="Arial" w:eastAsia="Arial" w:hAnsi="Arial"/>
          <w:sz w:val="14"/>
          <w:szCs w:val="14"/>
          <w:b w:val="1"/>
          <w:bCs w:val="1"/>
          <w:color w:val="auto"/>
        </w:rPr>
        <w:t xml:space="preserve">Consolidated interest expense </w:t>
      </w:r>
      <w:r>
        <w:rPr>
          <w:rFonts w:ascii="Times New Roman" w:cs="Times New Roman" w:eastAsia="Times New Roman" w:hAnsi="Times New Roman"/>
          <w:sz w:val="14"/>
          <w:szCs w:val="14"/>
          <w:color w:val="auto"/>
        </w:rPr>
        <w:t>increased in 2023 compared to 2022 primarily due to an increase in average debt outstanding and higher weighted-average interest rates, partially offset by</w:t>
      </w: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color w:val="auto"/>
        </w:rPr>
        <w:t>increased capitalized interest.</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Consolidated investment and other income (loss), net </w:t>
      </w:r>
      <w:r>
        <w:rPr>
          <w:rFonts w:ascii="Times New Roman" w:cs="Times New Roman" w:eastAsia="Times New Roman" w:hAnsi="Times New Roman"/>
          <w:sz w:val="14"/>
          <w:szCs w:val="14"/>
          <w:color w:val="auto"/>
        </w:rPr>
        <w:t>increased in 2023 compared to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2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net income (losses) of investees, net</w:t>
            </w:r>
          </w:p>
        </w:tc>
        <w:tc>
          <w:tcPr>
            <w:tcW w:w="25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789</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r>
      <w:tr>
        <w:trPr>
          <w:trHeight w:val="18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and unrealized gains (losses) on equity securities, net</w:t>
            </w:r>
          </w:p>
        </w:tc>
        <w:tc>
          <w:tcPr>
            <w:tcW w:w="2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80"/>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(loss), net</w:t>
            </w:r>
          </w:p>
        </w:tc>
        <w:tc>
          <w:tcPr>
            <w:tcW w:w="25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592</w:t>
            </w:r>
          </w:p>
        </w:tc>
        <w:tc>
          <w:tcPr>
            <w:tcW w:w="4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171"/>
        </w:trPr>
        <w:tc>
          <w:tcPr>
            <w:tcW w:w="56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 and other income (loss), net</w:t>
            </w:r>
          </w:p>
        </w:tc>
        <w:tc>
          <w:tcPr>
            <w:tcW w:w="2520" w:type="dxa"/>
            <w:vAlign w:val="bottom"/>
            <w:tcBorders>
              <w:bottom w:val="single" w:sz="8" w:color="0C6DFF"/>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1,252</w:t>
            </w:r>
          </w:p>
        </w:tc>
        <w:tc>
          <w:tcPr>
            <w:tcW w:w="460" w:type="dxa"/>
            <w:vAlign w:val="bottom"/>
            <w:tcBorders>
              <w:bottom w:val="single" w:sz="8" w:color="0C6DFF"/>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440" w:type="dxa"/>
            <w:vAlign w:val="bottom"/>
            <w:tcBorders>
              <w:bottom w:val="single" w:sz="8" w:color="0C6DFF"/>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2,557</w:t>
            </w:r>
          </w:p>
        </w:tc>
      </w:tr>
    </w:tbl>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change in equity in net income (losses) of investees, net in 2023 compared to 2022 was primarily due to our investment in Atairos. The income (losses) at Atairos were driven by fair value adjustments on its underlying investments with income (loss) of $1.1 billion and $(434) million in 2023 and 2022, respectively. The change in realized and unrealized gains (losses) on equity securities, net in 2023 compared to 2022 was primarily due to losses on marketable securities in the prior year, partially offset by losses on nonmarketable securities in the current year. The change in other income (loss), net in 2023 compared to 2022 primarily resulted from gains on foreign exchange remeasurement compared to losses in the prior year, gains on insurance contracts compared to losses in the prior year, and increased interest income.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Consolidated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effective income tax rate in 2023 and 2022 was 26.2% and 47.0%, respectively. Our effective income tax rate for 2022 was impacted by the goodwill impairment, which was primarily not deductible for tax purposes. See Note 5 for additional information on our effective income tax rate.</w:t>
      </w:r>
    </w:p>
    <w:p>
      <w:pPr>
        <w:spacing w:after="0" w:line="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increase in income tax expense in 2023 was primarily driven by higher income before income taxes and the effect of a change in our net deferred tax liabilities as a result of the enactment of state tax law changes, which resulted in a $286 million benefit in the prior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Consolidated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changes in net income (loss) attributable to noncontrolling interests in 2023 compared to 2022 was primarily due to decreases in losses at Universal Beijing Resort (see Note 8), partially offset by increases in losses in our Xumo streaming platform joint venture in the current year.</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36</w:t>
            </w:r>
          </w:p>
        </w:tc>
      </w:tr>
      <w:tr>
        <w:trPr>
          <w:trHeight w:val="25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segment operating results are presented based on how we assess operating performance and internally report financial information. See Note 2 for additional information on our segments.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Connectivity &amp; Platforms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2"/>
          </w:tcPr>
          <w:p>
            <w:pPr>
              <w:jc w:val="right"/>
              <w:ind w:right="992"/>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184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1"/>
                <w:szCs w:val="11"/>
                <w:color w:val="auto"/>
              </w:rPr>
              <w:t>2021 to 2022</w:t>
            </w:r>
          </w:p>
        </w:tc>
        <w:tc>
          <w:tcPr>
            <w:tcW w:w="0" w:type="dxa"/>
            <w:vAlign w:val="bottom"/>
          </w:tcPr>
          <w:p>
            <w:pPr>
              <w:spacing w:after="0"/>
              <w:rPr>
                <w:sz w:val="1"/>
                <w:szCs w:val="1"/>
                <w:color w:val="auto"/>
              </w:rPr>
            </w:pPr>
          </w:p>
        </w:tc>
      </w:tr>
      <w:tr>
        <w:trPr>
          <w:trHeight w:val="106"/>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3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340" w:type="dxa"/>
            <w:vAlign w:val="bottom"/>
          </w:tcPr>
          <w:p>
            <w:pPr>
              <w:spacing w:after="0"/>
              <w:rPr>
                <w:sz w:val="9"/>
                <w:szCs w:val="9"/>
                <w:color w:val="auto"/>
              </w:rPr>
            </w:pPr>
          </w:p>
        </w:tc>
        <w:tc>
          <w:tcPr>
            <w:tcW w:w="1080" w:type="dxa"/>
            <w:vAlign w:val="bottom"/>
            <w:vMerge w:val="restart"/>
          </w:tcPr>
          <w:p>
            <w:pPr>
              <w:jc w:val="right"/>
              <w:ind w:right="231"/>
              <w:spacing w:after="0"/>
              <w:rPr>
                <w:sz w:val="20"/>
                <w:szCs w:val="20"/>
                <w:color w:val="auto"/>
              </w:rPr>
            </w:pPr>
            <w:r>
              <w:rPr>
                <w:rFonts w:ascii="Times New Roman" w:cs="Times New Roman" w:eastAsia="Times New Roman" w:hAnsi="Times New Roman"/>
                <w:sz w:val="11"/>
                <w:szCs w:val="11"/>
                <w:color w:val="auto"/>
              </w:rPr>
              <w:t>2021</w:t>
            </w:r>
          </w:p>
        </w:tc>
        <w:tc>
          <w:tcPr>
            <w:tcW w:w="860" w:type="dxa"/>
            <w:vAlign w:val="bottom"/>
            <w:vMerge w:val="restart"/>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00" w:type="dxa"/>
            <w:vAlign w:val="bottom"/>
          </w:tcPr>
          <w:p>
            <w:pPr>
              <w:jc w:val="right"/>
              <w:ind w:right="232"/>
              <w:spacing w:after="0" w:line="106" w:lineRule="exact"/>
              <w:rPr>
                <w:sz w:val="20"/>
                <w:szCs w:val="20"/>
                <w:color w:val="auto"/>
              </w:rPr>
            </w:pPr>
            <w:r>
              <w:rPr>
                <w:rFonts w:ascii="Times New Roman" w:cs="Times New Roman" w:eastAsia="Times New Roman" w:hAnsi="Times New Roman"/>
                <w:sz w:val="11"/>
                <w:szCs w:val="11"/>
                <w:b w:val="1"/>
                <w:bCs w:val="1"/>
                <w:color w:val="auto"/>
              </w:rPr>
              <w:t>Constant Currency</w:t>
            </w:r>
          </w:p>
        </w:tc>
        <w:tc>
          <w:tcPr>
            <w:tcW w:w="860" w:type="dxa"/>
            <w:vAlign w:val="bottom"/>
            <w:vMerge w:val="restart"/>
          </w:tcPr>
          <w:p>
            <w:pPr>
              <w:jc w:val="right"/>
              <w:ind w:right="32"/>
              <w:spacing w:after="0"/>
              <w:rPr>
                <w:sz w:val="20"/>
                <w:szCs w:val="20"/>
                <w:color w:val="auto"/>
              </w:rPr>
            </w:pPr>
            <w:r>
              <w:rPr>
                <w:rFonts w:ascii="Times New Roman" w:cs="Times New Roman" w:eastAsia="Times New Roman" w:hAnsi="Times New Roman"/>
                <w:sz w:val="11"/>
                <w:szCs w:val="11"/>
                <w:color w:val="auto"/>
              </w:rPr>
              <w:t>Change</w:t>
            </w:r>
          </w:p>
        </w:tc>
        <w:tc>
          <w:tcPr>
            <w:tcW w:w="9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Constant Currency</w:t>
            </w:r>
          </w:p>
        </w:tc>
        <w:tc>
          <w:tcPr>
            <w:tcW w:w="0" w:type="dxa"/>
            <w:vAlign w:val="bottom"/>
          </w:tcPr>
          <w:p>
            <w:pPr>
              <w:spacing w:after="0"/>
              <w:rPr>
                <w:sz w:val="1"/>
                <w:szCs w:val="1"/>
                <w:color w:val="auto"/>
              </w:rPr>
            </w:pPr>
          </w:p>
        </w:tc>
      </w:tr>
      <w:tr>
        <w:trPr>
          <w:trHeight w:val="154"/>
        </w:trPr>
        <w:tc>
          <w:tcPr>
            <w:tcW w:w="356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3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Change</w:t>
            </w:r>
            <w:r>
              <w:rPr>
                <w:rFonts w:ascii="Times New Roman" w:cs="Times New Roman" w:eastAsia="Times New Roman" w:hAnsi="Times New Roman"/>
                <w:sz w:val="7"/>
                <w:szCs w:val="7"/>
                <w:b w:val="1"/>
                <w:bCs w:val="1"/>
                <w:color w:val="auto"/>
              </w:rPr>
              <w:t>(b)</w:t>
            </w:r>
          </w:p>
        </w:tc>
        <w:tc>
          <w:tcPr>
            <w:tcW w:w="86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Change</w:t>
            </w:r>
            <w:r>
              <w:rPr>
                <w:rFonts w:ascii="Times New Roman" w:cs="Times New Roman" w:eastAsia="Times New Roman" w:hAnsi="Times New Roman"/>
                <w:sz w:val="7"/>
                <w:szCs w:val="7"/>
                <w:color w:val="auto"/>
              </w:rPr>
              <w:t>(b)</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Connectivity &amp; Platforms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71,946</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72,386</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72,694</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(0.6)%</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(0.7)%</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7"/>
              </w:rPr>
              <w:t>2.0 %</w:t>
            </w:r>
          </w:p>
        </w:tc>
        <w:tc>
          <w:tcPr>
            <w:tcW w:w="0" w:type="dxa"/>
            <w:vAlign w:val="bottom"/>
          </w:tcPr>
          <w:p>
            <w:pPr>
              <w:spacing w:after="0"/>
              <w:rPr>
                <w:sz w:val="1"/>
                <w:szCs w:val="1"/>
                <w:color w:val="auto"/>
              </w:rPr>
            </w:pPr>
          </w:p>
        </w:tc>
      </w:tr>
      <w:tr>
        <w:trPr>
          <w:trHeight w:val="180"/>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Services Connectivity</w:t>
            </w: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9,255</w:t>
            </w: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8,819</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8,056</w:t>
            </w:r>
          </w:p>
        </w:tc>
        <w:tc>
          <w:tcPr>
            <w:tcW w:w="8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4.9</w:t>
            </w:r>
          </w:p>
        </w:tc>
        <w:tc>
          <w:tcPr>
            <w:tcW w:w="13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4.9</w:t>
            </w:r>
          </w:p>
        </w:tc>
        <w:tc>
          <w:tcPr>
            <w:tcW w:w="8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9.5</w:t>
            </w:r>
          </w:p>
        </w:tc>
        <w:tc>
          <w:tcPr>
            <w:tcW w:w="9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Connectivity &amp; Platforms revenue</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81,201</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81,205</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80,750</w:t>
            </w: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w:t>
            </w:r>
          </w:p>
        </w:tc>
        <w:tc>
          <w:tcPr>
            <w:tcW w:w="13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(0.1)%</w:t>
            </w:r>
          </w:p>
        </w:tc>
        <w:tc>
          <w:tcPr>
            <w:tcW w:w="8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0.6 %</w:t>
            </w:r>
          </w:p>
        </w:tc>
        <w:tc>
          <w:tcPr>
            <w:tcW w:w="9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97"/>
              </w:rPr>
              <w:t>2.7 %</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Connectivity &amp; Platforms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26,948</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26,111</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25,188</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3.2 %</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3.3 %</w:t>
            </w:r>
          </w:p>
        </w:tc>
        <w:tc>
          <w:tcPr>
            <w:tcW w:w="8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3.7 %</w:t>
            </w:r>
          </w:p>
        </w:tc>
        <w:tc>
          <w:tcPr>
            <w:tcW w:w="9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7"/>
              </w:rPr>
              <w:t>4.4 %</w:t>
            </w:r>
          </w:p>
        </w:tc>
        <w:tc>
          <w:tcPr>
            <w:tcW w:w="0" w:type="dxa"/>
            <w:vAlign w:val="bottom"/>
          </w:tcPr>
          <w:p>
            <w:pPr>
              <w:spacing w:after="0"/>
              <w:rPr>
                <w:sz w:val="1"/>
                <w:szCs w:val="1"/>
                <w:color w:val="auto"/>
              </w:rPr>
            </w:pPr>
          </w:p>
        </w:tc>
      </w:tr>
      <w:tr>
        <w:trPr>
          <w:trHeight w:val="180"/>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Services Connectivity</w:t>
            </w: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5,291</w:t>
            </w: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5,060</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4,682</w:t>
            </w:r>
          </w:p>
        </w:tc>
        <w:tc>
          <w:tcPr>
            <w:tcW w:w="8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4.6</w:t>
            </w:r>
          </w:p>
        </w:tc>
        <w:tc>
          <w:tcPr>
            <w:tcW w:w="13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4.6</w:t>
            </w:r>
          </w:p>
        </w:tc>
        <w:tc>
          <w:tcPr>
            <w:tcW w:w="8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8.1</w:t>
            </w:r>
          </w:p>
        </w:tc>
        <w:tc>
          <w:tcPr>
            <w:tcW w:w="9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Connectivity &amp; Platforms Adjusted EBITDA</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32,239</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31,171</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29,871</w:t>
            </w: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3.4 %</w:t>
            </w:r>
          </w:p>
        </w:tc>
        <w:tc>
          <w:tcPr>
            <w:tcW w:w="13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3.5 %</w:t>
            </w:r>
          </w:p>
        </w:tc>
        <w:tc>
          <w:tcPr>
            <w:tcW w:w="8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4.4 %</w:t>
            </w:r>
          </w:p>
        </w:tc>
        <w:tc>
          <w:tcPr>
            <w:tcW w:w="9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97"/>
              </w:rPr>
              <w:t>5.0 %</w:t>
            </w: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Adjusted EBITDA Margin</w:t>
            </w:r>
            <w:r>
              <w:rPr>
                <w:rFonts w:ascii="Times New Roman" w:cs="Times New Roman" w:eastAsia="Times New Roman" w:hAnsi="Times New Roman"/>
                <w:sz w:val="18"/>
                <w:szCs w:val="18"/>
                <w:b w:val="1"/>
                <w:bCs w:val="1"/>
                <w:color w:val="auto"/>
                <w:vertAlign w:val="superscript"/>
              </w:rPr>
              <w:t>(a)</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Connectivity &amp; Platforms</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37.5 %</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36.1 %</w:t>
            </w:r>
          </w:p>
        </w:tc>
        <w:tc>
          <w:tcPr>
            <w:tcW w:w="340" w:type="dxa"/>
            <w:vAlign w:val="bottom"/>
          </w:tcPr>
          <w:p>
            <w:pPr>
              <w:spacing w:after="0"/>
              <w:rPr>
                <w:sz w:val="15"/>
                <w:szCs w:val="15"/>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34.6 %</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140 bps</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150 bps</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150 bps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 bps</w:t>
            </w:r>
          </w:p>
        </w:tc>
        <w:tc>
          <w:tcPr>
            <w:tcW w:w="0" w:type="dxa"/>
            <w:vAlign w:val="bottom"/>
          </w:tcPr>
          <w:p>
            <w:pPr>
              <w:spacing w:after="0"/>
              <w:rPr>
                <w:sz w:val="1"/>
                <w:szCs w:val="1"/>
                <w:color w:val="auto"/>
              </w:rPr>
            </w:pPr>
          </w:p>
        </w:tc>
      </w:tr>
      <w:tr>
        <w:trPr>
          <w:trHeight w:val="180"/>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Services Connectivity</w:t>
            </w: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57.2</w:t>
            </w: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57.4</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58.1</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 bps</w:t>
            </w:r>
          </w:p>
        </w:tc>
        <w:tc>
          <w:tcPr>
            <w:tcW w:w="13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 bps</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(70) bps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bps</w:t>
            </w:r>
          </w:p>
        </w:tc>
        <w:tc>
          <w:tcPr>
            <w:tcW w:w="0" w:type="dxa"/>
            <w:vAlign w:val="bottom"/>
          </w:tcPr>
          <w:p>
            <w:pPr>
              <w:spacing w:after="0"/>
              <w:rPr>
                <w:sz w:val="1"/>
                <w:szCs w:val="1"/>
                <w:color w:val="auto"/>
              </w:rPr>
            </w:pPr>
          </w:p>
        </w:tc>
      </w:tr>
      <w:tr>
        <w:trPr>
          <w:trHeight w:val="129"/>
        </w:trPr>
        <w:tc>
          <w:tcPr>
            <w:tcW w:w="35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Total Connectivity &amp; Platforms Adjusted EBITDA</w:t>
            </w:r>
          </w:p>
        </w:tc>
        <w:tc>
          <w:tcPr>
            <w:tcW w:w="3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39.7 %</w:t>
            </w:r>
          </w:p>
        </w:tc>
        <w:tc>
          <w:tcPr>
            <w:tcW w:w="3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340" w:type="dxa"/>
            <w:vAlign w:val="bottom"/>
          </w:tcPr>
          <w:p>
            <w:pPr>
              <w:spacing w:after="0"/>
              <w:rPr>
                <w:sz w:val="11"/>
                <w:szCs w:val="11"/>
                <w:color w:val="auto"/>
              </w:rPr>
            </w:pPr>
          </w:p>
        </w:tc>
        <w:tc>
          <w:tcPr>
            <w:tcW w:w="108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37.0 %</w:t>
            </w:r>
          </w:p>
        </w:tc>
        <w:tc>
          <w:tcPr>
            <w:tcW w:w="8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130 bps</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140 bps</w:t>
            </w:r>
          </w:p>
        </w:tc>
        <w:tc>
          <w:tcPr>
            <w:tcW w:w="86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140 bps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 bps</w:t>
            </w:r>
          </w:p>
        </w:tc>
        <w:tc>
          <w:tcPr>
            <w:tcW w:w="0" w:type="dxa"/>
            <w:vAlign w:val="bottom"/>
          </w:tcPr>
          <w:p>
            <w:pPr>
              <w:spacing w:after="0"/>
              <w:rPr>
                <w:sz w:val="1"/>
                <w:szCs w:val="1"/>
                <w:color w:val="auto"/>
              </w:rPr>
            </w:pPr>
          </w:p>
        </w:tc>
      </w:tr>
      <w:tr>
        <w:trPr>
          <w:trHeight w:val="116"/>
        </w:trPr>
        <w:tc>
          <w:tcPr>
            <w:tcW w:w="35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560" w:type="dxa"/>
            <w:vAlign w:val="bottom"/>
            <w:tcBorders>
              <w:bottom w:val="single" w:sz="8" w:color="0C6DFF"/>
            </w:tcBorders>
            <w:vMerge w:val="continue"/>
          </w:tcPr>
          <w:p>
            <w:pPr>
              <w:spacing w:after="0"/>
              <w:rPr>
                <w:sz w:val="6"/>
                <w:szCs w:val="6"/>
                <w:color w:val="auto"/>
              </w:rPr>
            </w:pPr>
          </w:p>
        </w:tc>
        <w:tc>
          <w:tcPr>
            <w:tcW w:w="320" w:type="dxa"/>
            <w:vAlign w:val="bottom"/>
            <w:tcBorders>
              <w:bottom w:val="single" w:sz="8" w:color="0C6DFF"/>
            </w:tcBorders>
          </w:tcPr>
          <w:p>
            <w:pPr>
              <w:spacing w:after="0"/>
              <w:rPr>
                <w:sz w:val="6"/>
                <w:szCs w:val="6"/>
                <w:color w:val="auto"/>
              </w:rPr>
            </w:pPr>
          </w:p>
        </w:tc>
        <w:tc>
          <w:tcPr>
            <w:tcW w:w="820" w:type="dxa"/>
            <w:vAlign w:val="bottom"/>
            <w:tcBorders>
              <w:bottom w:val="single" w:sz="8" w:color="0C6DFF"/>
            </w:tcBorders>
          </w:tcPr>
          <w:p>
            <w:pPr>
              <w:spacing w:after="0"/>
              <w:rPr>
                <w:sz w:val="6"/>
                <w:szCs w:val="6"/>
                <w:color w:val="auto"/>
              </w:rPr>
            </w:pPr>
          </w:p>
        </w:tc>
        <w:tc>
          <w:tcPr>
            <w:tcW w:w="320" w:type="dxa"/>
            <w:vAlign w:val="bottom"/>
            <w:tcBorders>
              <w:bottom w:val="single" w:sz="8" w:color="0C6DFF"/>
            </w:tcBorders>
          </w:tcPr>
          <w:p>
            <w:pPr>
              <w:spacing w:after="0"/>
              <w:rPr>
                <w:sz w:val="6"/>
                <w:szCs w:val="6"/>
                <w:color w:val="auto"/>
              </w:rPr>
            </w:pPr>
          </w:p>
        </w:tc>
        <w:tc>
          <w:tcPr>
            <w:tcW w:w="800" w:type="dxa"/>
            <w:vAlign w:val="bottom"/>
            <w:tcBorders>
              <w:bottom w:val="single" w:sz="8" w:color="0C6DFF"/>
            </w:tcBorders>
          </w:tcPr>
          <w:p>
            <w:pPr>
              <w:spacing w:after="0"/>
              <w:rPr>
                <w:sz w:val="6"/>
                <w:szCs w:val="6"/>
                <w:color w:val="auto"/>
              </w:rPr>
            </w:pPr>
          </w:p>
        </w:tc>
        <w:tc>
          <w:tcPr>
            <w:tcW w:w="340" w:type="dxa"/>
            <w:vAlign w:val="bottom"/>
            <w:tcBorders>
              <w:bottom w:val="single" w:sz="8" w:color="0C6DFF"/>
            </w:tcBorders>
          </w:tcPr>
          <w:p>
            <w:pPr>
              <w:spacing w:after="0"/>
              <w:rPr>
                <w:sz w:val="6"/>
                <w:szCs w:val="6"/>
                <w:color w:val="auto"/>
              </w:rPr>
            </w:pPr>
          </w:p>
        </w:tc>
        <w:tc>
          <w:tcPr>
            <w:tcW w:w="1080" w:type="dxa"/>
            <w:vAlign w:val="bottom"/>
            <w:tcBorders>
              <w:bottom w:val="single" w:sz="8" w:color="0C6DFF"/>
            </w:tcBorders>
          </w:tcPr>
          <w:p>
            <w:pPr>
              <w:spacing w:after="0"/>
              <w:rPr>
                <w:sz w:val="6"/>
                <w:szCs w:val="6"/>
                <w:color w:val="auto"/>
              </w:rPr>
            </w:pPr>
          </w:p>
        </w:tc>
        <w:tc>
          <w:tcPr>
            <w:tcW w:w="860" w:type="dxa"/>
            <w:vAlign w:val="bottom"/>
            <w:tcBorders>
              <w:bottom w:val="single" w:sz="8" w:color="0C6DFF"/>
            </w:tcBorders>
          </w:tcPr>
          <w:p>
            <w:pPr>
              <w:spacing w:after="0"/>
              <w:rPr>
                <w:sz w:val="6"/>
                <w:szCs w:val="6"/>
                <w:color w:val="auto"/>
              </w:rPr>
            </w:pPr>
          </w:p>
        </w:tc>
        <w:tc>
          <w:tcPr>
            <w:tcW w:w="1300" w:type="dxa"/>
            <w:vAlign w:val="bottom"/>
            <w:tcBorders>
              <w:bottom w:val="single" w:sz="8" w:color="0C6DFF"/>
            </w:tcBorders>
          </w:tcPr>
          <w:p>
            <w:pPr>
              <w:spacing w:after="0"/>
              <w:rPr>
                <w:sz w:val="6"/>
                <w:szCs w:val="6"/>
                <w:color w:val="auto"/>
              </w:rPr>
            </w:pPr>
          </w:p>
        </w:tc>
        <w:tc>
          <w:tcPr>
            <w:tcW w:w="860" w:type="dxa"/>
            <w:vAlign w:val="bottom"/>
            <w:tcBorders>
              <w:bottom w:val="single" w:sz="8" w:color="0C6DFF"/>
            </w:tcBorders>
          </w:tcPr>
          <w:p>
            <w:pPr>
              <w:spacing w:after="0"/>
              <w:rPr>
                <w:sz w:val="6"/>
                <w:szCs w:val="6"/>
                <w:color w:val="auto"/>
              </w:rPr>
            </w:pPr>
          </w:p>
        </w:tc>
        <w:tc>
          <w:tcPr>
            <w:tcW w:w="980" w:type="dxa"/>
            <w:vAlign w:val="bottom"/>
            <w:tcBorders>
              <w:bottom w:val="single" w:sz="8" w:color="0C6DF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0" w:hanging="195"/>
        <w:spacing w:after="0" w:line="291" w:lineRule="auto"/>
        <w:tabs>
          <w:tab w:leader="none" w:pos="198"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Adjusted EBITDA margin is Adjusted EBITDA as a percentage of revenue. We believe this metric is useful particularly as we continue to focus on growing our higher-margin businesses and improving overall operating cost management. Change in Adjusted EBITDA margin reflects the year-over-year basis point change.</w:t>
      </w:r>
    </w:p>
    <w:p>
      <w:pPr>
        <w:ind w:left="200" w:hanging="195"/>
        <w:spacing w:after="0" w:line="280" w:lineRule="auto"/>
        <w:tabs>
          <w:tab w:leader="none" w:pos="194"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Constant currency is a non-GAAP financial measure. Refer to the “Non-GAAP Financial Measures” section on page 47 for additional information, including our definition and our use of constant currency, and for a reconciliation of constant currency amounts.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continue to focus on growing our higher-margin connectivity businesses while managing overall operating costs. We also continue to invest in our network to support higher-speed broadband offerings and to expand the number of homes and businesses passed. An increasingly competitive environment and continued low domestic household move levels have had negative impacts on our customer relationships additions/(losses). We believe our residential connectivity revenue will increase as a result of growth in average domestic broadband revenue per customer, as well as increases in domestic wireless and international connectivity revenue. At the same time, we expect continued declines in video revenue as a result of domestic customer net losses due to shifting video consumption patterns and the competitive environment, although customer net losses typically mitigate the impact of continued rate increases on programming expenses. We also expect continued declines in other revenue related to declines in wireline voice revenue. We believe our Business Services Connectivity segment will continue to grow by offering competitive services, including to medium-sized and enterprise customers. Global economic conditions and consumer sentiment have in the past, and may continue to, adversely impact demand for our products and services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37</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006EBF"/>
        </w:rPr>
        <w:t>Connectivity &amp; Platforms Customer Metrics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36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1"/>
                <w:szCs w:val="11"/>
                <w:color w:val="auto"/>
              </w:rPr>
              <w:t>Net Additions / (Losses)</w:t>
            </w:r>
          </w:p>
        </w:tc>
        <w:tc>
          <w:tcPr>
            <w:tcW w:w="700" w:type="dxa"/>
            <w:vAlign w:val="bottom"/>
            <w:tcBorders>
              <w:bottom w:val="single" w:sz="8" w:color="auto"/>
            </w:tcBorders>
          </w:tcPr>
          <w:p>
            <w:pPr>
              <w:spacing w:after="0"/>
              <w:rPr>
                <w:sz w:val="13"/>
                <w:szCs w:val="13"/>
                <w:color w:val="auto"/>
              </w:rPr>
            </w:pPr>
          </w:p>
        </w:tc>
      </w:tr>
      <w:tr>
        <w:trPr>
          <w:trHeight w:val="154"/>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 thousands)</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color w:val="auto"/>
              </w:rPr>
              <w:t>2022</w:t>
            </w:r>
            <w:r>
              <w:rPr>
                <w:rFonts w:ascii="Times New Roman" w:cs="Times New Roman" w:eastAsia="Times New Roman" w:hAnsi="Times New Roman"/>
                <w:sz w:val="7"/>
                <w:szCs w:val="7"/>
                <w:color w:val="auto"/>
              </w:rPr>
              <w:t>(d)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r>
              <w:rPr>
                <w:rFonts w:ascii="Times New Roman" w:cs="Times New Roman" w:eastAsia="Times New Roman" w:hAnsi="Times New Roman"/>
                <w:sz w:val="7"/>
                <w:szCs w:val="7"/>
                <w:color w:val="auto"/>
              </w:rPr>
              <w:t>(d)</w:t>
            </w:r>
          </w:p>
        </w:tc>
        <w:tc>
          <w:tcPr>
            <w:tcW w:w="13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color w:val="auto"/>
              </w:rPr>
              <w:t>2022</w:t>
            </w:r>
            <w:r>
              <w:rPr>
                <w:rFonts w:ascii="Times New Roman" w:cs="Times New Roman" w:eastAsia="Times New Roman" w:hAnsi="Times New Roman"/>
                <w:sz w:val="7"/>
                <w:szCs w:val="7"/>
                <w:color w:val="auto"/>
              </w:rPr>
              <w:t>(d)</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r>
              <w:rPr>
                <w:rFonts w:ascii="Times New Roman" w:cs="Times New Roman" w:eastAsia="Times New Roman" w:hAnsi="Times New Roman"/>
                <w:sz w:val="7"/>
                <w:szCs w:val="7"/>
                <w:color w:val="auto"/>
              </w:rPr>
              <w:t>(d)</w:t>
            </w:r>
          </w:p>
        </w:tc>
      </w:tr>
      <w:tr>
        <w:trPr>
          <w:trHeight w:val="17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1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0"/>
        </w:trPr>
        <w:tc>
          <w:tcPr>
            <w:tcW w:w="4940" w:type="dxa"/>
            <w:vAlign w:val="bottom"/>
          </w:tcPr>
          <w:p>
            <w:pPr>
              <w:ind w:left="220"/>
              <w:spacing w:after="0" w:line="181" w:lineRule="exact"/>
              <w:rPr>
                <w:sz w:val="20"/>
                <w:szCs w:val="20"/>
                <w:color w:val="auto"/>
              </w:rPr>
            </w:pPr>
            <w:r>
              <w:rPr>
                <w:rFonts w:ascii="Times New Roman" w:cs="Times New Roman" w:eastAsia="Times New Roman" w:hAnsi="Times New Roman"/>
                <w:sz w:val="14"/>
                <w:szCs w:val="14"/>
                <w:color w:val="auto"/>
              </w:rPr>
              <w:t>Domestic Residential Connectivity &amp; Platforms customer relationships</w:t>
            </w:r>
            <w:r>
              <w:rPr>
                <w:rFonts w:ascii="Times New Roman" w:cs="Times New Roman" w:eastAsia="Times New Roman" w:hAnsi="Times New Roman"/>
                <w:sz w:val="18"/>
                <w:szCs w:val="18"/>
                <w:color w:val="auto"/>
                <w:vertAlign w:val="superscript"/>
              </w:rPr>
              <w:t>(a)</w:t>
            </w: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31,648</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31,860</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31,809</w:t>
            </w:r>
          </w:p>
        </w:tc>
        <w:tc>
          <w:tcPr>
            <w:tcW w:w="13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(212)</w:t>
            </w:r>
          </w:p>
        </w:tc>
        <w:tc>
          <w:tcPr>
            <w:tcW w:w="10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52</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w:t>
            </w:r>
          </w:p>
        </w:tc>
      </w:tr>
      <w:tr>
        <w:trPr>
          <w:trHeight w:val="180"/>
        </w:trPr>
        <w:tc>
          <w:tcPr>
            <w:tcW w:w="494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4"/>
                <w:szCs w:val="14"/>
                <w:color w:val="auto"/>
              </w:rPr>
              <w:t>International Residential Connectivity &amp; Platforms customer relationships</w:t>
            </w:r>
            <w:r>
              <w:rPr>
                <w:rFonts w:ascii="Times New Roman" w:cs="Times New Roman" w:eastAsia="Times New Roman" w:hAnsi="Times New Roman"/>
                <w:sz w:val="18"/>
                <w:szCs w:val="18"/>
                <w:color w:val="auto"/>
                <w:vertAlign w:val="superscript"/>
              </w:rPr>
              <w:t>(a)</w:t>
            </w:r>
          </w:p>
        </w:tc>
        <w:tc>
          <w:tcPr>
            <w:tcW w:w="13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17,847</w:t>
            </w:r>
          </w:p>
        </w:tc>
        <w:tc>
          <w:tcPr>
            <w:tcW w:w="11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rPr>
              <w:t>17,939</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18,030</w:t>
            </w:r>
          </w:p>
        </w:tc>
        <w:tc>
          <w:tcPr>
            <w:tcW w:w="13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(93)</w:t>
            </w:r>
          </w:p>
        </w:tc>
        <w:tc>
          <w:tcPr>
            <w:tcW w:w="10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(91)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180"/>
        </w:trPr>
        <w:tc>
          <w:tcPr>
            <w:tcW w:w="4940" w:type="dxa"/>
            <w:vAlign w:val="bottom"/>
          </w:tcPr>
          <w:p>
            <w:pPr>
              <w:ind w:left="220"/>
              <w:spacing w:after="0" w:line="181" w:lineRule="exact"/>
              <w:rPr>
                <w:sz w:val="20"/>
                <w:szCs w:val="20"/>
                <w:color w:val="auto"/>
              </w:rPr>
            </w:pPr>
            <w:r>
              <w:rPr>
                <w:rFonts w:ascii="Times New Roman" w:cs="Times New Roman" w:eastAsia="Times New Roman" w:hAnsi="Times New Roman"/>
                <w:sz w:val="14"/>
                <w:szCs w:val="14"/>
                <w:color w:val="auto"/>
              </w:rPr>
              <w:t>Business Services Connectivity customer relationships</w:t>
            </w:r>
            <w:r>
              <w:rPr>
                <w:rFonts w:ascii="Times New Roman" w:cs="Times New Roman" w:eastAsia="Times New Roman" w:hAnsi="Times New Roman"/>
                <w:sz w:val="18"/>
                <w:szCs w:val="18"/>
                <w:color w:val="auto"/>
                <w:vertAlign w:val="superscript"/>
              </w:rPr>
              <w:t>(b)</w:t>
            </w: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2,641</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rPr>
              <w:t>2,625</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2,573</w:t>
            </w:r>
          </w:p>
        </w:tc>
        <w:tc>
          <w:tcPr>
            <w:tcW w:w="13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17</w:t>
            </w:r>
          </w:p>
        </w:tc>
        <w:tc>
          <w:tcPr>
            <w:tcW w:w="10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52</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Connectivity &amp; Platforms customer relationships</w:t>
            </w:r>
          </w:p>
        </w:tc>
        <w:tc>
          <w:tcPr>
            <w:tcW w:w="13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52,136</w:t>
            </w:r>
          </w:p>
        </w:tc>
        <w:tc>
          <w:tcPr>
            <w:tcW w:w="11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rPr>
              <w:t>52,425</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52,412</w:t>
            </w:r>
          </w:p>
        </w:tc>
        <w:tc>
          <w:tcPr>
            <w:tcW w:w="132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(288)</w:t>
            </w:r>
          </w:p>
        </w:tc>
        <w:tc>
          <w:tcPr>
            <w:tcW w:w="10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12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r>
      <w:tr>
        <w:trPr>
          <w:trHeight w:val="17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Domestic Broadband</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0"/>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customers</w:t>
            </w:r>
          </w:p>
        </w:tc>
        <w:tc>
          <w:tcPr>
            <w:tcW w:w="13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29,748</w:t>
            </w:r>
          </w:p>
        </w:tc>
        <w:tc>
          <w:tcPr>
            <w:tcW w:w="11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rPr>
              <w:t>29,812</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29,583</w:t>
            </w:r>
          </w:p>
        </w:tc>
        <w:tc>
          <w:tcPr>
            <w:tcW w:w="13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(64)</w:t>
            </w:r>
          </w:p>
        </w:tc>
        <w:tc>
          <w:tcPr>
            <w:tcW w:w="104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230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r>
      <w:tr>
        <w:trPr>
          <w:trHeight w:val="180"/>
        </w:trPr>
        <w:tc>
          <w:tcPr>
            <w:tcW w:w="4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Business customers</w:t>
            </w: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2,505</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rPr>
              <w:t>2,507</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2,473</w:t>
            </w:r>
          </w:p>
        </w:tc>
        <w:tc>
          <w:tcPr>
            <w:tcW w:w="13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w:t>
            </w:r>
          </w:p>
        </w:tc>
        <w:tc>
          <w:tcPr>
            <w:tcW w:w="10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34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8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domestic broadband customers</w:t>
            </w:r>
          </w:p>
        </w:tc>
        <w:tc>
          <w:tcPr>
            <w:tcW w:w="13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32,253</w:t>
            </w:r>
          </w:p>
        </w:tc>
        <w:tc>
          <w:tcPr>
            <w:tcW w:w="11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rPr>
              <w:t>32,319</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32,056</w:t>
            </w:r>
          </w:p>
        </w:tc>
        <w:tc>
          <w:tcPr>
            <w:tcW w:w="132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(66)</w:t>
            </w:r>
          </w:p>
        </w:tc>
        <w:tc>
          <w:tcPr>
            <w:tcW w:w="10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263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r>
      <w:tr>
        <w:trPr>
          <w:trHeight w:val="17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Domestic Wireless</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0"/>
        </w:trPr>
        <w:tc>
          <w:tcPr>
            <w:tcW w:w="4940" w:type="dxa"/>
            <w:vAlign w:val="bottom"/>
            <w:tcBorders>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Total domestic wireless lines</w:t>
            </w:r>
            <w:r>
              <w:rPr>
                <w:rFonts w:ascii="Times New Roman" w:cs="Times New Roman" w:eastAsia="Times New Roman" w:hAnsi="Times New Roman"/>
                <w:sz w:val="18"/>
                <w:szCs w:val="18"/>
                <w:color w:val="auto"/>
                <w:vertAlign w:val="superscript"/>
              </w:rPr>
              <w:t>(c)</w:t>
            </w:r>
          </w:p>
        </w:tc>
        <w:tc>
          <w:tcPr>
            <w:tcW w:w="13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6,588</w:t>
            </w:r>
          </w:p>
        </w:tc>
        <w:tc>
          <w:tcPr>
            <w:tcW w:w="11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rPr>
              <w:t>5,313</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3,980</w:t>
            </w:r>
          </w:p>
        </w:tc>
        <w:tc>
          <w:tcPr>
            <w:tcW w:w="13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1,275</w:t>
            </w:r>
          </w:p>
        </w:tc>
        <w:tc>
          <w:tcPr>
            <w:tcW w:w="10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1,334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r>
      <w:tr>
        <w:trPr>
          <w:trHeight w:val="17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Domestic Video</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domestic video customers</w:t>
            </w:r>
          </w:p>
        </w:tc>
        <w:tc>
          <w:tcPr>
            <w:tcW w:w="13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14,106</w:t>
            </w:r>
          </w:p>
        </w:tc>
        <w:tc>
          <w:tcPr>
            <w:tcW w:w="11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rPr>
              <w:t>16,142</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18,176</w:t>
            </w:r>
          </w:p>
        </w:tc>
        <w:tc>
          <w:tcPr>
            <w:tcW w:w="132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(2,037)</w:t>
            </w:r>
          </w:p>
        </w:tc>
        <w:tc>
          <w:tcPr>
            <w:tcW w:w="10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(2,034)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r>
      <w:tr>
        <w:trPr>
          <w:trHeight w:val="171"/>
        </w:trPr>
        <w:tc>
          <w:tcPr>
            <w:tcW w:w="4940" w:type="dxa"/>
            <w:vAlign w:val="bottom"/>
            <w:tcBorders>
              <w:bottom w:val="single" w:sz="8" w:color="auto"/>
            </w:tcBorders>
          </w:tcPr>
          <w:p>
            <w:pPr>
              <w:ind w:left="20"/>
              <w:spacing w:after="0" w:line="171" w:lineRule="exact"/>
              <w:rPr>
                <w:sz w:val="20"/>
                <w:szCs w:val="20"/>
                <w:color w:val="auto"/>
              </w:rPr>
            </w:pPr>
            <w:r>
              <w:rPr>
                <w:rFonts w:ascii="Times New Roman" w:cs="Times New Roman" w:eastAsia="Times New Roman" w:hAnsi="Times New Roman"/>
                <w:sz w:val="14"/>
                <w:szCs w:val="14"/>
                <w:color w:val="auto"/>
              </w:rPr>
              <w:t>Domestic homes and businesses passed</w:t>
            </w:r>
            <w:r>
              <w:rPr>
                <w:rFonts w:ascii="Times New Roman" w:cs="Times New Roman" w:eastAsia="Times New Roman" w:hAnsi="Times New Roman"/>
                <w:sz w:val="18"/>
                <w:szCs w:val="18"/>
                <w:color w:val="auto"/>
                <w:vertAlign w:val="superscript"/>
              </w:rPr>
              <w:t>(e)</w:t>
            </w: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62,457</w:t>
            </w: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rPr>
              <w:t>61,367</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60,527</w:t>
            </w:r>
          </w:p>
        </w:tc>
        <w:tc>
          <w:tcPr>
            <w:tcW w:w="1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71"/>
        </w:trPr>
        <w:tc>
          <w:tcPr>
            <w:tcW w:w="4940" w:type="dxa"/>
            <w:vAlign w:val="bottom"/>
            <w:tcBorders>
              <w:bottom w:val="single" w:sz="8" w:color="auto"/>
            </w:tcBorders>
            <w:shd w:val="clear" w:color="auto" w:fill="CCEEFF"/>
          </w:tcPr>
          <w:p>
            <w:pPr>
              <w:ind w:left="40"/>
              <w:spacing w:after="0" w:line="171" w:lineRule="exact"/>
              <w:rPr>
                <w:sz w:val="20"/>
                <w:szCs w:val="20"/>
                <w:color w:val="auto"/>
              </w:rPr>
            </w:pPr>
            <w:r>
              <w:rPr>
                <w:rFonts w:ascii="Times New Roman" w:cs="Times New Roman" w:eastAsia="Times New Roman" w:hAnsi="Times New Roman"/>
                <w:sz w:val="14"/>
                <w:szCs w:val="14"/>
                <w:color w:val="auto"/>
              </w:rPr>
              <w:t>Domestic broadband penetration of homes and businesses passed</w:t>
            </w:r>
            <w:r>
              <w:rPr>
                <w:rFonts w:ascii="Times New Roman" w:cs="Times New Roman" w:eastAsia="Times New Roman" w:hAnsi="Times New Roman"/>
                <w:sz w:val="18"/>
                <w:szCs w:val="18"/>
                <w:color w:val="auto"/>
                <w:vertAlign w:val="superscript"/>
              </w:rPr>
              <w:t>(f)</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51.5 %</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52.5 %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52.8 %</w:t>
            </w:r>
          </w:p>
        </w:tc>
        <w:tc>
          <w:tcPr>
            <w:tcW w:w="1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r>
    </w:tbl>
    <w:p>
      <w:pPr>
        <w:spacing w:after="0" w:line="57" w:lineRule="exact"/>
        <w:rPr>
          <w:sz w:val="20"/>
          <w:szCs w:val="20"/>
          <w:color w:val="auto"/>
        </w:rPr>
      </w:pPr>
    </w:p>
    <w:p>
      <w:pPr>
        <w:jc w:val="both"/>
        <w:ind w:left="200" w:hanging="195"/>
        <w:spacing w:after="0" w:line="251" w:lineRule="auto"/>
        <w:tabs>
          <w:tab w:leader="none" w:pos="198"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Residential Connectivity &amp; Platforms customer relationships generally represent the number of residential customer locations that subscribe to at least one of our services. International Residential Connectivity &amp; Platforms customer relationships represent customers receiving Sky services in the United Kingdom and Italy. Previously reported total Sky customer relationships of approximately 23 million as of December 31, 2022 also included approximately 5 million customer relationships receiving Sky services in Germany now included in Corporate and Other. Because each of our services includes a variety of product tiers, which may change from time to time, net additions or losses in any one period will reflect a mix of customers at various tiers.</w:t>
      </w:r>
    </w:p>
    <w:p>
      <w:pPr>
        <w:spacing w:after="0" w:line="1" w:lineRule="exact"/>
        <w:rPr>
          <w:rFonts w:ascii="Times New Roman" w:cs="Times New Roman" w:eastAsia="Times New Roman" w:hAnsi="Times New Roman"/>
          <w:sz w:val="11"/>
          <w:szCs w:val="11"/>
          <w:color w:val="auto"/>
        </w:rPr>
      </w:pPr>
    </w:p>
    <w:p>
      <w:pPr>
        <w:ind w:left="200" w:hanging="195"/>
        <w:spacing w:after="0" w:line="271" w:lineRule="auto"/>
        <w:tabs>
          <w:tab w:leader="none" w:pos="194"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Business Services Connectivity customer metrics are generally counted based on the number of locations receiving services, including locations within our network in the United States, as well as locations outside of our network both in the United States and internationally. Certain arrangements whereby third parties provide connectivity services leveraging our network are also generally counted based on the number of locations served.</w:t>
      </w:r>
    </w:p>
    <w:p>
      <w:pPr>
        <w:ind w:left="200" w:hanging="195"/>
        <w:spacing w:after="0"/>
        <w:tabs>
          <w:tab w:leader="none" w:pos="20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Domestic wireless lines represent the number of residential and business customers’ wireless devices. An individual customer relationship may have multiple wireless lines.</w:t>
      </w:r>
    </w:p>
    <w:p>
      <w:pPr>
        <w:spacing w:after="0" w:line="32" w:lineRule="exact"/>
        <w:rPr>
          <w:rFonts w:ascii="Times New Roman" w:cs="Times New Roman" w:eastAsia="Times New Roman" w:hAnsi="Times New Roman"/>
          <w:sz w:val="11"/>
          <w:szCs w:val="11"/>
          <w:color w:val="auto"/>
        </w:rPr>
      </w:pPr>
    </w:p>
    <w:p>
      <w:pPr>
        <w:jc w:val="both"/>
        <w:ind w:left="200" w:hanging="195"/>
        <w:spacing w:after="0" w:line="250" w:lineRule="auto"/>
        <w:tabs>
          <w:tab w:leader="none" w:pos="194"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Customer metrics for 2022 and 2021 have been updated to reflect the new segment presentation, and to align methodologies for counting business customer metrics to: (1) include locations receiving our services outside of our distribution system and (2) now count certain customers based on the number of locations receiving services, including arrangements whereby third parties provide connectivity services leveraging our distribution system. These changes in methodology resulted in increases of 161,000 and 175,000 relationships as of December 31, 2021 and 2022, respectively. These changes in methodology were not material to any period presented.</w:t>
      </w:r>
    </w:p>
    <w:p>
      <w:pPr>
        <w:spacing w:after="0" w:line="7" w:lineRule="exact"/>
        <w:rPr>
          <w:rFonts w:ascii="Times New Roman" w:cs="Times New Roman" w:eastAsia="Times New Roman" w:hAnsi="Times New Roman"/>
          <w:sz w:val="11"/>
          <w:szCs w:val="11"/>
          <w:color w:val="auto"/>
        </w:rPr>
      </w:pPr>
    </w:p>
    <w:p>
      <w:pPr>
        <w:ind w:left="200" w:hanging="195"/>
        <w:spacing w:after="0" w:line="271" w:lineRule="auto"/>
        <w:tabs>
          <w:tab w:leader="none" w:pos="198"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Connectivity &amp; Platforms domestic homes and businesses are considered passed if we can connect them to our network in the United States without further extending the transmission lines. Homes and businesses passed is an estimate based on the best available information.</w:t>
      </w:r>
    </w:p>
    <w:p>
      <w:pPr>
        <w:ind w:left="200" w:hanging="195"/>
        <w:spacing w:after="0"/>
        <w:tabs>
          <w:tab w:leader="none" w:pos="20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Penetration is calculated by dividing the number of domestic customers located within our network by the number of domestic homes and businesses passed.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00" w:type="dxa"/>
            <w:vAlign w:val="bottom"/>
            <w:tcBorders>
              <w:bottom w:val="single" w:sz="8" w:color="auto"/>
            </w:tcBorders>
            <w:gridSpan w:val="2"/>
          </w:tcPr>
          <w:p>
            <w:pPr>
              <w:jc w:val="right"/>
              <w:ind w:right="1036"/>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1780" w:type="dxa"/>
            <w:vAlign w:val="bottom"/>
            <w:tcBorders>
              <w:bottom w:val="single" w:sz="8" w:color="auto"/>
            </w:tcBorders>
            <w:gridSpan w:val="2"/>
          </w:tcPr>
          <w:p>
            <w:pPr>
              <w:jc w:val="right"/>
              <w:ind w:right="676"/>
              <w:spacing w:after="0"/>
              <w:rPr>
                <w:sz w:val="20"/>
                <w:szCs w:val="20"/>
                <w:color w:val="auto"/>
              </w:rPr>
            </w:pPr>
            <w:r>
              <w:rPr>
                <w:rFonts w:ascii="Times New Roman" w:cs="Times New Roman" w:eastAsia="Times New Roman" w:hAnsi="Times New Roman"/>
                <w:sz w:val="11"/>
                <w:szCs w:val="11"/>
                <w:color w:val="auto"/>
              </w:rPr>
              <w:t>2021 to 2022</w:t>
            </w:r>
          </w:p>
        </w:tc>
        <w:tc>
          <w:tcPr>
            <w:tcW w:w="0" w:type="dxa"/>
            <w:vAlign w:val="bottom"/>
          </w:tcPr>
          <w:p>
            <w:pPr>
              <w:spacing w:after="0"/>
              <w:rPr>
                <w:sz w:val="1"/>
                <w:szCs w:val="1"/>
                <w:color w:val="auto"/>
              </w:rPr>
            </w:pPr>
          </w:p>
        </w:tc>
      </w:tr>
      <w:tr>
        <w:trPr>
          <w:trHeight w:val="107"/>
        </w:trPr>
        <w:tc>
          <w:tcPr>
            <w:tcW w:w="4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2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2021</w:t>
            </w:r>
          </w:p>
        </w:tc>
        <w:tc>
          <w:tcPr>
            <w:tcW w:w="1140" w:type="dxa"/>
            <w:vAlign w:val="bottom"/>
            <w:vMerge w:val="restart"/>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60" w:type="dxa"/>
            <w:vAlign w:val="bottom"/>
          </w:tcPr>
          <w:p>
            <w:pPr>
              <w:jc w:val="right"/>
              <w:ind w:right="256"/>
              <w:spacing w:after="0" w:line="107" w:lineRule="exact"/>
              <w:rPr>
                <w:sz w:val="20"/>
                <w:szCs w:val="20"/>
                <w:color w:val="auto"/>
              </w:rPr>
            </w:pPr>
            <w:r>
              <w:rPr>
                <w:rFonts w:ascii="Times New Roman" w:cs="Times New Roman" w:eastAsia="Times New Roman" w:hAnsi="Times New Roman"/>
                <w:sz w:val="11"/>
                <w:szCs w:val="11"/>
                <w:b w:val="1"/>
                <w:bCs w:val="1"/>
                <w:color w:val="auto"/>
              </w:rPr>
              <w:t>Constant Currency</w:t>
            </w:r>
          </w:p>
        </w:tc>
        <w:tc>
          <w:tcPr>
            <w:tcW w:w="800" w:type="dxa"/>
            <w:vAlign w:val="bottom"/>
            <w:vMerge w:val="restart"/>
          </w:tcPr>
          <w:p>
            <w:pPr>
              <w:jc w:val="right"/>
              <w:ind w:right="36"/>
              <w:spacing w:after="0"/>
              <w:rPr>
                <w:sz w:val="20"/>
                <w:szCs w:val="20"/>
                <w:color w:val="auto"/>
              </w:rPr>
            </w:pPr>
            <w:r>
              <w:rPr>
                <w:rFonts w:ascii="Times New Roman" w:cs="Times New Roman" w:eastAsia="Times New Roman" w:hAnsi="Times New Roman"/>
                <w:sz w:val="11"/>
                <w:szCs w:val="11"/>
                <w:color w:val="auto"/>
              </w:rPr>
              <w:t>Change</w:t>
            </w:r>
          </w:p>
        </w:tc>
        <w:tc>
          <w:tcPr>
            <w:tcW w:w="98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Constant Currency</w:t>
            </w:r>
          </w:p>
        </w:tc>
        <w:tc>
          <w:tcPr>
            <w:tcW w:w="0" w:type="dxa"/>
            <w:vAlign w:val="bottom"/>
          </w:tcPr>
          <w:p>
            <w:pPr>
              <w:spacing w:after="0"/>
              <w:rPr>
                <w:sz w:val="1"/>
                <w:szCs w:val="1"/>
                <w:color w:val="auto"/>
              </w:rPr>
            </w:pPr>
          </w:p>
        </w:tc>
      </w:tr>
      <w:tr>
        <w:trPr>
          <w:trHeight w:val="158"/>
        </w:trPr>
        <w:tc>
          <w:tcPr>
            <w:tcW w:w="4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360" w:type="dxa"/>
            <w:vAlign w:val="bottom"/>
            <w:tcBorders>
              <w:bottom w:val="single" w:sz="8" w:color="auto"/>
            </w:tcBorders>
          </w:tcPr>
          <w:p>
            <w:pPr>
              <w:jc w:val="right"/>
              <w:ind w:right="256"/>
              <w:spacing w:after="0" w:line="159" w:lineRule="exact"/>
              <w:rPr>
                <w:sz w:val="20"/>
                <w:szCs w:val="20"/>
                <w:color w:val="auto"/>
              </w:rPr>
            </w:pPr>
            <w:r>
              <w:rPr>
                <w:rFonts w:ascii="Times New Roman" w:cs="Times New Roman" w:eastAsia="Times New Roman" w:hAnsi="Times New Roman"/>
                <w:sz w:val="11"/>
                <w:szCs w:val="11"/>
                <w:b w:val="1"/>
                <w:bCs w:val="1"/>
                <w:color w:val="auto"/>
              </w:rPr>
              <w:t>Change</w:t>
            </w:r>
            <w:r>
              <w:rPr>
                <w:rFonts w:ascii="Times New Roman" w:cs="Times New Roman" w:eastAsia="Times New Roman" w:hAnsi="Times New Roman"/>
                <w:sz w:val="14"/>
                <w:szCs w:val="14"/>
                <w:b w:val="1"/>
                <w:bCs w:val="1"/>
                <w:color w:val="auto"/>
                <w:vertAlign w:val="superscript"/>
              </w:rPr>
              <w:t>(a)</w:t>
            </w:r>
          </w:p>
        </w:tc>
        <w:tc>
          <w:tcPr>
            <w:tcW w:w="80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1"/>
                <w:szCs w:val="11"/>
                <w:color w:val="auto"/>
              </w:rPr>
              <w:t>Change</w:t>
            </w:r>
            <w:r>
              <w:rPr>
                <w:rFonts w:ascii="Times New Roman" w:cs="Times New Roman" w:eastAsia="Times New Roman" w:hAnsi="Times New Roman"/>
                <w:sz w:val="14"/>
                <w:szCs w:val="14"/>
                <w:color w:val="auto"/>
                <w:vertAlign w:val="superscript"/>
              </w:rPr>
              <w:t>(a)</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Average monthly total Connectivity &amp; Platforms revenue per customer</w:t>
            </w:r>
          </w:p>
        </w:tc>
        <w:tc>
          <w:tcPr>
            <w:tcW w:w="32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129.43</w:t>
            </w: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0.3 %</w:t>
            </w:r>
          </w:p>
        </w:tc>
        <w:tc>
          <w:tcPr>
            <w:tcW w:w="1360" w:type="dxa"/>
            <w:vAlign w:val="bottom"/>
            <w:vMerge w:val="restart"/>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0.2 %</w:t>
            </w:r>
          </w:p>
        </w:tc>
        <w:tc>
          <w:tcPr>
            <w:tcW w:w="8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relationship</w:t>
            </w:r>
          </w:p>
        </w:tc>
        <w:tc>
          <w:tcPr>
            <w:tcW w:w="3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129.10</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129.41</w:t>
            </w:r>
          </w:p>
        </w:tc>
        <w:tc>
          <w:tcPr>
            <w:tcW w:w="114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(0.2)%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44"/>
        </w:trPr>
        <w:tc>
          <w:tcPr>
            <w:tcW w:w="41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Average monthly total Connectivity &amp; Platforms Adjusted EBITDA per</w:t>
            </w:r>
          </w:p>
        </w:tc>
        <w:tc>
          <w:tcPr>
            <w:tcW w:w="3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51.39</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3.7 %</w:t>
            </w:r>
          </w:p>
        </w:tc>
        <w:tc>
          <w:tcPr>
            <w:tcW w:w="13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3.8 %</w:t>
            </w: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customer relationship</w:t>
            </w:r>
          </w:p>
        </w:tc>
        <w:tc>
          <w:tcPr>
            <w:tcW w:w="3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49.55</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47.87</w:t>
            </w:r>
          </w:p>
        </w:tc>
        <w:tc>
          <w:tcPr>
            <w:tcW w:w="11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3.5 %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00" w:hanging="195"/>
        <w:spacing w:after="0" w:line="280" w:lineRule="auto"/>
        <w:tabs>
          <w:tab w:leader="none" w:pos="198"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Constant currency is a non-GAAP financial measure. Refer to the “Non-GAAP Financial Measure’ section on page 47 for additional information, including our definition and our use of constant currency, and for a reconciliation of constant currency amounts.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Average monthly total revenue per customer relationship is impacted by rate adjustments and changes in the types and levels of services received by our residential and business customers, as well as changes in advertising and other revenue and in foreign currency exchange rates. While revenue from our individual service offerings is also impacted by changes in the allocation of revenue among services sold in a bundle, the allocation does not impact average monthly total revenue per customer relationship. Each of our services has a different contribution to Adjusted EBITDA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38</w:t>
            </w:r>
          </w:p>
        </w:tc>
      </w:tr>
      <w:tr>
        <w:trPr>
          <w:trHeight w:val="25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006EBF"/>
        </w:rPr>
        <w:t>Connectivity &amp; Platforms — Supplemental Costs and Expenses Information</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Connectivity &amp; Platforms supplemental costs and expenses information in the table below is presented on an aggregate basis across the Connectivity &amp; Platforms segments as the segments use certain shared infrastructure, including our HFC network in the United States. Costs and expenses information reported separately for the Residential Connectivity &amp; Platforms and Business Services Connectivity segments include each segment’s direct costs and an allocation of shared costs.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1740" w:type="dxa"/>
            <w:vAlign w:val="bottom"/>
            <w:tcBorders>
              <w:bottom w:val="single" w:sz="8" w:color="auto"/>
            </w:tcBorders>
            <w:gridSpan w:val="2"/>
          </w:tcPr>
          <w:p>
            <w:pPr>
              <w:jc w:val="right"/>
              <w:ind w:right="632"/>
              <w:spacing w:after="0"/>
              <w:rPr>
                <w:sz w:val="20"/>
                <w:szCs w:val="20"/>
                <w:color w:val="auto"/>
              </w:rPr>
            </w:pPr>
            <w:r>
              <w:rPr>
                <w:rFonts w:ascii="Times New Roman" w:cs="Times New Roman" w:eastAsia="Times New Roman" w:hAnsi="Times New Roman"/>
                <w:sz w:val="11"/>
                <w:szCs w:val="11"/>
                <w:color w:val="auto"/>
              </w:rPr>
              <w:t>2021 to 2022</w:t>
            </w:r>
          </w:p>
        </w:tc>
        <w:tc>
          <w:tcPr>
            <w:tcW w:w="0" w:type="dxa"/>
            <w:vAlign w:val="bottom"/>
          </w:tcPr>
          <w:p>
            <w:pPr>
              <w:spacing w:after="0"/>
              <w:rPr>
                <w:sz w:val="1"/>
                <w:szCs w:val="1"/>
                <w:color w:val="auto"/>
              </w:rPr>
            </w:pPr>
          </w:p>
        </w:tc>
      </w:tr>
      <w:tr>
        <w:trPr>
          <w:trHeight w:val="107"/>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3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320" w:type="dxa"/>
            <w:vAlign w:val="bottom"/>
          </w:tcPr>
          <w:p>
            <w:pPr>
              <w:spacing w:after="0"/>
              <w:rPr>
                <w:sz w:val="9"/>
                <w:szCs w:val="9"/>
                <w:color w:val="auto"/>
              </w:rPr>
            </w:pPr>
          </w:p>
        </w:tc>
        <w:tc>
          <w:tcPr>
            <w:tcW w:w="980" w:type="dxa"/>
            <w:vAlign w:val="bottom"/>
            <w:vMerge w:val="restart"/>
          </w:tcPr>
          <w:p>
            <w:pPr>
              <w:jc w:val="right"/>
              <w:ind w:right="231"/>
              <w:spacing w:after="0"/>
              <w:rPr>
                <w:sz w:val="20"/>
                <w:szCs w:val="20"/>
                <w:color w:val="auto"/>
              </w:rPr>
            </w:pPr>
            <w:r>
              <w:rPr>
                <w:rFonts w:ascii="Times New Roman" w:cs="Times New Roman" w:eastAsia="Times New Roman" w:hAnsi="Times New Roman"/>
                <w:sz w:val="11"/>
                <w:szCs w:val="11"/>
                <w:color w:val="auto"/>
              </w:rPr>
              <w:t>2021</w:t>
            </w:r>
          </w:p>
        </w:tc>
        <w:tc>
          <w:tcPr>
            <w:tcW w:w="8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20" w:type="dxa"/>
            <w:vAlign w:val="bottom"/>
          </w:tcPr>
          <w:p>
            <w:pPr>
              <w:jc w:val="right"/>
              <w:ind w:right="212"/>
              <w:spacing w:after="0" w:line="107" w:lineRule="exact"/>
              <w:rPr>
                <w:sz w:val="20"/>
                <w:szCs w:val="20"/>
                <w:color w:val="auto"/>
              </w:rPr>
            </w:pPr>
            <w:r>
              <w:rPr>
                <w:rFonts w:ascii="Times New Roman" w:cs="Times New Roman" w:eastAsia="Times New Roman" w:hAnsi="Times New Roman"/>
                <w:sz w:val="11"/>
                <w:szCs w:val="11"/>
                <w:b w:val="1"/>
                <w:bCs w:val="1"/>
                <w:color w:val="auto"/>
              </w:rPr>
              <w:t>Constant Currency</w:t>
            </w: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rPr>
              <w:t>Change</w:t>
            </w:r>
          </w:p>
        </w:tc>
        <w:tc>
          <w:tcPr>
            <w:tcW w:w="96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Constant Currency</w:t>
            </w:r>
          </w:p>
        </w:tc>
        <w:tc>
          <w:tcPr>
            <w:tcW w:w="0" w:type="dxa"/>
            <w:vAlign w:val="bottom"/>
          </w:tcPr>
          <w:p>
            <w:pPr>
              <w:spacing w:after="0"/>
              <w:rPr>
                <w:sz w:val="1"/>
                <w:szCs w:val="1"/>
                <w:color w:val="auto"/>
              </w:rPr>
            </w:pPr>
          </w:p>
        </w:tc>
      </w:tr>
      <w:tr>
        <w:trPr>
          <w:trHeight w:val="158"/>
        </w:trPr>
        <w:tc>
          <w:tcPr>
            <w:tcW w:w="40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tcPr>
          <w:p>
            <w:pPr>
              <w:jc w:val="right"/>
              <w:ind w:right="212"/>
              <w:spacing w:after="0" w:line="159" w:lineRule="exact"/>
              <w:rPr>
                <w:sz w:val="20"/>
                <w:szCs w:val="20"/>
                <w:color w:val="auto"/>
              </w:rPr>
            </w:pPr>
            <w:r>
              <w:rPr>
                <w:rFonts w:ascii="Times New Roman" w:cs="Times New Roman" w:eastAsia="Times New Roman" w:hAnsi="Times New Roman"/>
                <w:sz w:val="11"/>
                <w:szCs w:val="11"/>
                <w:b w:val="1"/>
                <w:bCs w:val="1"/>
                <w:color w:val="auto"/>
              </w:rPr>
              <w:t>Change</w:t>
            </w:r>
            <w:r>
              <w:rPr>
                <w:rFonts w:ascii="Times New Roman" w:cs="Times New Roman" w:eastAsia="Times New Roman" w:hAnsi="Times New Roman"/>
                <w:sz w:val="14"/>
                <w:szCs w:val="14"/>
                <w:b w:val="1"/>
                <w:bCs w:val="1"/>
                <w:color w:val="auto"/>
                <w:vertAlign w:val="superscript"/>
              </w:rPr>
              <w:t>(g)</w:t>
            </w:r>
          </w:p>
        </w:tc>
        <w:tc>
          <w:tcPr>
            <w:tcW w:w="78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1"/>
                <w:szCs w:val="11"/>
                <w:color w:val="auto"/>
              </w:rPr>
              <w:t>Change</w:t>
            </w:r>
            <w:r>
              <w:rPr>
                <w:rFonts w:ascii="Times New Roman" w:cs="Times New Roman" w:eastAsia="Times New Roman" w:hAnsi="Times New Roman"/>
                <w:sz w:val="14"/>
                <w:szCs w:val="14"/>
                <w:color w:val="auto"/>
                <w:vertAlign w:val="superscript"/>
              </w:rPr>
              <w:t>(g)</w:t>
            </w:r>
          </w:p>
        </w:tc>
        <w:tc>
          <w:tcPr>
            <w:tcW w:w="0" w:type="dxa"/>
            <w:vAlign w:val="bottom"/>
          </w:tcPr>
          <w:p>
            <w:pPr>
              <w:spacing w:after="0"/>
              <w:rPr>
                <w:sz w:val="1"/>
                <w:szCs w:val="1"/>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6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Programming</w:t>
            </w:r>
            <w:r>
              <w:rPr>
                <w:rFonts w:ascii="Times New Roman" w:cs="Times New Roman" w:eastAsia="Times New Roman" w:hAnsi="Times New Roman"/>
                <w:sz w:val="18"/>
                <w:szCs w:val="18"/>
                <w:color w:val="auto"/>
                <w:vertAlign w:val="superscript"/>
              </w:rPr>
              <w:t>(a)</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18,067</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18,500</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20,542</w:t>
            </w: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(2.3)%</w:t>
            </w:r>
          </w:p>
        </w:tc>
        <w:tc>
          <w:tcPr>
            <w:tcW w:w="13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(2.5)%</w:t>
            </w:r>
          </w:p>
        </w:tc>
        <w:tc>
          <w:tcPr>
            <w:tcW w:w="7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(9.9)%</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Technical and support</w:t>
            </w:r>
            <w:r>
              <w:rPr>
                <w:rFonts w:ascii="Times New Roman" w:cs="Times New Roman" w:eastAsia="Times New Roman" w:hAnsi="Times New Roman"/>
                <w:sz w:val="18"/>
                <w:szCs w:val="18"/>
                <w:color w:val="auto"/>
                <w:vertAlign w:val="superscript"/>
              </w:rPr>
              <w:t>(b)</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7,416</w:t>
            </w: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7,721</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7,682</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(3.9)</w:t>
            </w:r>
          </w:p>
        </w:tc>
        <w:tc>
          <w:tcPr>
            <w:tcW w:w="1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(4.1)</w:t>
            </w:r>
          </w:p>
        </w:tc>
        <w:tc>
          <w:tcPr>
            <w:tcW w:w="7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0.5</w:t>
            </w: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406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Direct product costs</w:t>
            </w:r>
            <w:r>
              <w:rPr>
                <w:rFonts w:ascii="Times New Roman" w:cs="Times New Roman" w:eastAsia="Times New Roman" w:hAnsi="Times New Roman"/>
                <w:sz w:val="18"/>
                <w:szCs w:val="18"/>
                <w:color w:val="auto"/>
                <w:vertAlign w:val="superscript"/>
              </w:rPr>
              <w:t>(c)</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6,146</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320" w:type="dxa"/>
            <w:vAlign w:val="bottom"/>
          </w:tcPr>
          <w:p>
            <w:pPr>
              <w:spacing w:after="0"/>
              <w:rPr>
                <w:sz w:val="15"/>
                <w:szCs w:val="15"/>
                <w:color w:val="auto"/>
              </w:rPr>
            </w:pP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4,901</w:t>
            </w:r>
          </w:p>
        </w:tc>
        <w:tc>
          <w:tcPr>
            <w:tcW w:w="8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9.8</w:t>
            </w:r>
          </w:p>
        </w:tc>
        <w:tc>
          <w:tcPr>
            <w:tcW w:w="13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9.4</w:t>
            </w:r>
          </w:p>
        </w:tc>
        <w:tc>
          <w:tcPr>
            <w:tcW w:w="7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14.2</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Marketing and promotion</w:t>
            </w:r>
            <w:r>
              <w:rPr>
                <w:rFonts w:ascii="Times New Roman" w:cs="Times New Roman" w:eastAsia="Times New Roman" w:hAnsi="Times New Roman"/>
                <w:sz w:val="18"/>
                <w:szCs w:val="18"/>
                <w:color w:val="auto"/>
                <w:vertAlign w:val="superscript"/>
              </w:rPr>
              <w:t>(d)</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4,720</w:t>
            </w: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5,101</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5,180</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(7.5)</w:t>
            </w:r>
          </w:p>
        </w:tc>
        <w:tc>
          <w:tcPr>
            <w:tcW w:w="1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(7.7)</w:t>
            </w: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(1.5)</w:t>
            </w: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0"/>
        </w:trPr>
        <w:tc>
          <w:tcPr>
            <w:tcW w:w="406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Customer service</w:t>
            </w:r>
            <w:r>
              <w:rPr>
                <w:rFonts w:ascii="Times New Roman" w:cs="Times New Roman" w:eastAsia="Times New Roman" w:hAnsi="Times New Roman"/>
                <w:sz w:val="18"/>
                <w:szCs w:val="18"/>
                <w:color w:val="auto"/>
                <w:vertAlign w:val="superscript"/>
              </w:rPr>
              <w:t>(e)</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2,783</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320" w:type="dxa"/>
            <w:vAlign w:val="bottom"/>
          </w:tcPr>
          <w:p>
            <w:pPr>
              <w:spacing w:after="0"/>
              <w:rPr>
                <w:sz w:val="15"/>
                <w:szCs w:val="15"/>
                <w:color w:val="auto"/>
              </w:rPr>
            </w:pP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3,018</w:t>
            </w: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(3.0)</w:t>
            </w:r>
          </w:p>
        </w:tc>
        <w:tc>
          <w:tcPr>
            <w:tcW w:w="13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(3.1)</w:t>
            </w:r>
          </w:p>
        </w:tc>
        <w:tc>
          <w:tcPr>
            <w:tcW w:w="7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(4.9)</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0"/>
        </w:trPr>
        <w:tc>
          <w:tcPr>
            <w:tcW w:w="4060" w:type="dxa"/>
            <w:vAlign w:val="bottom"/>
            <w:tcBorders>
              <w:bottom w:val="single" w:sz="8" w:color="auto"/>
            </w:tcBorders>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(f)</w:t>
            </w:r>
          </w:p>
        </w:tc>
        <w:tc>
          <w:tcPr>
            <w:tcW w:w="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9,830</w:t>
            </w:r>
          </w:p>
        </w:tc>
        <w:tc>
          <w:tcPr>
            <w:tcW w:w="3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w:t>
            </w: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9,557</w:t>
            </w:r>
          </w:p>
        </w:tc>
        <w:tc>
          <w:tcPr>
            <w:tcW w:w="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(4.0)</w:t>
            </w:r>
          </w:p>
        </w:tc>
        <w:tc>
          <w:tcPr>
            <w:tcW w:w="13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(4.3)</w:t>
            </w:r>
          </w:p>
        </w:tc>
        <w:tc>
          <w:tcPr>
            <w:tcW w:w="7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7.2</w:t>
            </w: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Connectivity &amp; Platforms costs and expenses</w:t>
            </w:r>
          </w:p>
        </w:tc>
        <w:tc>
          <w:tcPr>
            <w:tcW w:w="340" w:type="dxa"/>
            <w:vAlign w:val="bottom"/>
            <w:tcBorders>
              <w:bottom w:val="single" w:sz="8" w:color="0C6DFF"/>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48,962</w:t>
            </w:r>
          </w:p>
        </w:tc>
        <w:tc>
          <w:tcPr>
            <w:tcW w:w="320" w:type="dxa"/>
            <w:vAlign w:val="bottom"/>
            <w:tcBorders>
              <w:bottom w:val="single" w:sz="8" w:color="0C6DFF"/>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50,033</w:t>
            </w:r>
          </w:p>
        </w:tc>
        <w:tc>
          <w:tcPr>
            <w:tcW w:w="320" w:type="dxa"/>
            <w:vAlign w:val="bottom"/>
            <w:tcBorders>
              <w:bottom w:val="single" w:sz="8" w:color="0C6DFF"/>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0C6DFF"/>
            </w:tcBorders>
          </w:tcPr>
          <w:p>
            <w:pPr>
              <w:jc w:val="right"/>
              <w:ind w:right="271"/>
              <w:spacing w:after="0"/>
              <w:rPr>
                <w:sz w:val="20"/>
                <w:szCs w:val="20"/>
                <w:color w:val="auto"/>
              </w:rPr>
            </w:pPr>
            <w:r>
              <w:rPr>
                <w:rFonts w:ascii="Times New Roman" w:cs="Times New Roman" w:eastAsia="Times New Roman" w:hAnsi="Times New Roman"/>
                <w:sz w:val="14"/>
                <w:szCs w:val="14"/>
                <w:color w:val="auto"/>
              </w:rPr>
              <w:t>50,880</w:t>
            </w:r>
          </w:p>
        </w:tc>
        <w:tc>
          <w:tcPr>
            <w:tcW w:w="840" w:type="dxa"/>
            <w:vAlign w:val="bottom"/>
            <w:tcBorders>
              <w:bottom w:val="single" w:sz="8" w:color="0C6DFF"/>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(2.1)%</w:t>
            </w:r>
          </w:p>
        </w:tc>
        <w:tc>
          <w:tcPr>
            <w:tcW w:w="1320" w:type="dxa"/>
            <w:vAlign w:val="bottom"/>
            <w:tcBorders>
              <w:bottom w:val="single" w:sz="8" w:color="0C6DFF"/>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(2.3)%</w:t>
            </w:r>
          </w:p>
        </w:tc>
        <w:tc>
          <w:tcPr>
            <w:tcW w:w="780" w:type="dxa"/>
            <w:vAlign w:val="bottom"/>
            <w:tcBorders>
              <w:bottom w:val="single" w:sz="8" w:color="0C6DFF"/>
            </w:tcBorders>
          </w:tcPr>
          <w:p>
            <w:pPr>
              <w:ind w:left="300"/>
              <w:spacing w:after="0"/>
              <w:rPr>
                <w:sz w:val="20"/>
                <w:szCs w:val="20"/>
                <w:color w:val="auto"/>
              </w:rPr>
            </w:pPr>
            <w:r>
              <w:rPr>
                <w:rFonts w:ascii="Times New Roman" w:cs="Times New Roman" w:eastAsia="Times New Roman" w:hAnsi="Times New Roman"/>
                <w:sz w:val="14"/>
                <w:szCs w:val="14"/>
                <w:color w:val="auto"/>
              </w:rPr>
              <w:t>(1.7)%</w:t>
            </w:r>
          </w:p>
        </w:tc>
        <w:tc>
          <w:tcPr>
            <w:tcW w:w="9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00" w:hanging="195"/>
        <w:spacing w:after="0" w:line="281" w:lineRule="auto"/>
        <w:tabs>
          <w:tab w:leader="none" w:pos="198"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networks, including amortization of licensed content.</w:t>
      </w:r>
    </w:p>
    <w:p>
      <w:pPr>
        <w:ind w:left="180" w:hanging="175"/>
        <w:spacing w:after="0"/>
        <w:tabs>
          <w:tab w:leader="none" w:pos="18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Technical and support expenses primarily include costs for labor to complete service call and installation activities; and costs for network operations and satellite transmission, product development, fulfillment and provisioning.</w:t>
      </w:r>
    </w:p>
    <w:p>
      <w:pPr>
        <w:spacing w:after="0" w:line="43" w:lineRule="exact"/>
        <w:rPr>
          <w:rFonts w:ascii="Times New Roman" w:cs="Times New Roman" w:eastAsia="Times New Roman" w:hAnsi="Times New Roman"/>
          <w:sz w:val="11"/>
          <w:szCs w:val="11"/>
          <w:color w:val="auto"/>
        </w:rPr>
      </w:pPr>
    </w:p>
    <w:p>
      <w:pPr>
        <w:ind w:left="200" w:hanging="195"/>
        <w:spacing w:after="0"/>
        <w:tabs>
          <w:tab w:leader="none" w:pos="20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Direct product costs primarily include access fees related to using wireless and broadband networks owned by third parties to deliver our services and costs of products sold, including wireless devices and Sky Glass smart televisions.</w:t>
      </w:r>
    </w:p>
    <w:p>
      <w:pPr>
        <w:spacing w:after="0" w:line="32"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Marketing and promotion expenses include the costs associated with attracting new customers and promoting our service offerings.</w:t>
      </w:r>
    </w:p>
    <w:p>
      <w:pPr>
        <w:spacing w:after="0" w:line="43" w:lineRule="exact"/>
        <w:rPr>
          <w:rFonts w:ascii="Times New Roman" w:cs="Times New Roman" w:eastAsia="Times New Roman" w:hAnsi="Times New Roman"/>
          <w:sz w:val="11"/>
          <w:szCs w:val="11"/>
          <w:color w:val="auto"/>
        </w:rPr>
      </w:pPr>
    </w:p>
    <w:p>
      <w:pPr>
        <w:ind w:left="200" w:hanging="195"/>
        <w:spacing w:after="0"/>
        <w:tabs>
          <w:tab w:leader="none" w:pos="20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Customer service expenses include the personnel and other costs associated with customer service and certain selling activities.</w:t>
      </w:r>
    </w:p>
    <w:p>
      <w:pPr>
        <w:spacing w:after="0" w:line="32" w:lineRule="exact"/>
        <w:rPr>
          <w:rFonts w:ascii="Times New Roman" w:cs="Times New Roman" w:eastAsia="Times New Roman" w:hAnsi="Times New Roman"/>
          <w:sz w:val="11"/>
          <w:szCs w:val="11"/>
          <w:color w:val="auto"/>
        </w:rPr>
      </w:pPr>
    </w:p>
    <w:p>
      <w:pPr>
        <w:ind w:left="200" w:hanging="195"/>
        <w:spacing w:after="0" w:line="281" w:lineRule="auto"/>
        <w:tabs>
          <w:tab w:leader="none" w:pos="196"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expenses primarily include administrative personnel costs; franchise and other regulatory fees; fees paid to third parties where we represent the advertising sales efforts; other business support costs, including building and office expenses, taxes and billing costs; and bad debt.</w:t>
      </w:r>
    </w:p>
    <w:p>
      <w:pPr>
        <w:ind w:left="200" w:hanging="195"/>
        <w:spacing w:after="0" w:line="300" w:lineRule="auto"/>
        <w:tabs>
          <w:tab w:leader="none" w:pos="194"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Constant currency is a non-GAAP financial measure. Refer to the “Non-GAAP Financial Measures” section on page 47 for additional information, including our definition and our use of constant currency, and for a reconciliation of constant currency amounts.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Residential Connectivity &amp; Platforms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2"/>
          </w:tcPr>
          <w:p>
            <w:pPr>
              <w:jc w:val="right"/>
              <w:ind w:right="1051"/>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1900" w:type="dxa"/>
            <w:vAlign w:val="bottom"/>
            <w:tcBorders>
              <w:bottom w:val="single" w:sz="8" w:color="auto"/>
            </w:tcBorders>
            <w:gridSpan w:val="2"/>
          </w:tcPr>
          <w:p>
            <w:pPr>
              <w:jc w:val="right"/>
              <w:ind w:right="731"/>
              <w:spacing w:after="0"/>
              <w:rPr>
                <w:sz w:val="20"/>
                <w:szCs w:val="20"/>
                <w:color w:val="auto"/>
              </w:rPr>
            </w:pPr>
            <w:r>
              <w:rPr>
                <w:rFonts w:ascii="Times New Roman" w:cs="Times New Roman" w:eastAsia="Times New Roman" w:hAnsi="Times New Roman"/>
                <w:sz w:val="11"/>
                <w:szCs w:val="11"/>
                <w:color w:val="auto"/>
              </w:rPr>
              <w:t>2021 to 2022</w:t>
            </w:r>
          </w:p>
        </w:tc>
        <w:tc>
          <w:tcPr>
            <w:tcW w:w="0" w:type="dxa"/>
            <w:vAlign w:val="bottom"/>
          </w:tcPr>
          <w:p>
            <w:pPr>
              <w:spacing w:after="0"/>
              <w:rPr>
                <w:sz w:val="1"/>
                <w:szCs w:val="1"/>
                <w:color w:val="auto"/>
              </w:rPr>
            </w:pPr>
          </w:p>
        </w:tc>
      </w:tr>
      <w:tr>
        <w:trPr>
          <w:trHeight w:val="107"/>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3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340" w:type="dxa"/>
            <w:vAlign w:val="bottom"/>
          </w:tcPr>
          <w:p>
            <w:pPr>
              <w:spacing w:after="0"/>
              <w:rPr>
                <w:sz w:val="9"/>
                <w:szCs w:val="9"/>
                <w:color w:val="auto"/>
              </w:rPr>
            </w:pPr>
          </w:p>
        </w:tc>
        <w:tc>
          <w:tcPr>
            <w:tcW w:w="1020" w:type="dxa"/>
            <w:vAlign w:val="bottom"/>
            <w:vMerge w:val="restart"/>
          </w:tcPr>
          <w:p>
            <w:pPr>
              <w:jc w:val="right"/>
              <w:ind w:right="290"/>
              <w:spacing w:after="0"/>
              <w:rPr>
                <w:sz w:val="20"/>
                <w:szCs w:val="20"/>
                <w:color w:val="auto"/>
              </w:rPr>
            </w:pPr>
            <w:r>
              <w:rPr>
                <w:rFonts w:ascii="Times New Roman" w:cs="Times New Roman" w:eastAsia="Times New Roman" w:hAnsi="Times New Roman"/>
                <w:sz w:val="11"/>
                <w:szCs w:val="11"/>
                <w:color w:val="auto"/>
              </w:rPr>
              <w:t>2021</w:t>
            </w:r>
          </w:p>
        </w:tc>
        <w:tc>
          <w:tcPr>
            <w:tcW w:w="96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340" w:type="dxa"/>
            <w:vAlign w:val="bottom"/>
          </w:tcPr>
          <w:p>
            <w:pPr>
              <w:jc w:val="right"/>
              <w:ind w:right="251"/>
              <w:spacing w:after="0" w:line="107" w:lineRule="exact"/>
              <w:rPr>
                <w:sz w:val="20"/>
                <w:szCs w:val="20"/>
                <w:color w:val="auto"/>
              </w:rPr>
            </w:pPr>
            <w:r>
              <w:rPr>
                <w:rFonts w:ascii="Times New Roman" w:cs="Times New Roman" w:eastAsia="Times New Roman" w:hAnsi="Times New Roman"/>
                <w:sz w:val="11"/>
                <w:szCs w:val="11"/>
                <w:b w:val="1"/>
                <w:bCs w:val="1"/>
                <w:color w:val="auto"/>
              </w:rPr>
              <w:t>Constant Currency</w:t>
            </w:r>
          </w:p>
        </w:tc>
        <w:tc>
          <w:tcPr>
            <w:tcW w:w="920" w:type="dxa"/>
            <w:vAlign w:val="bottom"/>
            <w:vMerge w:val="restart"/>
          </w:tcPr>
          <w:p>
            <w:pPr>
              <w:jc w:val="right"/>
              <w:ind w:right="71"/>
              <w:spacing w:after="0"/>
              <w:rPr>
                <w:sz w:val="20"/>
                <w:szCs w:val="20"/>
                <w:color w:val="auto"/>
              </w:rPr>
            </w:pPr>
            <w:r>
              <w:rPr>
                <w:rFonts w:ascii="Times New Roman" w:cs="Times New Roman" w:eastAsia="Times New Roman" w:hAnsi="Times New Roman"/>
                <w:sz w:val="11"/>
                <w:szCs w:val="11"/>
                <w:color w:val="auto"/>
              </w:rPr>
              <w:t>Change</w:t>
            </w:r>
          </w:p>
        </w:tc>
        <w:tc>
          <w:tcPr>
            <w:tcW w:w="98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rPr>
              <w:t>Constant Currency</w:t>
            </w:r>
          </w:p>
        </w:tc>
        <w:tc>
          <w:tcPr>
            <w:tcW w:w="0" w:type="dxa"/>
            <w:vAlign w:val="bottom"/>
          </w:tcPr>
          <w:p>
            <w:pPr>
              <w:spacing w:after="0"/>
              <w:rPr>
                <w:sz w:val="1"/>
                <w:szCs w:val="1"/>
                <w:color w:val="auto"/>
              </w:rPr>
            </w:pPr>
          </w:p>
        </w:tc>
      </w:tr>
      <w:tr>
        <w:trPr>
          <w:trHeight w:val="158"/>
        </w:trPr>
        <w:tc>
          <w:tcPr>
            <w:tcW w:w="368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340" w:type="dxa"/>
            <w:vAlign w:val="bottom"/>
            <w:tcBorders>
              <w:bottom w:val="single" w:sz="8" w:color="auto"/>
            </w:tcBorders>
          </w:tcPr>
          <w:p>
            <w:pPr>
              <w:jc w:val="right"/>
              <w:ind w:right="251"/>
              <w:spacing w:after="0" w:line="159" w:lineRule="exact"/>
              <w:rPr>
                <w:sz w:val="20"/>
                <w:szCs w:val="20"/>
                <w:color w:val="auto"/>
              </w:rPr>
            </w:pPr>
            <w:r>
              <w:rPr>
                <w:rFonts w:ascii="Times New Roman" w:cs="Times New Roman" w:eastAsia="Times New Roman" w:hAnsi="Times New Roman"/>
                <w:sz w:val="11"/>
                <w:szCs w:val="11"/>
                <w:b w:val="1"/>
                <w:bCs w:val="1"/>
                <w:color w:val="auto"/>
              </w:rPr>
              <w:t>Change</w:t>
            </w:r>
            <w:r>
              <w:rPr>
                <w:rFonts w:ascii="Times New Roman" w:cs="Times New Roman" w:eastAsia="Times New Roman" w:hAnsi="Times New Roman"/>
                <w:sz w:val="14"/>
                <w:szCs w:val="14"/>
                <w:b w:val="1"/>
                <w:bCs w:val="1"/>
                <w:color w:val="auto"/>
                <w:vertAlign w:val="superscript"/>
              </w:rPr>
              <w:t>(a)</w:t>
            </w:r>
          </w:p>
        </w:tc>
        <w:tc>
          <w:tcPr>
            <w:tcW w:w="92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1"/>
                <w:szCs w:val="11"/>
                <w:color w:val="auto"/>
              </w:rPr>
              <w:t>Change</w:t>
            </w:r>
            <w:r>
              <w:rPr>
                <w:rFonts w:ascii="Times New Roman" w:cs="Times New Roman" w:eastAsia="Times New Roman" w:hAnsi="Times New Roman"/>
                <w:sz w:val="14"/>
                <w:szCs w:val="14"/>
                <w:color w:val="auto"/>
                <w:vertAlign w:val="superscript"/>
              </w:rPr>
              <w:t>(a)</w:t>
            </w: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Domestic broadband</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25,489</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24,469</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22,979</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4.2 %</w:t>
            </w:r>
          </w:p>
        </w:tc>
        <w:tc>
          <w:tcPr>
            <w:tcW w:w="13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4.2 %</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6.5 %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Domestic wireless</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3,664</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2,380</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19.3</w:t>
            </w:r>
          </w:p>
        </w:tc>
        <w:tc>
          <w:tcPr>
            <w:tcW w:w="13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19.3</w:t>
            </w:r>
          </w:p>
        </w:tc>
        <w:tc>
          <w:tcPr>
            <w:tcW w:w="9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29.0</w:t>
            </w: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International connectivity</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4,207</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3,293</w:t>
            </w:r>
          </w:p>
        </w:tc>
        <w:tc>
          <w:tcPr>
            <w:tcW w:w="9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22.8</w:t>
            </w:r>
          </w:p>
        </w:tc>
        <w:tc>
          <w:tcPr>
            <w:tcW w:w="13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21.9</w:t>
            </w:r>
          </w:p>
        </w:tc>
        <w:tc>
          <w:tcPr>
            <w:tcW w:w="9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4.0</w:t>
            </w:r>
          </w:p>
        </w:tc>
        <w:tc>
          <w:tcPr>
            <w:tcW w:w="9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residential connectivity</w:t>
            </w: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33,359</w:t>
            </w: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30,966</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28,652</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7.7</w:t>
            </w:r>
          </w:p>
        </w:tc>
        <w:tc>
          <w:tcPr>
            <w:tcW w:w="13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7.6</w:t>
            </w:r>
          </w:p>
        </w:tc>
        <w:tc>
          <w:tcPr>
            <w:tcW w:w="9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8.1</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0"/>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Video</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28,797</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30,496</w:t>
            </w:r>
          </w:p>
        </w:tc>
        <w:tc>
          <w:tcPr>
            <w:tcW w:w="340" w:type="dxa"/>
            <w:vAlign w:val="bottom"/>
          </w:tcPr>
          <w:p>
            <w:pPr>
              <w:spacing w:after="0"/>
              <w:rPr>
                <w:sz w:val="15"/>
                <w:szCs w:val="15"/>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32,440</w:t>
            </w:r>
          </w:p>
        </w:tc>
        <w:tc>
          <w:tcPr>
            <w:tcW w:w="9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(5.6)</w:t>
            </w:r>
          </w:p>
        </w:tc>
        <w:tc>
          <w:tcPr>
            <w:tcW w:w="13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(5.7)</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(6.0)</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Advertising</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3,969</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4,507</w:t>
            </w:r>
          </w:p>
        </w:tc>
        <w:tc>
          <w:tcPr>
            <w:tcW w:w="9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(12.7)</w:t>
            </w:r>
          </w:p>
        </w:tc>
        <w:tc>
          <w:tcPr>
            <w:tcW w:w="13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(12.8)</w:t>
            </w:r>
          </w:p>
        </w:tc>
        <w:tc>
          <w:tcPr>
            <w:tcW w:w="9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0.9</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5,820</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6,378</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7,095</w:t>
            </w:r>
          </w:p>
        </w:tc>
        <w:tc>
          <w:tcPr>
            <w:tcW w:w="9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(8.7)</w:t>
            </w:r>
          </w:p>
        </w:tc>
        <w:tc>
          <w:tcPr>
            <w:tcW w:w="13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(8.7)</w:t>
            </w: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(10.1)</w:t>
            </w:r>
          </w:p>
        </w:tc>
        <w:tc>
          <w:tcPr>
            <w:tcW w:w="9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71,946</w:t>
            </w: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72,386</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72,694</w:t>
            </w:r>
          </w:p>
        </w:tc>
        <w:tc>
          <w:tcPr>
            <w:tcW w:w="9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(0.6)</w:t>
            </w:r>
          </w:p>
        </w:tc>
        <w:tc>
          <w:tcPr>
            <w:tcW w:w="13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(0.7)</w:t>
            </w: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Programming</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18,067</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18,500</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20,542</w:t>
            </w:r>
          </w:p>
        </w:tc>
        <w:tc>
          <w:tcPr>
            <w:tcW w:w="9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(2.3)</w:t>
            </w:r>
          </w:p>
        </w:tc>
        <w:tc>
          <w:tcPr>
            <w:tcW w:w="13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(2.5)</w:t>
            </w: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(9.9)</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26,932</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27,775</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26,964</w:t>
            </w:r>
          </w:p>
        </w:tc>
        <w:tc>
          <w:tcPr>
            <w:tcW w:w="9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(3.0)</w:t>
            </w:r>
          </w:p>
        </w:tc>
        <w:tc>
          <w:tcPr>
            <w:tcW w:w="13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(3.3)</w:t>
            </w:r>
          </w:p>
        </w:tc>
        <w:tc>
          <w:tcPr>
            <w:tcW w:w="9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3.0</w:t>
            </w: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3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44,998</w:t>
            </w:r>
          </w:p>
        </w:tc>
        <w:tc>
          <w:tcPr>
            <w:tcW w:w="3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46,275</w:t>
            </w: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47,506</w:t>
            </w:r>
          </w:p>
        </w:tc>
        <w:tc>
          <w:tcPr>
            <w:tcW w:w="9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(2.8)</w:t>
            </w:r>
          </w:p>
        </w:tc>
        <w:tc>
          <w:tcPr>
            <w:tcW w:w="134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(3.0)</w:t>
            </w:r>
          </w:p>
        </w:tc>
        <w:tc>
          <w:tcPr>
            <w:tcW w:w="9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(2.6)</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40" w:type="dxa"/>
            <w:vAlign w:val="bottom"/>
            <w:tcBorders>
              <w:bottom w:val="single" w:sz="8" w:color="0C6DFF"/>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26,948</w:t>
            </w:r>
          </w:p>
        </w:tc>
        <w:tc>
          <w:tcPr>
            <w:tcW w:w="340" w:type="dxa"/>
            <w:vAlign w:val="bottom"/>
            <w:tcBorders>
              <w:bottom w:val="single" w:sz="8" w:color="0C6DFF"/>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26,111</w:t>
            </w:r>
          </w:p>
        </w:tc>
        <w:tc>
          <w:tcPr>
            <w:tcW w:w="340" w:type="dxa"/>
            <w:vAlign w:val="bottom"/>
            <w:tcBorders>
              <w:bottom w:val="single" w:sz="8" w:color="0C6DFF"/>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0C6DFF"/>
            </w:tcBorders>
          </w:tcPr>
          <w:p>
            <w:pPr>
              <w:jc w:val="right"/>
              <w:ind w:right="330"/>
              <w:spacing w:after="0"/>
              <w:rPr>
                <w:sz w:val="20"/>
                <w:szCs w:val="20"/>
                <w:color w:val="auto"/>
              </w:rPr>
            </w:pPr>
            <w:r>
              <w:rPr>
                <w:rFonts w:ascii="Times New Roman" w:cs="Times New Roman" w:eastAsia="Times New Roman" w:hAnsi="Times New Roman"/>
                <w:sz w:val="14"/>
                <w:szCs w:val="14"/>
                <w:color w:val="auto"/>
              </w:rPr>
              <w:t>25,188</w:t>
            </w:r>
          </w:p>
        </w:tc>
        <w:tc>
          <w:tcPr>
            <w:tcW w:w="960" w:type="dxa"/>
            <w:vAlign w:val="bottom"/>
            <w:tcBorders>
              <w:bottom w:val="single" w:sz="8" w:color="0C6DFF"/>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3.2 %</w:t>
            </w:r>
          </w:p>
        </w:tc>
        <w:tc>
          <w:tcPr>
            <w:tcW w:w="1340" w:type="dxa"/>
            <w:vAlign w:val="bottom"/>
            <w:tcBorders>
              <w:bottom w:val="single" w:sz="8" w:color="0C6DFF"/>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3.3 %</w:t>
            </w:r>
          </w:p>
        </w:tc>
        <w:tc>
          <w:tcPr>
            <w:tcW w:w="92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4"/>
                <w:szCs w:val="14"/>
                <w:color w:val="auto"/>
              </w:rPr>
              <w:t>3.7 %</w:t>
            </w:r>
          </w:p>
        </w:tc>
        <w:tc>
          <w:tcPr>
            <w:tcW w:w="9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00" w:hanging="195"/>
        <w:spacing w:after="0" w:line="280" w:lineRule="auto"/>
        <w:tabs>
          <w:tab w:leader="none" w:pos="198"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Constant currency is a non-GAAP financial measure. Refer to the “Non-GAAP Financial Measures” section on page 47 for additional information, including our definition and our use of constant currency, and for a reconciliation of constant currency amounts.</w:t>
      </w:r>
    </w:p>
    <w:p>
      <w:pPr>
        <w:spacing w:after="0" w:line="329"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39</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Residential Connectivity &amp; Platforms Segment – Revenue</w:t>
      </w:r>
    </w:p>
    <w:p>
      <w:pPr>
        <w:spacing w:after="0" w:line="94"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006EBF"/>
        </w:rPr>
        <w:t xml:space="preserve">Domestic broadband revenue </w:t>
      </w:r>
      <w:r>
        <w:rPr>
          <w:rFonts w:ascii="Times New Roman" w:cs="Times New Roman" w:eastAsia="Times New Roman" w:hAnsi="Times New Roman"/>
          <w:sz w:val="14"/>
          <w:szCs w:val="14"/>
          <w:color w:val="000000"/>
        </w:rPr>
        <w:t>consists of revenue from sales of broadband services to residential customers in the United States, including equipment and installation services. Domestic broadband</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revenue also includes revenue related to Xumo Stream Boxes and commission revenue from the sale of certain DTC streaming services.</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Domestic broadband revenue increased in 2023 and 2022 primarily due to an increase in average rates. The increase in 2022 also includes an increase in the number of residential broadband customers.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006EBF"/>
        </w:rPr>
        <w:t xml:space="preserve">Domestic wireless revenue </w:t>
      </w:r>
      <w:r>
        <w:rPr>
          <w:rFonts w:ascii="Times New Roman" w:cs="Times New Roman" w:eastAsia="Times New Roman" w:hAnsi="Times New Roman"/>
          <w:sz w:val="14"/>
          <w:szCs w:val="14"/>
          <w:color w:val="000000"/>
        </w:rPr>
        <w:t>consists of revenue from sales of wireless services and devices, including handsets, tablets and smart watches, to residential customers in the United States.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Domestic wireless revenue increased in 2023 and 2022 primarily due to an increase in the number of customer lines. Wireless devices sales were consistent in 2023 compared to 2022 and increased in 2022 compared to 2021.</w:t>
      </w:r>
    </w:p>
    <w:p>
      <w:pPr>
        <w:spacing w:after="0" w:line="39"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006EBF"/>
        </w:rPr>
        <w:t xml:space="preserve">International connectivity revenue </w:t>
      </w:r>
      <w:r>
        <w:rPr>
          <w:rFonts w:ascii="Times New Roman" w:cs="Times New Roman" w:eastAsia="Times New Roman" w:hAnsi="Times New Roman"/>
          <w:sz w:val="14"/>
          <w:szCs w:val="14"/>
          <w:color w:val="000000"/>
        </w:rPr>
        <w:t>consists of revenue from sales of broadband services, including equipment and installation services, wireless services and wireless devices to residential</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customers in the United Kingdom and Italy, as well as commission revenue from the sale of certain third-party DTC streaming services.</w:t>
      </w:r>
    </w:p>
    <w:p>
      <w:pPr>
        <w:jc w:val="both"/>
        <w:spacing w:after="0" w:line="287" w:lineRule="auto"/>
        <w:rPr>
          <w:sz w:val="20"/>
          <w:szCs w:val="20"/>
          <w:color w:val="auto"/>
        </w:rPr>
      </w:pPr>
      <w:r>
        <w:rPr>
          <w:rFonts w:ascii="Times New Roman" w:cs="Times New Roman" w:eastAsia="Times New Roman" w:hAnsi="Times New Roman"/>
          <w:sz w:val="14"/>
          <w:szCs w:val="14"/>
          <w:color w:val="auto"/>
        </w:rPr>
        <w:t>International connectivity revenue increased in 2023 and 2022 primarily due to increases in broadband and in wireless revenue resulting from increases in the sale of wireless devices and wireless services. International connectivity revenue included the negative impact of foreign currency in 2022.</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006EBF"/>
        </w:rPr>
        <w:t xml:space="preserve">Video revenue </w:t>
      </w:r>
      <w:r>
        <w:rPr>
          <w:rFonts w:ascii="Times New Roman" w:cs="Times New Roman" w:eastAsia="Times New Roman" w:hAnsi="Times New Roman"/>
          <w:sz w:val="14"/>
          <w:szCs w:val="14"/>
          <w:color w:val="000000"/>
        </w:rPr>
        <w:t>consists of revenue from sales of video services to residential and business customers across the Connectivity &amp; Platforms markets, including equipment and installation services.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Video revenue includes pay-per-view and other transactional revenue and franchise fees, as well as revenue from sales of certain hardware, including Sky Glass smart televisions.</w:t>
      </w:r>
    </w:p>
    <w:p>
      <w:pPr>
        <w:spacing w:after="0" w:line="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Video revenue decreased in 2023 and 2022 primarily due to declines in the overall number of residential video customers, partially offset by an overall increase in average rates. The decrease in 2022 includes the negative impact of foreign currency.</w:t>
      </w:r>
    </w:p>
    <w:p>
      <w:pPr>
        <w:spacing w:after="0" w:line="39"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006EBF"/>
        </w:rPr>
        <w:t xml:space="preserve">Advertising revenue </w:t>
      </w:r>
      <w:r>
        <w:rPr>
          <w:rFonts w:ascii="Times New Roman" w:cs="Times New Roman" w:eastAsia="Times New Roman" w:hAnsi="Times New Roman"/>
          <w:sz w:val="14"/>
          <w:szCs w:val="14"/>
          <w:color w:val="000000"/>
        </w:rPr>
        <w:t>includes revenue from the sale of advertising across our platforms in the Connectivity &amp; Platforms markets, including advertising as part of our distribution agreements with</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cable networks in the United States, and advertising on Sky-branded entertainment television networks and on our digital properties. Advertising also includes revenue where we represent the sales efforts of third parties and from our advanced advertising businesses.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revenue decreased in 2023 primarily due to a decline in domestic political advertising and overall market weakness compared to the prior year.</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Advertising revenue increased in 2022 primarily due to increases in domestic political advertising and revenue from our advanced advertising business, partially offset by the negative impact of foreign currency and lower local and national advertising revenue.</w:t>
      </w:r>
    </w:p>
    <w:p>
      <w:pPr>
        <w:spacing w:after="0" w:line="39"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006EBF"/>
        </w:rPr>
        <w:t xml:space="preserve">Other revenue </w:t>
      </w:r>
      <w:r>
        <w:rPr>
          <w:rFonts w:ascii="Times New Roman" w:cs="Times New Roman" w:eastAsia="Times New Roman" w:hAnsi="Times New Roman"/>
          <w:sz w:val="14"/>
          <w:szCs w:val="14"/>
          <w:color w:val="000000"/>
        </w:rPr>
        <w:t>includes revenue in the Connectivity &amp; Platforms markets from sales of wireline voice services to residential customers; our residential security and automation services businesses;</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the licensing of our technology platforms to other multichannel video providers; the distribution of certain of our Sky-branded entertainment television networks to third-party video service providers; commissions from electronic retailing networks; and certain billing and collection fees.</w:t>
      </w:r>
    </w:p>
    <w:p>
      <w:pPr>
        <w:spacing w:after="0" w:line="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revenue decreased in 2023 and 2022 primarily due to decreases in residential wireline voice revenue driven by declines in the number of customers. The decrease in 2022 includes the negative impact of foreign currency.</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Residential Connectivity &amp; Platforms Segment – Costs and Expenses</w:t>
      </w:r>
    </w:p>
    <w:p>
      <w:pPr>
        <w:spacing w:after="0" w:line="83"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006EBF"/>
        </w:rPr>
        <w:t xml:space="preserve">Programming expenses </w:t>
      </w:r>
      <w:r>
        <w:rPr>
          <w:rFonts w:ascii="Times New Roman" w:cs="Times New Roman" w:eastAsia="Times New Roman" w:hAnsi="Times New Roman"/>
          <w:sz w:val="14"/>
          <w:szCs w:val="14"/>
          <w:color w:val="000000"/>
        </w:rPr>
        <w:t>decreased in 2023 primarily due to a decline in the number of domestic video subscribers, partially offset by domestic contractual rate increases and an increase in</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programming expenses for international sports channels.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Programming expenses decreased in 2022 primarily due to a decline in the number of domestic video subscribers, a decrease in programming expenses for international sports channels and the impact of foreign currency, partially offset by domestic contractual rate increases.</w:t>
      </w:r>
    </w:p>
    <w:p>
      <w:pPr>
        <w:spacing w:after="0" w:line="39"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006EBF"/>
        </w:rPr>
        <w:t xml:space="preserve">Other expenses </w:t>
      </w:r>
      <w:r>
        <w:rPr>
          <w:rFonts w:ascii="Times New Roman" w:cs="Times New Roman" w:eastAsia="Times New Roman" w:hAnsi="Times New Roman"/>
          <w:sz w:val="14"/>
          <w:szCs w:val="14"/>
          <w:color w:val="000000"/>
        </w:rPr>
        <w:t>decreased in 2023 primarily due to decreased spending on marketing and promotion, lower technical and support costs, lower severance charges in 2023 compared to 2022 and a</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decrease in fees paid to third-party channels relating to advertising sales, partially offset by increased direct product costs associated with our wireless services resulting from increases in device sales and the number of customers receiving our services.</w:t>
      </w:r>
    </w:p>
    <w:p>
      <w:pPr>
        <w:spacing w:after="0" w:line="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expenses increased in 2022 primarily due to increased direct product costs, severance charges in 2022 and lower levels of bad debt expense in 2021, partially offset by the impact of foreign currency, decreased franchise and other regulatory fees, and decreased customer service expenses.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40</w:t>
            </w:r>
          </w:p>
        </w:tc>
      </w:tr>
      <w:tr>
        <w:trPr>
          <w:trHeight w:val="25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Business Services Connectivity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5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ind w:left="620"/>
              <w:spacing w:after="0" w:line="117" w:lineRule="exact"/>
              <w:rPr>
                <w:sz w:val="20"/>
                <w:szCs w:val="20"/>
                <w:color w:val="auto"/>
              </w:rPr>
            </w:pPr>
            <w:r>
              <w:rPr>
                <w:rFonts w:ascii="Times New Roman" w:cs="Times New Roman" w:eastAsia="Times New Roman" w:hAnsi="Times New Roman"/>
                <w:sz w:val="11"/>
                <w:szCs w:val="11"/>
                <w:b w:val="1"/>
                <w:bCs w:val="1"/>
                <w:color w:val="auto"/>
              </w:rPr>
              <w:t>Change</w:t>
            </w:r>
          </w:p>
        </w:tc>
        <w:tc>
          <w:tcPr>
            <w:tcW w:w="960" w:type="dxa"/>
            <w:vAlign w:val="bottom"/>
            <w:tcBorders>
              <w:top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Change</w:t>
            </w:r>
          </w:p>
        </w:tc>
        <w:tc>
          <w:tcPr>
            <w:tcW w:w="0" w:type="dxa"/>
            <w:vAlign w:val="bottom"/>
          </w:tcPr>
          <w:p>
            <w:pPr>
              <w:spacing w:after="0"/>
              <w:rPr>
                <w:sz w:val="1"/>
                <w:szCs w:val="1"/>
                <w:color w:val="auto"/>
              </w:rPr>
            </w:pPr>
          </w:p>
        </w:tc>
      </w:tr>
      <w:tr>
        <w:trPr>
          <w:trHeight w:val="76"/>
        </w:trPr>
        <w:tc>
          <w:tcPr>
            <w:tcW w:w="45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520" w:type="dxa"/>
            <w:vAlign w:val="bottom"/>
          </w:tcPr>
          <w:p>
            <w:pPr>
              <w:spacing w:after="0"/>
              <w:rPr>
                <w:sz w:val="6"/>
                <w:szCs w:val="6"/>
                <w:color w:val="auto"/>
              </w:rPr>
            </w:pPr>
          </w:p>
        </w:tc>
        <w:tc>
          <w:tcPr>
            <w:tcW w:w="1200" w:type="dxa"/>
            <w:vAlign w:val="bottom"/>
            <w:vMerge w:val="restart"/>
          </w:tcPr>
          <w:p>
            <w:pPr>
              <w:jc w:val="right"/>
              <w:ind w:right="333"/>
              <w:spacing w:after="0"/>
              <w:rPr>
                <w:sz w:val="20"/>
                <w:szCs w:val="20"/>
                <w:color w:val="auto"/>
              </w:rPr>
            </w:pPr>
            <w:r>
              <w:rPr>
                <w:rFonts w:ascii="Times New Roman" w:cs="Times New Roman" w:eastAsia="Times New Roman" w:hAnsi="Times New Roman"/>
                <w:sz w:val="11"/>
                <w:szCs w:val="11"/>
                <w:color w:val="auto"/>
              </w:rPr>
              <w:t>2021</w:t>
            </w:r>
          </w:p>
        </w:tc>
        <w:tc>
          <w:tcPr>
            <w:tcW w:w="1360" w:type="dxa"/>
            <w:vAlign w:val="bottom"/>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2021 to 2022</w:t>
            </w:r>
          </w:p>
        </w:tc>
        <w:tc>
          <w:tcPr>
            <w:tcW w:w="0" w:type="dxa"/>
            <w:vAlign w:val="bottom"/>
          </w:tcPr>
          <w:p>
            <w:pPr>
              <w:spacing w:after="0"/>
              <w:rPr>
                <w:sz w:val="1"/>
                <w:szCs w:val="1"/>
                <w:color w:val="auto"/>
              </w:rPr>
            </w:pPr>
          </w:p>
        </w:tc>
      </w:tr>
      <w:tr>
        <w:trPr>
          <w:trHeight w:val="78"/>
        </w:trPr>
        <w:tc>
          <w:tcPr>
            <w:tcW w:w="45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9,255</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8,819</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4"/>
                <w:szCs w:val="14"/>
                <w:color w:val="auto"/>
              </w:rPr>
              <w:t>8,056</w:t>
            </w:r>
          </w:p>
        </w:tc>
        <w:tc>
          <w:tcPr>
            <w:tcW w:w="1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4.9 %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3,964</w:t>
            </w: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5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3,374</w:t>
            </w:r>
          </w:p>
        </w:tc>
        <w:tc>
          <w:tcPr>
            <w:tcW w:w="13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5.4</w:t>
            </w:r>
          </w:p>
        </w:tc>
        <w:tc>
          <w:tcPr>
            <w:tcW w:w="9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520" w:type="dxa"/>
            <w:vAlign w:val="bottom"/>
            <w:tcBorders>
              <w:bottom w:val="single" w:sz="8" w:color="0C6D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5,291</w:t>
            </w:r>
          </w:p>
        </w:tc>
        <w:tc>
          <w:tcPr>
            <w:tcW w:w="520" w:type="dxa"/>
            <w:vAlign w:val="bottom"/>
            <w:tcBorders>
              <w:bottom w:val="single" w:sz="8" w:color="0C6D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w:t>
            </w:r>
          </w:p>
        </w:tc>
        <w:tc>
          <w:tcPr>
            <w:tcW w:w="520" w:type="dxa"/>
            <w:vAlign w:val="bottom"/>
            <w:tcBorders>
              <w:bottom w:val="single" w:sz="8" w:color="0C6D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0C6D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4"/>
                <w:szCs w:val="14"/>
                <w:color w:val="auto"/>
              </w:rPr>
              <w:t>4,682</w:t>
            </w:r>
          </w:p>
        </w:tc>
        <w:tc>
          <w:tcPr>
            <w:tcW w:w="1360" w:type="dxa"/>
            <w:vAlign w:val="bottom"/>
            <w:tcBorders>
              <w:bottom w:val="single" w:sz="8" w:color="0C6D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4.6 %</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006EBF"/>
        </w:rPr>
        <w:t xml:space="preserve">Business services connectivity revenue </w:t>
      </w:r>
      <w:r>
        <w:rPr>
          <w:rFonts w:ascii="Times New Roman" w:cs="Times New Roman" w:eastAsia="Times New Roman" w:hAnsi="Times New Roman"/>
          <w:sz w:val="14"/>
          <w:szCs w:val="14"/>
          <w:color w:val="000000"/>
        </w:rPr>
        <w:t>primarily consists of revenue from our service offerings for small business locations in the United States, which include broadband, wireline voice and</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wireless services, as well as our service offerings for medium-sized customers and larger enterprises, and our small business connectivity service offerings in the United Kingdom.</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Business services connectivity revenue increased in 2023 primarily due to an increase in revenue from small business customers, driven by an increase in average rates, and an increase in revenue from medium-sized and enterprise customers.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Business services connectivity revenue increased in 2022 primarily due to an increase in revenue from medium-sized and enterprise customers, primarily due to the acquisition of Masergy in October 2021, and an increase in revenue from small business customers, driven by an increase in average rates and customer relationships compared to 2021.</w:t>
      </w:r>
    </w:p>
    <w:p>
      <w:pPr>
        <w:spacing w:after="0" w:line="8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006EBF"/>
        </w:rPr>
        <w:t xml:space="preserve">Business services connectivity costs and expenses </w:t>
      </w:r>
      <w:r>
        <w:rPr>
          <w:rFonts w:ascii="Times New Roman" w:cs="Times New Roman" w:eastAsia="Times New Roman" w:hAnsi="Times New Roman"/>
          <w:sz w:val="14"/>
          <w:szCs w:val="14"/>
          <w:color w:val="000000"/>
        </w:rPr>
        <w:t>increased in 2023 primarily due to increases in direct product costs, higher severance in 2023 compared to 2022, increased spending on</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marketing and promotion, higher technical and support expenses, and higher customer service expenses.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Business services connectivity costs and expenses increased in 2022 primarily due to an increase in direct product costs, an increase in technical and support expenses driven by the acquisition of Masergy in October 2021, and increased spending on marketing and promotion.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Content &amp; Experiences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60" w:type="dxa"/>
            <w:vAlign w:val="bottom"/>
          </w:tcPr>
          <w:p>
            <w:pPr>
              <w:ind w:left="7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Change</w:t>
            </w:r>
          </w:p>
        </w:tc>
      </w:tr>
      <w:tr>
        <w:trPr>
          <w:trHeight w:val="169"/>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1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1"/>
                <w:szCs w:val="11"/>
                <w:color w:val="auto"/>
              </w:rPr>
              <w:t>2021</w:t>
            </w:r>
          </w:p>
        </w:tc>
        <w:tc>
          <w:tcPr>
            <w:tcW w:w="15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 to 2022</w:t>
            </w: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Media</w:t>
            </w:r>
          </w:p>
        </w:tc>
        <w:tc>
          <w:tcPr>
            <w:tcW w:w="12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25,355</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26,719</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4"/>
                <w:szCs w:val="14"/>
                <w:color w:val="auto"/>
              </w:rPr>
              <w:t>27,406</w:t>
            </w:r>
          </w:p>
        </w:tc>
        <w:tc>
          <w:tcPr>
            <w:tcW w:w="15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(5.1)%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Studios</w:t>
            </w:r>
          </w:p>
        </w:tc>
        <w:tc>
          <w:tcPr>
            <w:tcW w:w="1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11,625</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12,257</w:t>
            </w: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rPr>
              <w:t>10,077</w:t>
            </w:r>
          </w:p>
        </w:tc>
        <w:tc>
          <w:tcPr>
            <w:tcW w:w="156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(5.2)</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21.6</w:t>
            </w:r>
          </w:p>
        </w:tc>
      </w:tr>
      <w:tr>
        <w:trPr>
          <w:trHeight w:val="18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Theme Parks</w:t>
            </w:r>
          </w:p>
        </w:tc>
        <w:tc>
          <w:tcPr>
            <w:tcW w:w="1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8,947</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400" w:type="dxa"/>
            <w:vAlign w:val="bottom"/>
          </w:tcPr>
          <w:p>
            <w:pPr>
              <w:spacing w:after="0"/>
              <w:rPr>
                <w:sz w:val="15"/>
                <w:szCs w:val="15"/>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4"/>
                <w:szCs w:val="14"/>
                <w:color w:val="auto"/>
              </w:rPr>
              <w:t>5,051</w:t>
            </w:r>
          </w:p>
        </w:tc>
        <w:tc>
          <w:tcPr>
            <w:tcW w:w="15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18.6</w:t>
            </w: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49.3</w:t>
            </w: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Headquarters and Other</w:t>
            </w:r>
          </w:p>
        </w:tc>
        <w:tc>
          <w:tcPr>
            <w:tcW w:w="1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rPr>
              <w:t>87</w:t>
            </w:r>
          </w:p>
        </w:tc>
        <w:tc>
          <w:tcPr>
            <w:tcW w:w="156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(15.4)</w:t>
            </w:r>
          </w:p>
        </w:tc>
        <w:tc>
          <w:tcPr>
            <w:tcW w:w="10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(13.6)</w:t>
            </w:r>
          </w:p>
        </w:tc>
      </w:tr>
      <w:tr>
        <w:trPr>
          <w:trHeight w:val="180"/>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(2,800)</w:t>
            </w: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(3,442)</w:t>
            </w: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(3,048)</w:t>
            </w:r>
          </w:p>
        </w:tc>
        <w:tc>
          <w:tcPr>
            <w:tcW w:w="15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18.7</w:t>
            </w:r>
          </w:p>
        </w:tc>
        <w:tc>
          <w:tcPr>
            <w:tcW w:w="10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(12.9)</w:t>
            </w:r>
          </w:p>
        </w:tc>
      </w:tr>
      <w:tr>
        <w:trPr>
          <w:trHeight w:val="171"/>
        </w:trPr>
        <w:tc>
          <w:tcPr>
            <w:tcW w:w="38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Content &amp; Experiences revenue</w:t>
            </w:r>
          </w:p>
        </w:tc>
        <w:tc>
          <w:tcPr>
            <w:tcW w:w="1280" w:type="dxa"/>
            <w:vAlign w:val="bottom"/>
            <w:tcBorders>
              <w:bottom w:val="single" w:sz="8" w:color="0C6D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43,191</w:t>
            </w:r>
          </w:p>
        </w:tc>
        <w:tc>
          <w:tcPr>
            <w:tcW w:w="400" w:type="dxa"/>
            <w:vAlign w:val="bottom"/>
            <w:tcBorders>
              <w:bottom w:val="single" w:sz="8" w:color="0C6D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43,151</w:t>
            </w:r>
          </w:p>
        </w:tc>
        <w:tc>
          <w:tcPr>
            <w:tcW w:w="400" w:type="dxa"/>
            <w:vAlign w:val="bottom"/>
            <w:tcBorders>
              <w:bottom w:val="single" w:sz="8" w:color="0C6D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0C6D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rPr>
              <w:t>39,574</w:t>
            </w:r>
          </w:p>
        </w:tc>
        <w:tc>
          <w:tcPr>
            <w:tcW w:w="1560" w:type="dxa"/>
            <w:vAlign w:val="bottom"/>
            <w:tcBorders>
              <w:bottom w:val="single" w:sz="8" w:color="0C6D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0.1 %</w:t>
            </w:r>
          </w:p>
        </w:tc>
        <w:tc>
          <w:tcPr>
            <w:tcW w:w="10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Media</w:t>
            </w:r>
          </w:p>
        </w:tc>
        <w:tc>
          <w:tcPr>
            <w:tcW w:w="12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2,955</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rPr>
              <w:t>5,133</w:t>
            </w:r>
          </w:p>
        </w:tc>
        <w:tc>
          <w:tcPr>
            <w:tcW w:w="156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(17.9)%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18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Studios</w:t>
            </w:r>
          </w:p>
        </w:tc>
        <w:tc>
          <w:tcPr>
            <w:tcW w:w="1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1,269</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400" w:type="dxa"/>
            <w:vAlign w:val="bottom"/>
          </w:tcPr>
          <w:p>
            <w:pPr>
              <w:spacing w:after="0"/>
              <w:rPr>
                <w:sz w:val="15"/>
                <w:szCs w:val="15"/>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4"/>
                <w:szCs w:val="14"/>
                <w:color w:val="auto"/>
              </w:rPr>
              <w:t>879</w:t>
            </w:r>
          </w:p>
        </w:tc>
        <w:tc>
          <w:tcPr>
            <w:tcW w:w="15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32.0</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9.4</w:t>
            </w: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Theme Parks</w:t>
            </w:r>
          </w:p>
        </w:tc>
        <w:tc>
          <w:tcPr>
            <w:tcW w:w="1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3,345</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rPr>
              <w:t>1,267</w:t>
            </w:r>
          </w:p>
        </w:tc>
        <w:tc>
          <w:tcPr>
            <w:tcW w:w="156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24.7</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111.7</w:t>
            </w:r>
          </w:p>
        </w:tc>
      </w:tr>
      <w:tr>
        <w:trPr>
          <w:trHeight w:val="18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Headquarters and Other</w:t>
            </w:r>
          </w:p>
        </w:tc>
        <w:tc>
          <w:tcPr>
            <w:tcW w:w="1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(946)</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400" w:type="dxa"/>
            <w:vAlign w:val="bottom"/>
          </w:tcPr>
          <w:p>
            <w:pPr>
              <w:spacing w:after="0"/>
              <w:rPr>
                <w:sz w:val="15"/>
                <w:szCs w:val="15"/>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rPr>
              <w:t>(840)</w:t>
            </w:r>
          </w:p>
        </w:tc>
        <w:tc>
          <w:tcPr>
            <w:tcW w:w="15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(7.5)</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(4.8)</w:t>
            </w:r>
          </w:p>
        </w:tc>
      </w:tr>
      <w:tr>
        <w:trPr>
          <w:trHeight w:val="180"/>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2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w:t>
            </w: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(205)</w:t>
            </w:r>
          </w:p>
        </w:tc>
        <w:tc>
          <w:tcPr>
            <w:tcW w:w="15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NM</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99.1</w:t>
            </w:r>
          </w:p>
        </w:tc>
      </w:tr>
      <w:tr>
        <w:trPr>
          <w:trHeight w:val="171"/>
        </w:trPr>
        <w:tc>
          <w:tcPr>
            <w:tcW w:w="38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Content &amp; Experiences Adjusted EBITDA</w:t>
            </w:r>
          </w:p>
        </w:tc>
        <w:tc>
          <w:tcPr>
            <w:tcW w:w="1280" w:type="dxa"/>
            <w:vAlign w:val="bottom"/>
            <w:tcBorders>
              <w:bottom w:val="single" w:sz="8" w:color="0C6DFF"/>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6,700</w:t>
            </w:r>
          </w:p>
        </w:tc>
        <w:tc>
          <w:tcPr>
            <w:tcW w:w="400" w:type="dxa"/>
            <w:vAlign w:val="bottom"/>
            <w:tcBorders>
              <w:bottom w:val="single" w:sz="8" w:color="0C6DFF"/>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6,360</w:t>
            </w:r>
          </w:p>
        </w:tc>
        <w:tc>
          <w:tcPr>
            <w:tcW w:w="400" w:type="dxa"/>
            <w:vAlign w:val="bottom"/>
            <w:tcBorders>
              <w:bottom w:val="single" w:sz="8" w:color="0C6DFF"/>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0C6DFF"/>
            </w:tcBorders>
          </w:tcPr>
          <w:p>
            <w:pPr>
              <w:jc w:val="right"/>
              <w:ind w:right="450"/>
              <w:spacing w:after="0"/>
              <w:rPr>
                <w:sz w:val="20"/>
                <w:szCs w:val="20"/>
                <w:color w:val="auto"/>
              </w:rPr>
            </w:pPr>
            <w:r>
              <w:rPr>
                <w:rFonts w:ascii="Times New Roman" w:cs="Times New Roman" w:eastAsia="Times New Roman" w:hAnsi="Times New Roman"/>
                <w:sz w:val="14"/>
                <w:szCs w:val="14"/>
                <w:color w:val="auto"/>
              </w:rPr>
              <w:t>6,234</w:t>
            </w:r>
          </w:p>
        </w:tc>
        <w:tc>
          <w:tcPr>
            <w:tcW w:w="1560" w:type="dxa"/>
            <w:vAlign w:val="bottom"/>
            <w:tcBorders>
              <w:bottom w:val="single" w:sz="8" w:color="0C6DFF"/>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5.4 %</w:t>
            </w:r>
          </w:p>
        </w:tc>
        <w:tc>
          <w:tcPr>
            <w:tcW w:w="10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Percentage changes that are considered not meaningful are denoted with NM.</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operate our Media segment as a combined television and streaming business. We expect that the number of subscribers and audience ratings at our linear television networks will continue to decline as a result of the competitive environment and shifting video consumption patterns, which we aim to mitigate over time by continued growth in paid subscribers and advertising revenue at Peacock. We expect to continue to incur significant costs related to additional content and marketing at Peacock. Revenue and programming expenses are also impacted by the timing of certain sporting events, including the Olympics, Super Bowl and FIFA World Cup in 2022. Global economic conditions and consumer sentiment have in the past, and may continue to, adversely impact demand for our products and services and our results of operations.</w:t>
      </w:r>
    </w:p>
    <w:p>
      <w:pPr>
        <w:spacing w:after="0" w:line="383"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41</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Studios segment generates revenue primarily from third parties and from licensing content to our Media segment. While results of operations for our Studios segment are not impacted, results for our total Content &amp; Experiences business may be impacted as the Studios segment licenses content to the Media segment, including for Peacock, rather than licensing the content to third parties. The Writers Guild of America and the SAG work stoppages from May to September 2023 and July to November 2023, respectively, paused productions, which primarily resulted in reduced content licensing revenue at our Studios segment and reduced programming and production costs at both our Studios and Media segments.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continue to invest significantly in existing and new theme park attractions, hotels and infrastructure, including Epic Universe in Orlando, as well as in new destinations and experiences, which we believe will have a positive impact on attendance and guest spending at our theme parks. Our results in prior periods were impacted by temporary restrictions and closures at our international theme parks due to COVID-19.</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Media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60" w:type="dxa"/>
            <w:vAlign w:val="bottom"/>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Change</w:t>
            </w:r>
          </w:p>
        </w:tc>
      </w:tr>
      <w:tr>
        <w:trPr>
          <w:trHeight w:val="169"/>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18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color w:val="auto"/>
              </w:rPr>
              <w:t>2021</w:t>
            </w:r>
          </w:p>
        </w:tc>
        <w:tc>
          <w:tcPr>
            <w:tcW w:w="15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 to 2022</w:t>
            </w: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Domestic advertising</w:t>
            </w:r>
          </w:p>
        </w:tc>
        <w:tc>
          <w:tcPr>
            <w:tcW w:w="18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8,600</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10,360</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10,177</w:t>
            </w:r>
          </w:p>
        </w:tc>
        <w:tc>
          <w:tcPr>
            <w:tcW w:w="15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(17.0)%</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Domestic distribution</w:t>
            </w:r>
          </w:p>
        </w:tc>
        <w:tc>
          <w:tcPr>
            <w:tcW w:w="18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10,663</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10,525</w:t>
            </w: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10,080</w:t>
            </w:r>
          </w:p>
        </w:tc>
        <w:tc>
          <w:tcPr>
            <w:tcW w:w="15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1.3</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International networks</w:t>
            </w:r>
          </w:p>
        </w:tc>
        <w:tc>
          <w:tcPr>
            <w:tcW w:w="18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4,109</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400" w:type="dxa"/>
            <w:vAlign w:val="bottom"/>
          </w:tcPr>
          <w:p>
            <w:pPr>
              <w:spacing w:after="0"/>
              <w:rPr>
                <w:sz w:val="15"/>
                <w:szCs w:val="15"/>
                <w:color w:val="auto"/>
              </w:rPr>
            </w:pPr>
          </w:p>
        </w:tc>
        <w:tc>
          <w:tcPr>
            <w:tcW w:w="122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5,060</w:t>
            </w:r>
          </w:p>
        </w:tc>
        <w:tc>
          <w:tcPr>
            <w:tcW w:w="15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10.2</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(26.3)</w:t>
            </w:r>
          </w:p>
        </w:tc>
      </w:tr>
      <w:tr>
        <w:trPr>
          <w:trHeight w:val="180"/>
        </w:trPr>
        <w:tc>
          <w:tcPr>
            <w:tcW w:w="32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8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1,983</w:t>
            </w: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4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2,090</w:t>
            </w:r>
          </w:p>
        </w:tc>
        <w:tc>
          <w:tcPr>
            <w:tcW w:w="156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(5.8)</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0.7</w:t>
            </w:r>
          </w:p>
        </w:tc>
      </w:tr>
      <w:tr>
        <w:trPr>
          <w:trHeight w:val="171"/>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8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25,355</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26,719</w:t>
            </w:r>
          </w:p>
        </w:tc>
        <w:tc>
          <w:tcPr>
            <w:tcW w:w="400" w:type="dxa"/>
            <w:vAlign w:val="bottom"/>
          </w:tcPr>
          <w:p>
            <w:pPr>
              <w:spacing w:after="0"/>
              <w:rPr>
                <w:sz w:val="14"/>
                <w:szCs w:val="14"/>
                <w:color w:val="auto"/>
              </w:rPr>
            </w:pPr>
          </w:p>
        </w:tc>
        <w:tc>
          <w:tcPr>
            <w:tcW w:w="122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27,406</w:t>
            </w: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(5.1)</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Programming and production</w:t>
            </w:r>
          </w:p>
        </w:tc>
        <w:tc>
          <w:tcPr>
            <w:tcW w:w="18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16,921</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17,650</w:t>
            </w:r>
          </w:p>
        </w:tc>
        <w:tc>
          <w:tcPr>
            <w:tcW w:w="400" w:type="dxa"/>
            <w:vAlign w:val="bottom"/>
          </w:tcPr>
          <w:p>
            <w:pPr>
              <w:spacing w:after="0"/>
              <w:rPr>
                <w:sz w:val="15"/>
                <w:szCs w:val="15"/>
                <w:color w:val="auto"/>
              </w:rPr>
            </w:pPr>
          </w:p>
        </w:tc>
        <w:tc>
          <w:tcPr>
            <w:tcW w:w="122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17,398</w:t>
            </w: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(4.1)</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Marketing and promotion</w:t>
            </w:r>
          </w:p>
        </w:tc>
        <w:tc>
          <w:tcPr>
            <w:tcW w:w="18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1,389</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1,264</w:t>
            </w:r>
          </w:p>
        </w:tc>
        <w:tc>
          <w:tcPr>
            <w:tcW w:w="15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(8.7)</w:t>
            </w: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20.3</w:t>
            </w:r>
          </w:p>
        </w:tc>
      </w:tr>
      <w:tr>
        <w:trPr>
          <w:trHeight w:val="180"/>
        </w:trPr>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8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4,091</w:t>
            </w: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rPr>
              <w:t>3,611</w:t>
            </w:r>
          </w:p>
        </w:tc>
        <w:tc>
          <w:tcPr>
            <w:tcW w:w="15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3.5</w:t>
            </w: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9.4</w:t>
            </w:r>
          </w:p>
        </w:tc>
      </w:tr>
      <w:tr>
        <w:trPr>
          <w:trHeight w:val="171"/>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8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22,400</w:t>
            </w:r>
          </w:p>
        </w:tc>
        <w:tc>
          <w:tcPr>
            <w:tcW w:w="4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23,121</w:t>
            </w:r>
          </w:p>
        </w:tc>
        <w:tc>
          <w:tcPr>
            <w:tcW w:w="4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22,273</w:t>
            </w:r>
          </w:p>
        </w:tc>
        <w:tc>
          <w:tcPr>
            <w:tcW w:w="156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(3.1)</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3.8</w:t>
            </w:r>
          </w:p>
        </w:tc>
      </w:tr>
      <w:tr>
        <w:trPr>
          <w:trHeight w:val="171"/>
        </w:trPr>
        <w:tc>
          <w:tcPr>
            <w:tcW w:w="32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860" w:type="dxa"/>
            <w:vAlign w:val="bottom"/>
            <w:tcBorders>
              <w:bottom w:val="single" w:sz="8" w:color="0C6DFF"/>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2,955</w:t>
            </w:r>
          </w:p>
        </w:tc>
        <w:tc>
          <w:tcPr>
            <w:tcW w:w="400" w:type="dxa"/>
            <w:vAlign w:val="bottom"/>
            <w:tcBorders>
              <w:bottom w:val="single" w:sz="8" w:color="0C6DFF"/>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400" w:type="dxa"/>
            <w:vAlign w:val="bottom"/>
            <w:tcBorders>
              <w:bottom w:val="single" w:sz="8" w:color="0C6DFF"/>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0C6DFF"/>
            </w:tcBorders>
          </w:tcPr>
          <w:p>
            <w:pPr>
              <w:jc w:val="right"/>
              <w:ind w:right="451"/>
              <w:spacing w:after="0"/>
              <w:rPr>
                <w:sz w:val="20"/>
                <w:szCs w:val="20"/>
                <w:color w:val="auto"/>
              </w:rPr>
            </w:pPr>
            <w:r>
              <w:rPr>
                <w:rFonts w:ascii="Times New Roman" w:cs="Times New Roman" w:eastAsia="Times New Roman" w:hAnsi="Times New Roman"/>
                <w:sz w:val="14"/>
                <w:szCs w:val="14"/>
                <w:color w:val="auto"/>
              </w:rPr>
              <w:t>5,133</w:t>
            </w:r>
          </w:p>
        </w:tc>
        <w:tc>
          <w:tcPr>
            <w:tcW w:w="1560" w:type="dxa"/>
            <w:vAlign w:val="bottom"/>
            <w:tcBorders>
              <w:bottom w:val="single" w:sz="8" w:color="0C6DFF"/>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(17.9)%</w:t>
            </w:r>
          </w:p>
        </w:tc>
        <w:tc>
          <w:tcPr>
            <w:tcW w:w="10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(29.9)%</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 Segment – Revenue</w:t>
      </w:r>
    </w:p>
    <w:p>
      <w:pPr>
        <w:spacing w:after="0" w:line="9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Revenue decreased in 2023 primarily due to our broadcasts of the Beijing Olympics, Super Bowl and FIFA World Cup in 2022. Excluding incremental revenue associated with our broadcasts of these events, revenue increased in 2023 driven by increases in domestic distribution and international networks revenue, partially offset by decreases in domestic advertising and other revenue.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 decreased in 2022 due to our broadcast of the Tokyo Olympics in 2021, which more than offset the impact of our broadcasts of the Beijing Olympics, Super Bowl and FIFA World Cup in 2022. Excluding incremental revenue associated with the broadcast of these events, revenue decreased in 2022 primarily due to a decline in international networks revenue, partially offset by an increase in domestic distribution revenue.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Change</w:t>
            </w:r>
          </w:p>
        </w:tc>
      </w:tr>
      <w:tr>
        <w:trPr>
          <w:trHeight w:val="16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color w:val="auto"/>
              </w:rPr>
              <w:t>2021</w:t>
            </w:r>
          </w:p>
        </w:tc>
        <w:tc>
          <w:tcPr>
            <w:tcW w:w="1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 to 2022</w:t>
            </w: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25,355</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26,719</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rPr>
              <w:t>27,406</w:t>
            </w:r>
          </w:p>
        </w:tc>
        <w:tc>
          <w:tcPr>
            <w:tcW w:w="12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(5.1)%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Olympics, Super Bowl and FIFA World Cup</w:t>
            </w: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400" w:type="dxa"/>
            <w:vAlign w:val="bottom"/>
          </w:tcPr>
          <w:p>
            <w:pPr>
              <w:spacing w:after="0"/>
              <w:rPr>
                <w:sz w:val="15"/>
                <w:szCs w:val="15"/>
                <w:color w:val="auto"/>
              </w:rPr>
            </w:pPr>
          </w:p>
        </w:tc>
        <w:tc>
          <w:tcPr>
            <w:tcW w:w="106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1,759</w:t>
            </w:r>
          </w:p>
        </w:tc>
        <w:tc>
          <w:tcPr>
            <w:tcW w:w="12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NM</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revenue, excluding Olympics, Super Bowl and FIFA World Cup</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25,355</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24,975</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i w:val="1"/>
                <w:iCs w:val="1"/>
                <w:color w:val="auto"/>
              </w:rPr>
              <w:t>$</w:t>
            </w:r>
          </w:p>
        </w:tc>
        <w:tc>
          <w:tcPr>
            <w:tcW w:w="106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i w:val="1"/>
                <w:iCs w:val="1"/>
                <w:color w:val="auto"/>
              </w:rPr>
              <w:t>25,647</w:t>
            </w:r>
          </w:p>
        </w:tc>
        <w:tc>
          <w:tcPr>
            <w:tcW w:w="12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i w:val="1"/>
                <w:iCs w:val="1"/>
                <w:color w:val="auto"/>
              </w:rPr>
              <w:t>1.5 %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(2.6)%</w:t>
            </w:r>
          </w:p>
        </w:tc>
      </w:tr>
      <w:tr>
        <w:trPr>
          <w:trHeight w:val="17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domestic advertising revenue</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8,600</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10,360</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10,177</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(17.0)%</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Olympics, Super Bowl and FIFA World Cup</w:t>
            </w: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rPr>
              <w:t>1,238</w:t>
            </w: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NM</w:t>
            </w: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14.5</w:t>
            </w:r>
          </w:p>
        </w:tc>
      </w:tr>
      <w:tr>
        <w:trPr>
          <w:trHeight w:val="18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Domestic advertising revenue, excluding Olympics, Super Bowl and FIFA World Cup</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8,600</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8,943</w:t>
            </w: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i w:val="1"/>
                <w:iCs w:val="1"/>
                <w:color w:val="auto"/>
              </w:rPr>
              <w:t>$</w:t>
            </w: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i w:val="1"/>
                <w:iCs w:val="1"/>
                <w:color w:val="auto"/>
              </w:rPr>
              <w:t>8,939</w:t>
            </w:r>
          </w:p>
        </w:tc>
        <w:tc>
          <w:tcPr>
            <w:tcW w:w="1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i w:val="1"/>
                <w:iCs w:val="1"/>
                <w:color w:val="auto"/>
              </w:rPr>
              <w:t>(3.8)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 %</w:t>
            </w:r>
          </w:p>
        </w:tc>
      </w:tr>
      <w:tr>
        <w:trPr>
          <w:trHeight w:val="17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domestic distribution revenue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10,663</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10,525</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rPr>
              <w:t>10,080</w:t>
            </w:r>
          </w:p>
        </w:tc>
        <w:tc>
          <w:tcPr>
            <w:tcW w:w="12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1.3 %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Olympics</w:t>
            </w: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400" w:type="dxa"/>
            <w:vAlign w:val="bottom"/>
          </w:tcPr>
          <w:p>
            <w:pPr>
              <w:spacing w:after="0"/>
              <w:rPr>
                <w:sz w:val="15"/>
                <w:szCs w:val="15"/>
                <w:color w:val="auto"/>
              </w:rPr>
            </w:pPr>
          </w:p>
        </w:tc>
        <w:tc>
          <w:tcPr>
            <w:tcW w:w="106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522</w:t>
            </w:r>
          </w:p>
        </w:tc>
        <w:tc>
          <w:tcPr>
            <w:tcW w:w="12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NM</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(37.4)</w:t>
            </w:r>
          </w:p>
        </w:tc>
      </w:tr>
      <w:tr>
        <w:trPr>
          <w:trHeight w:val="18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Domestic distribution revenue, excluding Olympics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10,663</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10,198</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i w:val="1"/>
                <w:iCs w:val="1"/>
                <w:color w:val="auto"/>
              </w:rPr>
              <w:t>$</w:t>
            </w:r>
          </w:p>
        </w:tc>
        <w:tc>
          <w:tcPr>
            <w:tcW w:w="106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i w:val="1"/>
                <w:iCs w:val="1"/>
                <w:color w:val="auto"/>
              </w:rPr>
              <w:t>9,558</w:t>
            </w:r>
          </w:p>
        </w:tc>
        <w:tc>
          <w:tcPr>
            <w:tcW w:w="12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i w:val="1"/>
                <w:iCs w:val="1"/>
                <w:color w:val="auto"/>
              </w:rPr>
              <w:t>4.6 %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6.7 %</w:t>
            </w:r>
          </w:p>
        </w:tc>
      </w:tr>
      <w:tr>
        <w:trPr>
          <w:trHeight w:val="269"/>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Percentage changes that are considered not meaningful are denoted with NM.</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637"/>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400" w:type="dxa"/>
            <w:vAlign w:val="bottom"/>
          </w:tcPr>
          <w:p>
            <w:pPr>
              <w:spacing w:after="0"/>
              <w:rPr>
                <w:sz w:val="24"/>
                <w:szCs w:val="24"/>
                <w:color w:val="auto"/>
              </w:rPr>
            </w:pPr>
          </w:p>
        </w:tc>
        <w:tc>
          <w:tcPr>
            <w:tcW w:w="1020" w:type="dxa"/>
            <w:vAlign w:val="bottom"/>
          </w:tcPr>
          <w:p>
            <w:pPr>
              <w:jc w:val="right"/>
              <w:ind w:right="812"/>
              <w:spacing w:after="0"/>
              <w:rPr>
                <w:sz w:val="20"/>
                <w:szCs w:val="20"/>
                <w:color w:val="auto"/>
              </w:rPr>
            </w:pPr>
            <w:r>
              <w:rPr>
                <w:rFonts w:ascii="Times New Roman" w:cs="Times New Roman" w:eastAsia="Times New Roman" w:hAnsi="Times New Roman"/>
                <w:sz w:val="11"/>
                <w:szCs w:val="11"/>
                <w:b w:val="1"/>
                <w:bCs w:val="1"/>
                <w:color w:val="auto"/>
              </w:rPr>
              <w:t>42</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512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102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74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1220" w:type="dxa"/>
            <w:vAlign w:val="bottom"/>
            <w:tcBorders>
              <w:bottom w:val="single" w:sz="8" w:color="9A9A9A"/>
            </w:tcBorders>
          </w:tcPr>
          <w:p>
            <w:pPr>
              <w:spacing w:after="0"/>
              <w:rPr>
                <w:sz w:val="22"/>
                <w:szCs w:val="22"/>
                <w:color w:val="auto"/>
              </w:rPr>
            </w:pPr>
          </w:p>
        </w:tc>
        <w:tc>
          <w:tcPr>
            <w:tcW w:w="9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006EBF"/>
        </w:rPr>
        <w:t xml:space="preserve">Domestic advertising revenue </w:t>
      </w:r>
      <w:r>
        <w:rPr>
          <w:rFonts w:ascii="Times New Roman" w:cs="Times New Roman" w:eastAsia="Times New Roman" w:hAnsi="Times New Roman"/>
          <w:sz w:val="14"/>
          <w:szCs w:val="14"/>
          <w:color w:val="000000"/>
        </w:rPr>
        <w:t>consists of revenue generated from sales of advertising on our linear television networks, Peacock and other digital properties operating predominantly in the United</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States.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Domestic advertising revenue decreased in 2023 primarily due to our broadcasts of the Beijing Olympics, Super Bowl and FIFA World Cup in 2022. Excluding incremental revenue associated with the broadcasts of these events in 2022, domestic advertising revenue decreased in 2023 primarily due to a decrease in revenue at our networks, partially offset by an increase in revenue at Peacock.</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Domestic advertising revenue increased in 2022, including the impacts of our broadcasts of the Beijing Olympics, Super Bowl and FIFA World Cup in 2022, partially offset by our broadcast of the Tokyo Olympics in 2021. Excluding incremental revenue associated with the broadcasts of these events in 2022 and 2021, domestic advertising in 2022 remained consistent with 2021 primarily due to increased revenue at Peacock, offset by a decrease in revenue at our networks. The decreases at our networks were primarily due to continued audience ratings declines and the impact of additional sporting events in 2021, partially offset by higher pricing in 2022 and increased political advertising.</w:t>
      </w:r>
    </w:p>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006EBF"/>
        </w:rPr>
        <w:t xml:space="preserve">Domestic distribution revenue </w:t>
      </w:r>
      <w:r>
        <w:rPr>
          <w:rFonts w:ascii="Times New Roman" w:cs="Times New Roman" w:eastAsia="Times New Roman" w:hAnsi="Times New Roman"/>
          <w:sz w:val="14"/>
          <w:szCs w:val="14"/>
          <w:color w:val="000000"/>
        </w:rPr>
        <w:t>primarily includes revenue generated from the distribution of our television networks operating predominantly in the United States to traditional and virtual</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multichannel video providers, and from NBC-affiliated and Telemundo-affiliated local broadcast television stations. Our revenue from distribution agreements is generally based on the number of subscribers receiving the programming on our television networks and a per subscriber fee. Distribution revenue also includes Peacock subscription fees.</w:t>
      </w:r>
    </w:p>
    <w:p>
      <w:pPr>
        <w:spacing w:after="0" w:line="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Domestic distribution revenue increased in 2023, including the impacts of our broadcast of the Beijing Olympics in 2022. Excluding incremental revenue associated with our broadcast of the Beijing Olympics in 2022, domestic distribution revenue increased primarily due to an increase in Peacock paid subscribers, partially offset by a decrease in revenue at our networks. The decrease in revenue at our networks was primarily due to a decline in the number of subscribers, partially offset by contractual rate increases.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Domestic distribution revenue increased in 2022, including the impacts of our broadcast of the Beijing Olympics in 2022, offset by our broadcast of the Tokyo Olympics in 2021. Excluding incremental revenue associated with the broadcasts of these events in 2022 and 2021, domestic distribution revenue increased in 2022 primarily due to increased revenue at Peacock. Distribution revenue at our networks in 2022 remained consistent with 2021 due to contractual rates increases, offset by a decline in the number of subscribers.</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006EBF"/>
        </w:rPr>
        <w:t xml:space="preserve">International networks revenue </w:t>
      </w:r>
      <w:r>
        <w:rPr>
          <w:rFonts w:ascii="Times New Roman" w:cs="Times New Roman" w:eastAsia="Times New Roman" w:hAnsi="Times New Roman"/>
          <w:sz w:val="14"/>
          <w:szCs w:val="14"/>
          <w:color w:val="000000"/>
        </w:rPr>
        <w:t>consists of revenue generated by our networks operating predominantly outside the United States, including the Sky Sports networks in the United Kingdom and</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Italy. This revenue primarily results from the distribution of our television networks to traditional and virtual multichannel video providers and other platforms, as well as sales of advertising. A significant portion of this revenue comes from the Residential Connectivity &amp; Platforms segment.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International networks revenue increased in 2023 primarily due to an increase in revenue associated with the distribution of sports networks.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International networks revenue decreased in 2022 primarily due to a decrease in revenue associated with the distribution of sports networks, including the impact of our reduced broadcast rights for Serie A in Italy, and the negative impact of foreign currency.</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006EBF"/>
        </w:rPr>
        <w:t xml:space="preserve">Other revenue </w:t>
      </w:r>
      <w:r>
        <w:rPr>
          <w:rFonts w:ascii="Times New Roman" w:cs="Times New Roman" w:eastAsia="Times New Roman" w:hAnsi="Times New Roman"/>
          <w:sz w:val="14"/>
          <w:szCs w:val="14"/>
          <w:color w:val="000000"/>
        </w:rPr>
        <w:t>consists primarily of revenue generated from the licensing of our owned content and technology and from various digital properties.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revenue decreased in 2023 primarily due to a decrease in content licensing revenue, partially offset by an increase in revenue from licensing our technology.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revenue in 2022 was consistent with 2021.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 *</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Media segment total revenue included $3.4 billion, $2.1 billion and $778 million related to Peacock in 2023, 2022 and 2021, respectively. We had 31 million, 21 million and 9 million paid subscribers of Peacock as of 2023, 2022 and 2021, respectively. Peacock paid subscribers represent customers from which Peacock receives a subscription fee on a retail or wholesale basis. Paid subscribers do not include certain customers that receive Peacock as part of bundled services where Peacock does not receive fees.</w:t>
      </w:r>
    </w:p>
    <w:p>
      <w:pPr>
        <w:spacing w:after="0" w:line="375"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43</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 Segment – Costs and Expenses</w:t>
      </w:r>
    </w:p>
    <w:p>
      <w:pPr>
        <w:spacing w:after="0" w:line="94"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006EBF"/>
        </w:rPr>
        <w:t xml:space="preserve">Programming and production costs </w:t>
      </w:r>
      <w:r>
        <w:rPr>
          <w:rFonts w:ascii="Times New Roman" w:cs="Times New Roman" w:eastAsia="Times New Roman" w:hAnsi="Times New Roman"/>
          <w:sz w:val="14"/>
          <w:szCs w:val="14"/>
          <w:color w:val="000000"/>
        </w:rPr>
        <w:t>include the amortization of owned and licensed content, including sports rights, direct production costs, production overhead, on-air talent costs and costs</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associated with the distribution of our television networks to multichannel video providers.</w:t>
      </w:r>
    </w:p>
    <w:p>
      <w:pPr>
        <w:spacing w:after="0" w:line="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Programming and production costs decreased in 2023 primarily due to costs associated with our broadcasts of the Beijing Olympics, Super Bowl and FIFA World Cup in 2022 and a decrease in content costs for our entertainment television networks, including the impact of the Writers Guild and SAG work stoppages in the current year, partially offset by higher programming costs at Peacock and an increase in other domestic and international sports programming costs. The increase in international sports programming costs includes the impact of the timing of recognition of costs related to the 2022 FIFA World Cup, which resulted in a shift of certain European football matches and the related programming expenses from the fourth quarter of 2022 primarily into the first half of 2023.</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Programming and production costs increased in 2022 primarily due to higher programming costs at Peacock and costs associated with our broadcasts of the Beijing Olympics, Super Bowl, and FIFA World Cup in 2022, partially offset by costs associated with our broadcast of the Tokyo Olympics in 2021 and a decrease in international sports programming costs. The decrease in international sports programming costs in 2022 primarily reflected lower costs associated with Serie A in Italy as a result of reduced broadcast rights, the timing of recognition of costs related to sporting events and the impact of foreign currency. The timing impacts included the delayed start of 2020-21 European football seasons due to COVID-19 and the shifting of certain European football matches from the fourth quarter of 2022 primarily into the first half of 2023 due to the 2022 FIFA World Cup.</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6EBF"/>
        </w:rPr>
        <w:t xml:space="preserve">Marketing and promotion expenses </w:t>
      </w:r>
      <w:r>
        <w:rPr>
          <w:rFonts w:ascii="Times New Roman" w:cs="Times New Roman" w:eastAsia="Times New Roman" w:hAnsi="Times New Roman"/>
          <w:sz w:val="14"/>
          <w:szCs w:val="14"/>
          <w:color w:val="000000"/>
        </w:rPr>
        <w:t>consist primarily of the costs associated with promoting our television networks, Peacock and other digital properties.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Marketing and promotion expenses decreased in 2023 primarily due to lower costs related to marketing for entertainment programming.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Marketing and promotion expenses increased in 2022 primarily due to higher marketing costs related to Peacock.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06EBF"/>
        </w:rPr>
        <w:t xml:space="preserve">Other expenses </w:t>
      </w:r>
      <w:r>
        <w:rPr>
          <w:rFonts w:ascii="Times New Roman" w:cs="Times New Roman" w:eastAsia="Times New Roman" w:hAnsi="Times New Roman"/>
          <w:sz w:val="14"/>
          <w:szCs w:val="14"/>
          <w:color w:val="000000"/>
        </w:rPr>
        <w:t>include salaries, employee benefits, rent and other overhead expenses.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expenses increased in 2023 and 2022 primarily due to increases in costs related to Peacock.</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 * *</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Media segment total costs and expenses included $6.1 billion, $4.6 billion and $2.5 billion related to Peacock in 2023, 2022 and 2021, respectively.</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44</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Studios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60" w:type="dxa"/>
            <w:vAlign w:val="bottom"/>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Change</w:t>
            </w:r>
          </w:p>
        </w:tc>
      </w:tr>
      <w:tr>
        <w:trPr>
          <w:trHeight w:val="169"/>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18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color w:val="auto"/>
              </w:rPr>
              <w:t>2021</w:t>
            </w:r>
          </w:p>
        </w:tc>
        <w:tc>
          <w:tcPr>
            <w:tcW w:w="15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 to 2022</w:t>
            </w:r>
          </w:p>
        </w:tc>
      </w:t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Content licensing</w:t>
            </w:r>
          </w:p>
        </w:tc>
        <w:tc>
          <w:tcPr>
            <w:tcW w:w="18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8,231</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9,348</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8,193</w:t>
            </w:r>
          </w:p>
        </w:tc>
        <w:tc>
          <w:tcPr>
            <w:tcW w:w="15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(11.9)%</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14.1 %</w:t>
            </w:r>
          </w:p>
        </w:tc>
      </w:tr>
      <w:tr>
        <w:trPr>
          <w:trHeight w:val="18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Theatrical</w:t>
            </w:r>
          </w:p>
        </w:tc>
        <w:tc>
          <w:tcPr>
            <w:tcW w:w="18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2,079</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691</w:t>
            </w:r>
          </w:p>
        </w:tc>
        <w:tc>
          <w:tcPr>
            <w:tcW w:w="15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29.4</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132.5</w:t>
            </w:r>
          </w:p>
        </w:tc>
      </w:tr>
      <w:tr>
        <w:trPr>
          <w:trHeight w:val="180"/>
        </w:trPr>
        <w:tc>
          <w:tcPr>
            <w:tcW w:w="3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8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1,315</w:t>
            </w: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rPr>
              <w:t>1,193</w:t>
            </w:r>
          </w:p>
        </w:tc>
        <w:tc>
          <w:tcPr>
            <w:tcW w:w="15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1.0</w:t>
            </w: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9.2</w:t>
            </w:r>
          </w:p>
        </w:tc>
      </w:tr>
      <w:tr>
        <w:trPr>
          <w:trHeight w:val="17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8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11,625</w:t>
            </w: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12,257</w:t>
            </w: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10,077</w:t>
            </w:r>
          </w:p>
        </w:tc>
        <w:tc>
          <w:tcPr>
            <w:tcW w:w="15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(5.2)</w:t>
            </w: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21.6</w:t>
            </w:r>
          </w:p>
        </w:tc>
      </w:tr>
      <w:tr>
        <w:trPr>
          <w:trHeight w:val="18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Programming and production</w:t>
            </w:r>
          </w:p>
        </w:tc>
        <w:tc>
          <w:tcPr>
            <w:tcW w:w="18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7,958</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8,778</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7,443</w:t>
            </w:r>
          </w:p>
        </w:tc>
        <w:tc>
          <w:tcPr>
            <w:tcW w:w="15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(9.3)</w:t>
            </w: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Marketing and promotion</w:t>
            </w:r>
          </w:p>
        </w:tc>
        <w:tc>
          <w:tcPr>
            <w:tcW w:w="18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1,579</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400" w:type="dxa"/>
            <w:vAlign w:val="bottom"/>
          </w:tcPr>
          <w:p>
            <w:pPr>
              <w:spacing w:after="0"/>
              <w:rPr>
                <w:sz w:val="15"/>
                <w:szCs w:val="15"/>
                <w:color w:val="auto"/>
              </w:rPr>
            </w:pP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1,079</w:t>
            </w: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(7.0)</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57.5</w:t>
            </w:r>
          </w:p>
        </w:tc>
      </w:tr>
      <w:tr>
        <w:trPr>
          <w:trHeight w:val="180"/>
        </w:trPr>
        <w:tc>
          <w:tcPr>
            <w:tcW w:w="3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8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818</w:t>
            </w: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677</w:t>
            </w:r>
          </w:p>
        </w:tc>
        <w:tc>
          <w:tcPr>
            <w:tcW w:w="156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(0.1)</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21.1</w:t>
            </w:r>
          </w:p>
        </w:tc>
      </w:tr>
      <w:tr>
        <w:trPr>
          <w:trHeight w:val="171"/>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8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10,356</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11,296</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rPr>
              <w:t>9,198</w:t>
            </w:r>
          </w:p>
        </w:tc>
        <w:tc>
          <w:tcPr>
            <w:tcW w:w="15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(8.3)</w:t>
            </w: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22.8</w:t>
            </w:r>
          </w:p>
        </w:tc>
      </w:tr>
      <w:tr>
        <w:trPr>
          <w:trHeight w:val="171"/>
        </w:trPr>
        <w:tc>
          <w:tcPr>
            <w:tcW w:w="32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860" w:type="dxa"/>
            <w:vAlign w:val="bottom"/>
            <w:tcBorders>
              <w:bottom w:val="single" w:sz="8" w:color="0C6D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1,269</w:t>
            </w:r>
          </w:p>
        </w:tc>
        <w:tc>
          <w:tcPr>
            <w:tcW w:w="380" w:type="dxa"/>
            <w:vAlign w:val="bottom"/>
            <w:tcBorders>
              <w:bottom w:val="single" w:sz="8" w:color="0C6D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400" w:type="dxa"/>
            <w:vAlign w:val="bottom"/>
            <w:tcBorders>
              <w:bottom w:val="single" w:sz="8" w:color="0C6D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0C6DFF"/>
            </w:tcBorders>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879</w:t>
            </w:r>
          </w:p>
        </w:tc>
        <w:tc>
          <w:tcPr>
            <w:tcW w:w="1560" w:type="dxa"/>
            <w:vAlign w:val="bottom"/>
            <w:tcBorders>
              <w:bottom w:val="single" w:sz="8" w:color="0C6D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32.0 %</w:t>
            </w:r>
          </w:p>
        </w:tc>
        <w:tc>
          <w:tcPr>
            <w:tcW w:w="10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Studios Segment – Revenue</w:t>
      </w:r>
    </w:p>
    <w:p>
      <w:pPr>
        <w:spacing w:after="0" w:line="13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006EBF"/>
        </w:rPr>
        <w:t xml:space="preserve">Content licensing revenue </w:t>
      </w:r>
      <w:r>
        <w:rPr>
          <w:rFonts w:ascii="Times New Roman" w:cs="Times New Roman" w:eastAsia="Times New Roman" w:hAnsi="Times New Roman"/>
          <w:sz w:val="14"/>
          <w:szCs w:val="14"/>
          <w:color w:val="000000"/>
        </w:rPr>
        <w:t>relates to the licensing of our owned film and television content in the United States and internationally to television networks and DTC streaming service providers, as</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well as through video on demand and pay-per-view services provided by multichannel video providers and OTT service providers.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Content licensing revenue decreased in 2023 primarily due to the timing of when content was made available by our television studios under licensing agreements, including the impact of the Writers Guild and SAG work stoppages in the current year, partially offset by the timing of when content was made available by our film studios.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Content licensing revenue increased in 2022 primarily due to the timing of when content was made available by our television and film studios under licensing agreements and included additional sales of content as production levels returned to normal, partially offset by the impact of a new licensing agreement for content that became exclusively available for streaming on Peacock in 2021.</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006EBF"/>
        </w:rPr>
        <w:t xml:space="preserve">Theatrical revenue </w:t>
      </w:r>
      <w:r>
        <w:rPr>
          <w:rFonts w:ascii="Times New Roman" w:cs="Times New Roman" w:eastAsia="Times New Roman" w:hAnsi="Times New Roman"/>
          <w:sz w:val="14"/>
          <w:szCs w:val="14"/>
          <w:color w:val="000000"/>
        </w:rPr>
        <w:t>relates to the worldwide distribution of our produced and acquired films for exhibition in movie theaters.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Theatrical revenue increased in 2023 primarily due to higher revenue from releases in our 2023 slate, including </w:t>
      </w:r>
      <w:r>
        <w:rPr>
          <w:rFonts w:ascii="Times New Roman" w:cs="Times New Roman" w:eastAsia="Times New Roman" w:hAnsi="Times New Roman"/>
          <w:sz w:val="14"/>
          <w:szCs w:val="14"/>
          <w:i w:val="1"/>
          <w:iCs w:val="1"/>
          <w:color w:val="auto"/>
        </w:rPr>
        <w:t>The Super Mario Bros. Movie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Oppenheimer</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Fast X</w:t>
      </w:r>
      <w:r>
        <w:rPr>
          <w:rFonts w:ascii="Times New Roman" w:cs="Times New Roman" w:eastAsia="Times New Roman" w:hAnsi="Times New Roman"/>
          <w:sz w:val="14"/>
          <w:szCs w:val="14"/>
          <w:color w:val="auto"/>
        </w:rPr>
        <w:t xml:space="preserve">, compared to revenue from releases in our 2022 slate, including </w:t>
      </w:r>
      <w:r>
        <w:rPr>
          <w:rFonts w:ascii="Times New Roman" w:cs="Times New Roman" w:eastAsia="Times New Roman" w:hAnsi="Times New Roman"/>
          <w:sz w:val="14"/>
          <w:szCs w:val="14"/>
          <w:i w:val="1"/>
          <w:iCs w:val="1"/>
          <w:color w:val="auto"/>
        </w:rPr>
        <w:t>Jurassic World: Dominion</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Minions: The Rise of Gru</w:t>
      </w:r>
      <w:r>
        <w:rPr>
          <w:rFonts w:ascii="Times New Roman" w:cs="Times New Roman" w:eastAsia="Times New Roman" w:hAnsi="Times New Roman"/>
          <w:sz w:val="14"/>
          <w:szCs w:val="14"/>
          <w:color w:val="auto"/>
        </w:rPr>
        <w: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Theatrical revenue increased in 2022 primarily due to higher revenue from releases in our 2022 slate compared to releases in our 2021 slate, including </w:t>
      </w:r>
      <w:r>
        <w:rPr>
          <w:rFonts w:ascii="Times New Roman" w:cs="Times New Roman" w:eastAsia="Times New Roman" w:hAnsi="Times New Roman"/>
          <w:sz w:val="14"/>
          <w:szCs w:val="14"/>
          <w:i w:val="1"/>
          <w:iCs w:val="1"/>
          <w:color w:val="auto"/>
        </w:rPr>
        <w:t>F9</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006EBF"/>
        </w:rPr>
        <w:t xml:space="preserve">Other revenue </w:t>
      </w:r>
      <w:r>
        <w:rPr>
          <w:rFonts w:ascii="Times New Roman" w:cs="Times New Roman" w:eastAsia="Times New Roman" w:hAnsi="Times New Roman"/>
          <w:sz w:val="14"/>
          <w:szCs w:val="14"/>
          <w:color w:val="000000"/>
        </w:rPr>
        <w:t>consists primarily of the sale of physical and digital home entertainment products, as well as the production and licensing of live stage plays and the distribution of content produced</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by third parties.</w:t>
      </w:r>
    </w:p>
    <w:p>
      <w:pPr>
        <w:spacing w:after="0"/>
        <w:rPr>
          <w:sz w:val="20"/>
          <w:szCs w:val="20"/>
          <w:color w:val="auto"/>
        </w:rPr>
      </w:pPr>
      <w:r>
        <w:rPr>
          <w:rFonts w:ascii="Arial" w:cs="Arial" w:eastAsia="Arial" w:hAnsi="Arial"/>
          <w:sz w:val="14"/>
          <w:szCs w:val="14"/>
          <w:b w:val="1"/>
          <w:bCs w:val="1"/>
          <w:color w:val="auto"/>
        </w:rPr>
        <w:t>Studios Segment – Costs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06EBF"/>
        </w:rPr>
        <w:t xml:space="preserve">Programming and production costs </w:t>
      </w:r>
      <w:r>
        <w:rPr>
          <w:rFonts w:ascii="Times New Roman" w:cs="Times New Roman" w:eastAsia="Times New Roman" w:hAnsi="Times New Roman"/>
          <w:sz w:val="14"/>
          <w:szCs w:val="14"/>
          <w:color w:val="000000"/>
        </w:rPr>
        <w:t>include the amortization of capitalized film and television production and acquisition costs; residuals and participations expenses; and distribution expenses.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costs associated with producing film and television content have generally increased in recent years and may continue to increase in the future.</w:t>
      </w:r>
    </w:p>
    <w:p>
      <w:pPr>
        <w:spacing w:after="0" w:line="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Programming and production costs decreased in 2023 primarily due to lower costs associated with content licensing sales, including the impact of the Writers Guild and SAG work stoppages in the current year, partially offset by higher costs associated with theatrical releases.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Programming and production costs increased in 2022 primarily due to higher costs associated with content licensing sales and theatrical releases.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06EBF"/>
        </w:rPr>
        <w:t xml:space="preserve">Marketing and promotion expenses </w:t>
      </w:r>
      <w:r>
        <w:rPr>
          <w:rFonts w:ascii="Times New Roman" w:cs="Times New Roman" w:eastAsia="Times New Roman" w:hAnsi="Times New Roman"/>
          <w:sz w:val="14"/>
          <w:szCs w:val="14"/>
          <w:color w:val="000000"/>
        </w:rPr>
        <w:t>consist primarily of expenses associated with advertising for our theatrical releases.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Marketing and promotion expenses decreased in 2023 primarily due to decreased spending on current year and upcoming theatrical film releases.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Marketing and promotion expenses increased in 2022 primarily due to higher spending on theatrical film releases.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06EBF"/>
        </w:rPr>
        <w:t xml:space="preserve">Other expenses </w:t>
      </w:r>
      <w:r>
        <w:rPr>
          <w:rFonts w:ascii="Times New Roman" w:cs="Times New Roman" w:eastAsia="Times New Roman" w:hAnsi="Times New Roman"/>
          <w:sz w:val="14"/>
          <w:szCs w:val="14"/>
          <w:color w:val="000000"/>
        </w:rPr>
        <w:t>include salaries, employee benefits, rent and other overhead expenses.</w:t>
      </w:r>
    </w:p>
    <w:p>
      <w:pPr>
        <w:spacing w:after="0" w:line="375"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45</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Theme Parks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60" w:type="dxa"/>
            <w:vAlign w:val="bottom"/>
          </w:tcPr>
          <w:p>
            <w:pPr>
              <w:ind w:left="7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Change</w:t>
            </w:r>
          </w:p>
        </w:tc>
      </w:tr>
      <w:tr>
        <w:trPr>
          <w:trHeight w:val="169"/>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19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color w:val="auto"/>
              </w:rPr>
              <w:t>2021</w:t>
            </w:r>
          </w:p>
        </w:tc>
        <w:tc>
          <w:tcPr>
            <w:tcW w:w="1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 to 2022</w:t>
            </w: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9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8,947</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4"/>
                <w:szCs w:val="14"/>
                <w:color w:val="auto"/>
              </w:rPr>
              <w:t>5,051</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18.6 %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49.3 %</w:t>
            </w:r>
          </w:p>
        </w:tc>
      </w:tr>
      <w:tr>
        <w:trPr>
          <w:trHeight w:val="180"/>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9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5,602</w:t>
            </w: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3,783</w:t>
            </w:r>
          </w:p>
        </w:tc>
        <w:tc>
          <w:tcPr>
            <w:tcW w:w="15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15.3</w:t>
            </w:r>
          </w:p>
        </w:tc>
        <w:tc>
          <w:tcPr>
            <w:tcW w:w="10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28.4</w:t>
            </w:r>
          </w:p>
        </w:tc>
      </w:tr>
      <w:tr>
        <w:trPr>
          <w:trHeight w:val="171"/>
        </w:trPr>
        <w:tc>
          <w:tcPr>
            <w:tcW w:w="32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900" w:type="dxa"/>
            <w:vAlign w:val="bottom"/>
            <w:tcBorders>
              <w:bottom w:val="single" w:sz="8" w:color="0C6D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3,345</w:t>
            </w:r>
          </w:p>
        </w:tc>
        <w:tc>
          <w:tcPr>
            <w:tcW w:w="440" w:type="dxa"/>
            <w:vAlign w:val="bottom"/>
            <w:tcBorders>
              <w:bottom w:val="single" w:sz="8" w:color="0C6D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440" w:type="dxa"/>
            <w:vAlign w:val="bottom"/>
            <w:tcBorders>
              <w:bottom w:val="single" w:sz="8" w:color="0C6D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0C6D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4"/>
                <w:szCs w:val="14"/>
                <w:color w:val="auto"/>
              </w:rPr>
              <w:t>1,267</w:t>
            </w:r>
          </w:p>
        </w:tc>
        <w:tc>
          <w:tcPr>
            <w:tcW w:w="1560" w:type="dxa"/>
            <w:vAlign w:val="bottom"/>
            <w:tcBorders>
              <w:bottom w:val="single" w:sz="8" w:color="0C6D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24.7 %</w:t>
            </w:r>
          </w:p>
        </w:tc>
        <w:tc>
          <w:tcPr>
            <w:tcW w:w="10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111.7 %</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006EBF"/>
        </w:rPr>
        <w:t xml:space="preserve">Theme parks segment revenue </w:t>
      </w:r>
      <w:r>
        <w:rPr>
          <w:rFonts w:ascii="Times New Roman" w:cs="Times New Roman" w:eastAsia="Times New Roman" w:hAnsi="Times New Roman"/>
          <w:sz w:val="14"/>
          <w:szCs w:val="14"/>
          <w:color w:val="000000"/>
        </w:rPr>
        <w:t>primarily relates to guest spending at our theme parks, including ticket sales and in-park spending, and to our consumer products business.</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Theme park segment revenue increased in 2023 driven by an increase at our international theme parks, which had COVID-19 related restrictions during certain periods in the prior year, and an increase at our domestic theme parks primarily due to higher revenue at our theme park in Hollywood driven by the opening of Super Nintendo World, partially offset by lower revenue at our theme park in Orlando.</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Theme parks segment revenue increased in 2022 primarily due to improved operating conditions compared to 2021, when our theme parks in Orlando, Hollywood and Japan were impacted by COVID-19 restrictions, as well as the operations of Universal Beijing Resort, which opened in September 2021. Results at our international theme parks in 2022 were negatively impacted by fluctuations in foreign currency exchange rates and by temporary restrictions and closures that were reinstituted in certain periods due to COVID-19.</w:t>
      </w:r>
    </w:p>
    <w:p>
      <w:pPr>
        <w:spacing w:after="0" w:line="51"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006EBF"/>
        </w:rPr>
        <w:t xml:space="preserve">Theme parks segment costs and expenses </w:t>
      </w:r>
      <w:r>
        <w:rPr>
          <w:rFonts w:ascii="Times New Roman" w:cs="Times New Roman" w:eastAsia="Times New Roman" w:hAnsi="Times New Roman"/>
          <w:sz w:val="14"/>
          <w:szCs w:val="14"/>
          <w:color w:val="000000"/>
        </w:rPr>
        <w:t>consist primarily of theme park operations, including repairs and maintenance and related administrative expenses; food, beverage and merchandise</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costs; labor costs; and sales and marketing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Theme parks segment costs and expenses increased in 2023 due to higher costs primarily associated with increased guest attendance.</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Theme parks segment costs and expenses increased in 2022 primarily as a result of lower operating costs in 2021 due to COVID-19 restrictions at our theme parks and due to operating costs associated with Universal Beijing Resort in 2022, which were higher than pre-opening costs in 2021.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Content &amp; Experiences 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006EBF"/>
        </w:rPr>
        <w:t>Headquarters and Other Results of Operations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tcPr>
          <w:p>
            <w:pPr>
              <w:jc w:val="right"/>
              <w:ind w:right="435"/>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Change</w:t>
            </w:r>
          </w:p>
        </w:tc>
      </w:tr>
      <w:tr>
        <w:trPr>
          <w:trHeight w:val="169"/>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19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color w:val="auto"/>
              </w:rPr>
              <w:t>2021</w:t>
            </w:r>
          </w:p>
        </w:tc>
        <w:tc>
          <w:tcPr>
            <w:tcW w:w="15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 to 2022</w:t>
            </w: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9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4"/>
                <w:szCs w:val="14"/>
                <w:color w:val="auto"/>
              </w:rPr>
              <w:t>87</w:t>
            </w:r>
          </w:p>
        </w:tc>
        <w:tc>
          <w:tcPr>
            <w:tcW w:w="1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(15.4)%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80"/>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9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1,010</w:t>
            </w: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927</w:t>
            </w:r>
          </w:p>
        </w:tc>
        <w:tc>
          <w:tcPr>
            <w:tcW w:w="15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5.7</w:t>
            </w:r>
          </w:p>
        </w:tc>
        <w:tc>
          <w:tcPr>
            <w:tcW w:w="10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color w:val="auto"/>
              </w:rPr>
              <w:t>3.1</w:t>
            </w:r>
          </w:p>
        </w:tc>
      </w:tr>
      <w:tr>
        <w:trPr>
          <w:trHeight w:val="171"/>
        </w:trPr>
        <w:tc>
          <w:tcPr>
            <w:tcW w:w="32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920" w:type="dxa"/>
            <w:vAlign w:val="bottom"/>
            <w:tcBorders>
              <w:bottom w:val="single" w:sz="8" w:color="0C6D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(946)</w:t>
            </w:r>
          </w:p>
        </w:tc>
        <w:tc>
          <w:tcPr>
            <w:tcW w:w="440" w:type="dxa"/>
            <w:vAlign w:val="bottom"/>
            <w:tcBorders>
              <w:bottom w:val="single" w:sz="8" w:color="0C6D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460" w:type="dxa"/>
            <w:vAlign w:val="bottom"/>
            <w:tcBorders>
              <w:bottom w:val="single" w:sz="8" w:color="0C6D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0C6DFF"/>
            </w:tcBorders>
            <w:shd w:val="clear" w:color="auto" w:fill="CCEEFF"/>
          </w:tcPr>
          <w:p>
            <w:pPr>
              <w:jc w:val="right"/>
              <w:ind w:right="413"/>
              <w:spacing w:after="0"/>
              <w:rPr>
                <w:sz w:val="20"/>
                <w:szCs w:val="20"/>
                <w:color w:val="auto"/>
              </w:rPr>
            </w:pPr>
            <w:r>
              <w:rPr>
                <w:rFonts w:ascii="Times New Roman" w:cs="Times New Roman" w:eastAsia="Times New Roman" w:hAnsi="Times New Roman"/>
                <w:sz w:val="14"/>
                <w:szCs w:val="14"/>
                <w:color w:val="auto"/>
              </w:rPr>
              <w:t>(840)</w:t>
            </w:r>
          </w:p>
        </w:tc>
        <w:tc>
          <w:tcPr>
            <w:tcW w:w="1560" w:type="dxa"/>
            <w:vAlign w:val="bottom"/>
            <w:tcBorders>
              <w:bottom w:val="single" w:sz="8" w:color="0C6D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(7.5)%</w:t>
            </w:r>
          </w:p>
        </w:tc>
        <w:tc>
          <w:tcPr>
            <w:tcW w:w="10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bl>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Headquarters and Other expenses include overhead, personnel costs and costs associated with corporate initiatives. Expenses increased in 2023 primarily due to an increase in employee-related costs, partially offset by lower severance charges in 2023 compared to 2022. Expenses increased in 2022 primarily due to severance charges, partially offset by a decrease in employee-related costs compared to 2021.</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006EBF"/>
        </w:rPr>
        <w:t>Eliminations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6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60" w:type="dxa"/>
            <w:vAlign w:val="bottom"/>
          </w:tcPr>
          <w:p>
            <w:pPr>
              <w:ind w:left="7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6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Change</w:t>
            </w:r>
          </w:p>
        </w:tc>
      </w:tr>
      <w:tr>
        <w:trPr>
          <w:trHeight w:val="159"/>
        </w:trPr>
        <w:tc>
          <w:tcPr>
            <w:tcW w:w="3680" w:type="dxa"/>
            <w:vAlign w:val="bottom"/>
          </w:tcPr>
          <w:p>
            <w:pPr>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262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16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rPr>
              <w:t>2022</w:t>
            </w:r>
          </w:p>
        </w:tc>
        <w:tc>
          <w:tcPr>
            <w:tcW w:w="116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rPr>
              <w:t>2021</w:t>
            </w:r>
          </w:p>
        </w:tc>
        <w:tc>
          <w:tcPr>
            <w:tcW w:w="156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10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6"/>
              </w:rPr>
              <w:t>2021 to 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1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(2,800)</w:t>
            </w: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w:t>
            </w: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(3,048)</w:t>
            </w:r>
          </w:p>
        </w:tc>
        <w:tc>
          <w:tcPr>
            <w:tcW w:w="15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(18.7)%</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12.9 %</w:t>
            </w:r>
          </w:p>
        </w:tc>
      </w:tr>
      <w:tr>
        <w:trPr>
          <w:trHeight w:val="180"/>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2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(2,877)</w:t>
            </w: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(3,440)</w:t>
            </w: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(2,843)</w:t>
            </w: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(16.4)</w:t>
            </w: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21.0</w:t>
            </w:r>
          </w:p>
        </w:tc>
      </w:tr>
      <w:tr>
        <w:trPr>
          <w:trHeight w:val="171"/>
        </w:trPr>
        <w:tc>
          <w:tcPr>
            <w:tcW w:w="29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2180" w:type="dxa"/>
            <w:vAlign w:val="bottom"/>
            <w:tcBorders>
              <w:bottom w:val="single" w:sz="8" w:color="0C6D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w:t>
            </w:r>
          </w:p>
        </w:tc>
        <w:tc>
          <w:tcPr>
            <w:tcW w:w="420" w:type="dxa"/>
            <w:vAlign w:val="bottom"/>
            <w:tcBorders>
              <w:bottom w:val="single" w:sz="8" w:color="0C6D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tcBorders>
              <w:bottom w:val="single" w:sz="8" w:color="0C6D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0C6D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(205)</w:t>
            </w:r>
          </w:p>
        </w:tc>
        <w:tc>
          <w:tcPr>
            <w:tcW w:w="1560" w:type="dxa"/>
            <w:vAlign w:val="bottom"/>
            <w:tcBorders>
              <w:bottom w:val="single" w:sz="8" w:color="0C6D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NM</w:t>
            </w:r>
          </w:p>
        </w:tc>
        <w:tc>
          <w:tcPr>
            <w:tcW w:w="10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Percentage changes that are considered not meaningful are denoted with NM.</w:t>
      </w:r>
    </w:p>
    <w:p>
      <w:pPr>
        <w:spacing w:after="0" w:line="1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Amounts represent eliminations of transactions between segments in our Content &amp; Experiences business, the most significant being content licensing between the Studios and Media segments, which are affected by the timing of recognition of content licenses.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Eliminations increase or decrease to the extent that additional content is made available to our other segments within the Content &amp; Experiences business. Refer to Note 2 for additional information on transactions between our segments.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46</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Corporate and Other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716153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tcPr>
          <w:p>
            <w:pPr>
              <w:jc w:val="right"/>
              <w:ind w:right="435"/>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Change</w:t>
            </w:r>
          </w:p>
        </w:tc>
      </w:tr>
      <w:tr>
        <w:trPr>
          <w:trHeight w:val="158"/>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18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color w:val="auto"/>
              </w:rPr>
              <w:t>2021</w:t>
            </w:r>
          </w:p>
        </w:tc>
        <w:tc>
          <w:tcPr>
            <w:tcW w:w="15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 to 2022</w:t>
            </w:r>
          </w:p>
        </w:tc>
      </w:tr>
      <w:tr>
        <w:trPr>
          <w:trHeight w:val="18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2,763</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4"/>
                <w:szCs w:val="14"/>
                <w:color w:val="auto"/>
              </w:rPr>
              <w:t>2,662</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4"/>
                <w:szCs w:val="14"/>
                <w:color w:val="auto"/>
                <w:w w:val="95"/>
              </w:rPr>
              <w:t>2,844</w:t>
            </w:r>
          </w:p>
        </w:tc>
        <w:tc>
          <w:tcPr>
            <w:tcW w:w="1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3.8 %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4,098</w:t>
            </w: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4"/>
                <w:szCs w:val="14"/>
                <w:color w:val="auto"/>
              </w:rPr>
              <w:t>3,670</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w w:val="95"/>
              </w:rPr>
              <w:t>4,175</w:t>
            </w:r>
          </w:p>
        </w:tc>
        <w:tc>
          <w:tcPr>
            <w:tcW w:w="15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11.7</w:t>
            </w:r>
          </w:p>
        </w:tc>
        <w:tc>
          <w:tcPr>
            <w:tcW w:w="10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color w:val="auto"/>
              </w:rPr>
              <w:t>(12.1)</w:t>
            </w:r>
          </w:p>
        </w:tc>
      </w:tr>
      <w:tr>
        <w:trPr>
          <w:trHeight w:val="171"/>
        </w:trPr>
        <w:tc>
          <w:tcPr>
            <w:tcW w:w="32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880" w:type="dxa"/>
            <w:vAlign w:val="bottom"/>
            <w:tcBorders>
              <w:bottom w:val="single" w:sz="8" w:color="0C6D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0C6DFF"/>
            </w:tcBorders>
            <w:shd w:val="clear" w:color="auto" w:fill="CCEEFF"/>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(1,335)</w:t>
            </w:r>
          </w:p>
        </w:tc>
        <w:tc>
          <w:tcPr>
            <w:tcW w:w="400" w:type="dxa"/>
            <w:vAlign w:val="bottom"/>
            <w:tcBorders>
              <w:bottom w:val="single" w:sz="8" w:color="0C6D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0C6DFF"/>
            </w:tcBorders>
            <w:shd w:val="clear" w:color="auto" w:fill="CCEEFF"/>
          </w:tcPr>
          <w:p>
            <w:pPr>
              <w:jc w:val="center"/>
              <w:ind w:left="233"/>
              <w:spacing w:after="0"/>
              <w:rPr>
                <w:sz w:val="20"/>
                <w:szCs w:val="20"/>
                <w:color w:val="auto"/>
              </w:rPr>
            </w:pPr>
            <w:r>
              <w:rPr>
                <w:rFonts w:ascii="Times New Roman" w:cs="Times New Roman" w:eastAsia="Times New Roman" w:hAnsi="Times New Roman"/>
                <w:sz w:val="14"/>
                <w:szCs w:val="14"/>
                <w:color w:val="auto"/>
                <w:w w:val="97"/>
              </w:rPr>
              <w:t>(1,008)</w:t>
            </w:r>
          </w:p>
        </w:tc>
        <w:tc>
          <w:tcPr>
            <w:tcW w:w="420" w:type="dxa"/>
            <w:vAlign w:val="bottom"/>
            <w:tcBorders>
              <w:bottom w:val="single" w:sz="8" w:color="0C6D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0C6DFF"/>
            </w:tcBorders>
            <w:shd w:val="clear" w:color="auto" w:fill="CCEEFF"/>
          </w:tcPr>
          <w:p>
            <w:pPr>
              <w:jc w:val="center"/>
              <w:ind w:right="93"/>
              <w:spacing w:after="0"/>
              <w:rPr>
                <w:sz w:val="20"/>
                <w:szCs w:val="20"/>
                <w:color w:val="auto"/>
              </w:rPr>
            </w:pPr>
            <w:r>
              <w:rPr>
                <w:rFonts w:ascii="Times New Roman" w:cs="Times New Roman" w:eastAsia="Times New Roman" w:hAnsi="Times New Roman"/>
                <w:sz w:val="14"/>
                <w:szCs w:val="14"/>
                <w:color w:val="auto"/>
                <w:w w:val="97"/>
              </w:rPr>
              <w:t>(1,331)</w:t>
            </w:r>
          </w:p>
        </w:tc>
        <w:tc>
          <w:tcPr>
            <w:tcW w:w="1560" w:type="dxa"/>
            <w:vAlign w:val="bottom"/>
            <w:tcBorders>
              <w:bottom w:val="single" w:sz="8" w:color="0C6D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(32.4)%</w:t>
            </w:r>
          </w:p>
        </w:tc>
        <w:tc>
          <w:tcPr>
            <w:tcW w:w="10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24.2 %</w:t>
            </w: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Corporate and Other primarily includes overhead and personnel costs; Sky-branded video services and television networks in Germany; Comcast Spectacor, which owns the Philadelphia Flyers and the Wells Fargo Center arena in Philadelphia, Pennsylvania; and Xumo, our consolidated streaming platform joint venture beginning in June 2022.</w:t>
      </w:r>
    </w:p>
    <w:p>
      <w:pPr>
        <w:spacing w:after="0" w:line="39"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006EBF"/>
        </w:rPr>
        <w:t xml:space="preserve">Corporate and Other revenue </w:t>
      </w:r>
      <w:r>
        <w:rPr>
          <w:rFonts w:ascii="Times New Roman" w:cs="Times New Roman" w:eastAsia="Times New Roman" w:hAnsi="Times New Roman"/>
          <w:sz w:val="14"/>
          <w:szCs w:val="14"/>
          <w:color w:val="000000"/>
        </w:rPr>
        <w:t>increased in 2023 reflecting higher revenue across each of our other businesses and decreased in 2022 primarily due to decreased revenue related to Sky operations in</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Germany, including the negative impact of foreign currency. The decrease in 2022 was partially offset by an increase in revenue at Comcast Spectacor compared to 2021, which included the impact of COVID-19, and by revenue at Xumo related to the Xumo Play streaming service.</w:t>
      </w:r>
    </w:p>
    <w:p>
      <w:pPr>
        <w:spacing w:after="0" w:line="9"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006EBF"/>
        </w:rPr>
        <w:t xml:space="preserve">Corporate and Other costs and expenses </w:t>
      </w:r>
      <w:r>
        <w:rPr>
          <w:rFonts w:ascii="Times New Roman" w:cs="Times New Roman" w:eastAsia="Times New Roman" w:hAnsi="Times New Roman"/>
          <w:sz w:val="14"/>
          <w:szCs w:val="14"/>
          <w:color w:val="000000"/>
        </w:rPr>
        <w:t>increased in 2023 primarily due to higher costs related to Sky operations in Germany, including the impact of the timing of recognition of costs related</w:t>
      </w:r>
      <w:r>
        <w:rPr>
          <w:rFonts w:ascii="Arial" w:cs="Arial" w:eastAsia="Arial" w:hAnsi="Arial"/>
          <w:sz w:val="14"/>
          <w:szCs w:val="14"/>
          <w:color w:val="006EBF"/>
        </w:rPr>
        <w:t xml:space="preserve"> </w:t>
      </w:r>
      <w:r>
        <w:rPr>
          <w:rFonts w:ascii="Times New Roman" w:cs="Times New Roman" w:eastAsia="Times New Roman" w:hAnsi="Times New Roman"/>
          <w:sz w:val="14"/>
          <w:szCs w:val="14"/>
          <w:color w:val="000000"/>
        </w:rPr>
        <w:t>to the 2022 FIFA World Cup and charges related to entertainment content in the current year, and increased costs related to Xumo.</w:t>
      </w:r>
    </w:p>
    <w:p>
      <w:pPr>
        <w:jc w:val="both"/>
        <w:spacing w:after="0" w:line="287" w:lineRule="auto"/>
        <w:rPr>
          <w:sz w:val="20"/>
          <w:szCs w:val="20"/>
          <w:color w:val="auto"/>
        </w:rPr>
      </w:pPr>
      <w:r>
        <w:rPr>
          <w:rFonts w:ascii="Times New Roman" w:cs="Times New Roman" w:eastAsia="Times New Roman" w:hAnsi="Times New Roman"/>
          <w:sz w:val="14"/>
          <w:szCs w:val="14"/>
          <w:color w:val="auto"/>
        </w:rPr>
        <w:t>Corporate and Other costs and expenses decreased in 2022 primarily due to lower costs related to Sky operations in Germany, including the impact of foreign currency and the impact of the timing of recognition of costs related to the 2022 FIFA World Cup, and lower administrative costs, partially offset by costs related to Xumo.</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716153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6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60" w:type="dxa"/>
            <w:vAlign w:val="bottom"/>
          </w:tcPr>
          <w:p>
            <w:pPr>
              <w:ind w:left="7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6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Change</w:t>
            </w:r>
          </w:p>
        </w:tc>
      </w:tr>
      <w:tr>
        <w:trPr>
          <w:trHeight w:val="159"/>
        </w:trPr>
        <w:tc>
          <w:tcPr>
            <w:tcW w:w="3680" w:type="dxa"/>
            <w:vAlign w:val="bottom"/>
          </w:tcPr>
          <w:p>
            <w:pPr>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262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16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rPr>
              <w:t>2022</w:t>
            </w:r>
          </w:p>
        </w:tc>
        <w:tc>
          <w:tcPr>
            <w:tcW w:w="116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rPr>
              <w:t>2021</w:t>
            </w:r>
          </w:p>
        </w:tc>
        <w:tc>
          <w:tcPr>
            <w:tcW w:w="156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2022 to 2023</w:t>
            </w:r>
          </w:p>
        </w:tc>
        <w:tc>
          <w:tcPr>
            <w:tcW w:w="10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6"/>
              </w:rPr>
              <w:t>2021 to 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1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(5,583)</w:t>
            </w: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(5,590)</w:t>
            </w: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(6,783)</w:t>
            </w:r>
          </w:p>
        </w:tc>
        <w:tc>
          <w:tcPr>
            <w:tcW w:w="15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(0.1)%</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2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(5,611)</w:t>
            </w: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(6,718)</w:t>
            </w:r>
          </w:p>
        </w:tc>
        <w:tc>
          <w:tcPr>
            <w:tcW w:w="15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1.5</w:t>
            </w: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(17.7)</w:t>
            </w:r>
          </w:p>
        </w:tc>
      </w:tr>
      <w:tr>
        <w:trPr>
          <w:trHeight w:val="171"/>
        </w:trPr>
        <w:tc>
          <w:tcPr>
            <w:tcW w:w="29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2180" w:type="dxa"/>
            <w:vAlign w:val="bottom"/>
            <w:tcBorders>
              <w:bottom w:val="single" w:sz="8" w:color="0C6D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420" w:type="dxa"/>
            <w:vAlign w:val="bottom"/>
            <w:tcBorders>
              <w:bottom w:val="single" w:sz="8" w:color="0C6D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20" w:type="dxa"/>
            <w:vAlign w:val="bottom"/>
            <w:tcBorders>
              <w:bottom w:val="single" w:sz="8" w:color="0C6D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0C6D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(65)</w:t>
            </w:r>
          </w:p>
        </w:tc>
        <w:tc>
          <w:tcPr>
            <w:tcW w:w="1520" w:type="dxa"/>
            <w:vAlign w:val="bottom"/>
            <w:tcBorders>
              <w:bottom w:val="single" w:sz="8" w:color="0C6D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NM</w:t>
            </w:r>
          </w:p>
        </w:tc>
        <w:tc>
          <w:tcPr>
            <w:tcW w:w="10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Percentage changes that are considered not meaningful are denoted with NM.</w:t>
      </w:r>
    </w:p>
    <w:p>
      <w:pPr>
        <w:spacing w:after="0" w:line="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Amounts represent eliminations of transactions between our Connectivity &amp; Platforms, Content &amp; Experiences and other businesses, the most significant being distribution of television network programming between the Media and Residential Connectivity &amp; Platforms segments. Eliminations of transactions between segments within Content &amp; Experiences are presented separately. Amounts are affected by the periodic broadcast of the Olympic Games, including the Beijing and Tokyo Olympics in 2022 and 2021, respectively. Refer to Note 2 for additional information on transactions between our segments.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78105</wp:posOffset>
            </wp:positionV>
            <wp:extent cx="714819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Adjusted EBITDA</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386"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47</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Reconciliation from Net Income Attributable to Comcast Corporation to Adjusted EBITDA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27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3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7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Comcast Corporation</w:t>
            </w:r>
          </w:p>
        </w:tc>
        <w:tc>
          <w:tcPr>
            <w:tcW w:w="27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15,388</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14,159</w:t>
            </w:r>
          </w:p>
        </w:tc>
      </w:tr>
      <w:tr>
        <w:trPr>
          <w:trHeight w:val="180"/>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2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(282)</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8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7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5,371</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5,259</w:t>
            </w:r>
          </w:p>
        </w:tc>
      </w:tr>
      <w:tr>
        <w:trPr>
          <w:trHeight w:val="180"/>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4,087</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4,281</w:t>
            </w:r>
          </w:p>
        </w:tc>
      </w:tr>
      <w:tr>
        <w:trPr>
          <w:trHeight w:val="18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and other (income) loss, net</w:t>
            </w:r>
          </w:p>
        </w:tc>
        <w:tc>
          <w:tcPr>
            <w:tcW w:w="27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(1,252)</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w:t>
            </w:r>
          </w:p>
        </w:tc>
      </w:tr>
      <w:tr>
        <w:trPr>
          <w:trHeight w:val="180"/>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2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8,854</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8,724</w:t>
            </w: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w:t>
            </w:r>
          </w:p>
        </w:tc>
      </w:tr>
      <w:tr>
        <w:trPr>
          <w:trHeight w:val="18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7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5,482</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5,176</w:t>
            </w:r>
          </w:p>
        </w:tc>
      </w:tr>
      <w:tr>
        <w:trPr>
          <w:trHeight w:val="180"/>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long-lived asset impairments</w:t>
            </w:r>
          </w:p>
        </w:tc>
        <w:tc>
          <w:tcPr>
            <w:tcW w:w="2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8,583</w:t>
            </w: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20" w:type="dxa"/>
            <w:vAlign w:val="bottom"/>
            <w:tcBorders>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Adjustments</w:t>
            </w:r>
            <w:r>
              <w:rPr>
                <w:rFonts w:ascii="Times New Roman" w:cs="Times New Roman" w:eastAsia="Times New Roman" w:hAnsi="Times New Roman"/>
                <w:sz w:val="18"/>
                <w:szCs w:val="18"/>
                <w:color w:val="auto"/>
                <w:vertAlign w:val="superscript"/>
              </w:rPr>
              <w:t>(a)</w:t>
            </w:r>
          </w:p>
        </w:tc>
        <w:tc>
          <w:tcPr>
            <w:tcW w:w="27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3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1"/>
        </w:trPr>
        <w:tc>
          <w:tcPr>
            <w:tcW w:w="56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2720" w:type="dxa"/>
            <w:vAlign w:val="bottom"/>
            <w:tcBorders>
              <w:bottom w:val="single" w:sz="8" w:color="0C6DFF"/>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37,633</w:t>
            </w:r>
          </w:p>
        </w:tc>
        <w:tc>
          <w:tcPr>
            <w:tcW w:w="360" w:type="dxa"/>
            <w:vAlign w:val="bottom"/>
            <w:tcBorders>
              <w:bottom w:val="single" w:sz="8" w:color="0C6DFF"/>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36,459</w:t>
            </w:r>
          </w:p>
        </w:tc>
        <w:tc>
          <w:tcPr>
            <w:tcW w:w="360" w:type="dxa"/>
            <w:vAlign w:val="bottom"/>
            <w:tcBorders>
              <w:bottom w:val="single" w:sz="8" w:color="0C6DFF"/>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34,708</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Amounts represent the impact of certain events, gains, losses or other charges that are excluded from Adjusted EBITDA, including costs related to our investment portfolio, and Sky transaction-related costs in 2021.</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Constant Currency</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006EBF"/>
        </w:rPr>
        <w:t>Reconciliation of Connectivity &amp; Platforms Constant Currency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1"/>
                <w:szCs w:val="11"/>
                <w:color w:val="auto"/>
                <w:w w:val="99"/>
              </w:rPr>
              <w:t>2021</w:t>
            </w: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160" w:type="dxa"/>
            <w:vAlign w:val="bottom"/>
          </w:tcPr>
          <w:p>
            <w:pPr>
              <w:spacing w:after="0"/>
              <w:rPr>
                <w:sz w:val="9"/>
                <w:szCs w:val="9"/>
                <w:color w:val="auto"/>
              </w:rPr>
            </w:pPr>
          </w:p>
        </w:tc>
        <w:tc>
          <w:tcPr>
            <w:tcW w:w="880" w:type="dxa"/>
            <w:vAlign w:val="bottom"/>
            <w:vMerge w:val="restart"/>
          </w:tcPr>
          <w:p>
            <w:pPr>
              <w:jc w:val="right"/>
              <w:ind w:right="172"/>
              <w:spacing w:after="0"/>
              <w:rPr>
                <w:sz w:val="20"/>
                <w:szCs w:val="20"/>
                <w:color w:val="auto"/>
              </w:rPr>
            </w:pPr>
            <w:r>
              <w:rPr>
                <w:rFonts w:ascii="Times New Roman" w:cs="Times New Roman" w:eastAsia="Times New Roman" w:hAnsi="Times New Roman"/>
                <w:sz w:val="11"/>
                <w:szCs w:val="11"/>
                <w:color w:val="auto"/>
              </w:rPr>
              <w:t>As Reported</w:t>
            </w:r>
          </w:p>
        </w:tc>
        <w:tc>
          <w:tcPr>
            <w:tcW w:w="92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color w:val="auto"/>
              </w:rPr>
              <w:t>Effects of Foreign</w:t>
            </w:r>
          </w:p>
        </w:tc>
        <w:tc>
          <w:tcPr>
            <w:tcW w:w="100" w:type="dxa"/>
            <w:vAlign w:val="bottom"/>
          </w:tcPr>
          <w:p>
            <w:pPr>
              <w:spacing w:after="0"/>
              <w:rPr>
                <w:sz w:val="9"/>
                <w:szCs w:val="9"/>
                <w:color w:val="auto"/>
              </w:rPr>
            </w:pPr>
          </w:p>
        </w:tc>
        <w:tc>
          <w:tcPr>
            <w:tcW w:w="960" w:type="dxa"/>
            <w:vAlign w:val="bottom"/>
          </w:tcPr>
          <w:p>
            <w:pPr>
              <w:jc w:val="right"/>
              <w:ind w:right="32"/>
              <w:spacing w:after="0" w:line="110" w:lineRule="exact"/>
              <w:rPr>
                <w:sz w:val="20"/>
                <w:szCs w:val="20"/>
                <w:color w:val="auto"/>
              </w:rPr>
            </w:pPr>
            <w:r>
              <w:rPr>
                <w:rFonts w:ascii="Times New Roman" w:cs="Times New Roman" w:eastAsia="Times New Roman" w:hAnsi="Times New Roman"/>
                <w:sz w:val="11"/>
                <w:szCs w:val="11"/>
                <w:color w:val="auto"/>
              </w:rPr>
              <w:t>Constant Currency</w:t>
            </w:r>
          </w:p>
        </w:tc>
        <w:tc>
          <w:tcPr>
            <w:tcW w:w="160" w:type="dxa"/>
            <w:vAlign w:val="bottom"/>
          </w:tcPr>
          <w:p>
            <w:pPr>
              <w:spacing w:after="0"/>
              <w:rPr>
                <w:sz w:val="9"/>
                <w:szCs w:val="9"/>
                <w:color w:val="auto"/>
              </w:rPr>
            </w:pPr>
          </w:p>
        </w:tc>
        <w:tc>
          <w:tcPr>
            <w:tcW w:w="880" w:type="dxa"/>
            <w:vAlign w:val="bottom"/>
            <w:vMerge w:val="restart"/>
          </w:tcPr>
          <w:p>
            <w:pPr>
              <w:jc w:val="right"/>
              <w:ind w:right="171"/>
              <w:spacing w:after="0"/>
              <w:rPr>
                <w:sz w:val="20"/>
                <w:szCs w:val="20"/>
                <w:color w:val="auto"/>
              </w:rPr>
            </w:pPr>
            <w:r>
              <w:rPr>
                <w:rFonts w:ascii="Times New Roman" w:cs="Times New Roman" w:eastAsia="Times New Roman" w:hAnsi="Times New Roman"/>
                <w:sz w:val="11"/>
                <w:szCs w:val="11"/>
                <w:color w:val="auto"/>
              </w:rPr>
              <w:t>As Reported</w:t>
            </w:r>
          </w:p>
        </w:tc>
        <w:tc>
          <w:tcPr>
            <w:tcW w:w="92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color w:val="auto"/>
              </w:rPr>
              <w:t>Effects of Foreign</w:t>
            </w:r>
          </w:p>
        </w:tc>
        <w:tc>
          <w:tcPr>
            <w:tcW w:w="80" w:type="dxa"/>
            <w:vAlign w:val="bottom"/>
          </w:tcPr>
          <w:p>
            <w:pPr>
              <w:spacing w:after="0"/>
              <w:rPr>
                <w:sz w:val="9"/>
                <w:szCs w:val="9"/>
                <w:color w:val="auto"/>
              </w:rPr>
            </w:pPr>
          </w:p>
        </w:tc>
        <w:tc>
          <w:tcPr>
            <w:tcW w:w="960" w:type="dxa"/>
            <w:vAlign w:val="bottom"/>
          </w:tcPr>
          <w:p>
            <w:pPr>
              <w:jc w:val="right"/>
              <w:ind w:right="32"/>
              <w:spacing w:after="0" w:line="110" w:lineRule="exact"/>
              <w:rPr>
                <w:sz w:val="20"/>
                <w:szCs w:val="20"/>
                <w:color w:val="auto"/>
              </w:rPr>
            </w:pPr>
            <w:r>
              <w:rPr>
                <w:rFonts w:ascii="Times New Roman" w:cs="Times New Roman" w:eastAsia="Times New Roman" w:hAnsi="Times New Roman"/>
                <w:sz w:val="11"/>
                <w:szCs w:val="11"/>
                <w:color w:val="auto"/>
              </w:rPr>
              <w:t>Constant Currency</w:t>
            </w:r>
          </w:p>
        </w:tc>
        <w:tc>
          <w:tcPr>
            <w:tcW w:w="0" w:type="dxa"/>
            <w:vAlign w:val="bottom"/>
          </w:tcPr>
          <w:p>
            <w:pPr>
              <w:spacing w:after="0"/>
              <w:rPr>
                <w:sz w:val="1"/>
                <w:szCs w:val="1"/>
                <w:color w:val="auto"/>
              </w:rPr>
            </w:pPr>
          </w:p>
        </w:tc>
      </w:tr>
      <w:tr>
        <w:trPr>
          <w:trHeight w:val="151"/>
        </w:trPr>
        <w:tc>
          <w:tcPr>
            <w:tcW w:w="52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color w:val="auto"/>
              </w:rPr>
              <w:t>Currency</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color w:val="auto"/>
              </w:rPr>
              <w:t>Amounts</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1"/>
                <w:szCs w:val="11"/>
                <w:color w:val="auto"/>
              </w:rPr>
              <w:t>Currency</w:t>
            </w: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color w:val="auto"/>
              </w:rPr>
              <w:t>Amounts</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Connectivity &amp; Platforms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72,386</w:t>
            </w:r>
          </w:p>
        </w:tc>
        <w:tc>
          <w:tcPr>
            <w:tcW w:w="1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72,464</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72,694</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(1,699)</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70,995</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Services Connectivity</w:t>
            </w: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8,819</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8,819</w:t>
            </w: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8,056</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8,054</w:t>
            </w:r>
          </w:p>
        </w:tc>
        <w:tc>
          <w:tcPr>
            <w:tcW w:w="0" w:type="dxa"/>
            <w:vAlign w:val="bottom"/>
          </w:tcPr>
          <w:p>
            <w:pPr>
              <w:spacing w:after="0"/>
              <w:rPr>
                <w:sz w:val="1"/>
                <w:szCs w:val="1"/>
                <w:color w:val="auto"/>
              </w:rPr>
            </w:pPr>
          </w:p>
        </w:tc>
      </w:tr>
      <w:tr>
        <w:trPr>
          <w:trHeight w:val="171"/>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Connectivity &amp; Platforms revenue</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81,205</w:t>
            </w: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79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81,284</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80,750</w:t>
            </w:r>
          </w:p>
        </w:tc>
        <w:tc>
          <w:tcPr>
            <w:tcW w:w="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(1,701)</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79,049</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Connectivity &amp; Platforms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26,111</w:t>
            </w:r>
          </w:p>
        </w:tc>
        <w:tc>
          <w:tcPr>
            <w:tcW w:w="1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26,088</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25,188</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25,012</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Services Connectivity</w:t>
            </w: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5,060</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5,060</w:t>
            </w: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4,682</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4,684</w:t>
            </w:r>
          </w:p>
        </w:tc>
        <w:tc>
          <w:tcPr>
            <w:tcW w:w="0" w:type="dxa"/>
            <w:vAlign w:val="bottom"/>
          </w:tcPr>
          <w:p>
            <w:pPr>
              <w:spacing w:after="0"/>
              <w:rPr>
                <w:sz w:val="1"/>
                <w:szCs w:val="1"/>
                <w:color w:val="auto"/>
              </w:rPr>
            </w:pPr>
          </w:p>
        </w:tc>
      </w:tr>
      <w:tr>
        <w:trPr>
          <w:trHeight w:val="171"/>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Connectivity &amp; Platforms Adjusted EBITDA</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31,171</w:t>
            </w: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31,148</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29,871</w:t>
            </w:r>
          </w:p>
        </w:tc>
        <w:tc>
          <w:tcPr>
            <w:tcW w:w="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(175)</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29,696</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Margin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Connectivity &amp; Platforms</w:t>
            </w:r>
          </w:p>
        </w:tc>
        <w:tc>
          <w:tcPr>
            <w:tcW w:w="160" w:type="dxa"/>
            <w:vAlign w:val="bottom"/>
          </w:tcPr>
          <w:p>
            <w:pPr>
              <w:spacing w:after="0"/>
              <w:rPr>
                <w:sz w:val="15"/>
                <w:szCs w:val="15"/>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36.1 %</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bps</w:t>
            </w:r>
          </w:p>
        </w:tc>
        <w:tc>
          <w:tcPr>
            <w:tcW w:w="10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36.0 %</w:t>
            </w:r>
          </w:p>
        </w:tc>
        <w:tc>
          <w:tcPr>
            <w:tcW w:w="160" w:type="dxa"/>
            <w:vAlign w:val="bottom"/>
          </w:tcPr>
          <w:p>
            <w:pPr>
              <w:spacing w:after="0"/>
              <w:rPr>
                <w:sz w:val="15"/>
                <w:szCs w:val="15"/>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34.6 %</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bps</w:t>
            </w:r>
          </w:p>
        </w:tc>
        <w:tc>
          <w:tcPr>
            <w:tcW w:w="80" w:type="dxa"/>
            <w:vAlign w:val="bottom"/>
          </w:tcPr>
          <w:p>
            <w:pPr>
              <w:spacing w:after="0"/>
              <w:rPr>
                <w:sz w:val="15"/>
                <w:szCs w:val="15"/>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35.2 %</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Services Connectivity</w:t>
            </w: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57.4</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bps</w:t>
            </w: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57.4</w:t>
            </w: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58.1</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bps</w:t>
            </w: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71"/>
        </w:trPr>
        <w:tc>
          <w:tcPr>
            <w:tcW w:w="52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Connectivity &amp; Platforms Adjusted EBITDA margin</w:t>
            </w:r>
          </w:p>
        </w:tc>
        <w:tc>
          <w:tcPr>
            <w:tcW w:w="160" w:type="dxa"/>
            <w:vAlign w:val="bottom"/>
            <w:tcBorders>
              <w:bottom w:val="single" w:sz="8" w:color="0C6DFF"/>
            </w:tcBorders>
          </w:tcPr>
          <w:p>
            <w:pPr>
              <w:spacing w:after="0"/>
              <w:rPr>
                <w:sz w:val="14"/>
                <w:szCs w:val="14"/>
                <w:color w:val="auto"/>
              </w:rPr>
            </w:pPr>
          </w:p>
        </w:tc>
        <w:tc>
          <w:tcPr>
            <w:tcW w:w="880" w:type="dxa"/>
            <w:vAlign w:val="bottom"/>
            <w:tcBorders>
              <w:bottom w:val="single" w:sz="8" w:color="0C6DFF"/>
            </w:tcBorders>
          </w:tcPr>
          <w:p>
            <w:pPr>
              <w:ind w:left="440"/>
              <w:spacing w:after="0"/>
              <w:rPr>
                <w:sz w:val="20"/>
                <w:szCs w:val="20"/>
                <w:color w:val="auto"/>
              </w:rPr>
            </w:pPr>
            <w:r>
              <w:rPr>
                <w:rFonts w:ascii="Times New Roman" w:cs="Times New Roman" w:eastAsia="Times New Roman" w:hAnsi="Times New Roman"/>
                <w:sz w:val="14"/>
                <w:szCs w:val="14"/>
                <w:b w:val="1"/>
                <w:bCs w:val="1"/>
                <w:color w:val="auto"/>
                <w:w w:val="99"/>
              </w:rPr>
              <w:t>38.4 %</w:t>
            </w:r>
          </w:p>
        </w:tc>
        <w:tc>
          <w:tcPr>
            <w:tcW w:w="180" w:type="dxa"/>
            <w:vAlign w:val="bottom"/>
            <w:tcBorders>
              <w:bottom w:val="single" w:sz="8" w:color="0C6DFF"/>
            </w:tcBorders>
          </w:tcPr>
          <w:p>
            <w:pPr>
              <w:spacing w:after="0"/>
              <w:rPr>
                <w:sz w:val="14"/>
                <w:szCs w:val="14"/>
                <w:color w:val="auto"/>
              </w:rPr>
            </w:pPr>
          </w:p>
        </w:tc>
        <w:tc>
          <w:tcPr>
            <w:tcW w:w="7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 bps</w:t>
            </w:r>
          </w:p>
        </w:tc>
        <w:tc>
          <w:tcPr>
            <w:tcW w:w="100" w:type="dxa"/>
            <w:vAlign w:val="bottom"/>
            <w:tcBorders>
              <w:bottom w:val="single" w:sz="8" w:color="0C6DFF"/>
            </w:tcBorders>
          </w:tcPr>
          <w:p>
            <w:pPr>
              <w:spacing w:after="0"/>
              <w:rPr>
                <w:sz w:val="14"/>
                <w:szCs w:val="14"/>
                <w:color w:val="auto"/>
              </w:rPr>
            </w:pPr>
          </w:p>
        </w:tc>
        <w:tc>
          <w:tcPr>
            <w:tcW w:w="960" w:type="dxa"/>
            <w:vAlign w:val="bottom"/>
            <w:tcBorders>
              <w:bottom w:val="single" w:sz="8" w:color="0C6DFF"/>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38.3 %</w:t>
            </w:r>
          </w:p>
        </w:tc>
        <w:tc>
          <w:tcPr>
            <w:tcW w:w="160" w:type="dxa"/>
            <w:vAlign w:val="bottom"/>
            <w:tcBorders>
              <w:bottom w:val="single" w:sz="8" w:color="0C6DFF"/>
            </w:tcBorders>
          </w:tcPr>
          <w:p>
            <w:pPr>
              <w:spacing w:after="0"/>
              <w:rPr>
                <w:sz w:val="14"/>
                <w:szCs w:val="14"/>
                <w:color w:val="auto"/>
              </w:rPr>
            </w:pPr>
          </w:p>
        </w:tc>
        <w:tc>
          <w:tcPr>
            <w:tcW w:w="880" w:type="dxa"/>
            <w:vAlign w:val="bottom"/>
            <w:tcBorders>
              <w:bottom w:val="single" w:sz="8" w:color="0C6DFF"/>
            </w:tcBorders>
          </w:tcPr>
          <w:p>
            <w:pPr>
              <w:ind w:left="440"/>
              <w:spacing w:after="0"/>
              <w:rPr>
                <w:sz w:val="20"/>
                <w:szCs w:val="20"/>
                <w:color w:val="auto"/>
              </w:rPr>
            </w:pPr>
            <w:r>
              <w:rPr>
                <w:rFonts w:ascii="Times New Roman" w:cs="Times New Roman" w:eastAsia="Times New Roman" w:hAnsi="Times New Roman"/>
                <w:sz w:val="14"/>
                <w:szCs w:val="14"/>
                <w:b w:val="1"/>
                <w:bCs w:val="1"/>
                <w:color w:val="auto"/>
                <w:w w:val="99"/>
              </w:rPr>
              <w:t>37.0 %</w:t>
            </w:r>
          </w:p>
        </w:tc>
        <w:tc>
          <w:tcPr>
            <w:tcW w:w="160" w:type="dxa"/>
            <w:vAlign w:val="bottom"/>
            <w:tcBorders>
              <w:bottom w:val="single" w:sz="8" w:color="0C6DFF"/>
            </w:tcBorders>
          </w:tcPr>
          <w:p>
            <w:pPr>
              <w:spacing w:after="0"/>
              <w:rPr>
                <w:sz w:val="14"/>
                <w:szCs w:val="14"/>
                <w:color w:val="auto"/>
              </w:rPr>
            </w:pPr>
          </w:p>
        </w:tc>
        <w:tc>
          <w:tcPr>
            <w:tcW w:w="7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 bps</w:t>
            </w:r>
          </w:p>
        </w:tc>
        <w:tc>
          <w:tcPr>
            <w:tcW w:w="80" w:type="dxa"/>
            <w:vAlign w:val="bottom"/>
            <w:tcBorders>
              <w:bottom w:val="single" w:sz="8" w:color="0C6DFF"/>
            </w:tcBorders>
          </w:tcPr>
          <w:p>
            <w:pPr>
              <w:spacing w:after="0"/>
              <w:rPr>
                <w:sz w:val="14"/>
                <w:szCs w:val="14"/>
                <w:color w:val="auto"/>
              </w:rPr>
            </w:pPr>
          </w:p>
        </w:tc>
        <w:tc>
          <w:tcPr>
            <w:tcW w:w="960" w:type="dxa"/>
            <w:vAlign w:val="bottom"/>
            <w:tcBorders>
              <w:bottom w:val="single" w:sz="8" w:color="0C6DFF"/>
            </w:tcBorders>
          </w:tcPr>
          <w:p>
            <w:pPr>
              <w:ind w:left="520"/>
              <w:spacing w:after="0"/>
              <w:rPr>
                <w:sz w:val="20"/>
                <w:szCs w:val="20"/>
                <w:color w:val="auto"/>
              </w:rPr>
            </w:pPr>
            <w:r>
              <w:rPr>
                <w:rFonts w:ascii="Times New Roman" w:cs="Times New Roman" w:eastAsia="Times New Roman" w:hAnsi="Times New Roman"/>
                <w:sz w:val="14"/>
                <w:szCs w:val="14"/>
                <w:b w:val="1"/>
                <w:bCs w:val="1"/>
                <w:color w:val="auto"/>
                <w:w w:val="99"/>
              </w:rPr>
              <w:t>37.6 %</w:t>
            </w:r>
          </w:p>
        </w:tc>
        <w:tc>
          <w:tcPr>
            <w:tcW w:w="0" w:type="dxa"/>
            <w:vAlign w:val="bottom"/>
          </w:tcPr>
          <w:p>
            <w:pPr>
              <w:spacing w:after="0"/>
              <w:rPr>
                <w:sz w:val="1"/>
                <w:szCs w:val="1"/>
                <w:color w:val="auto"/>
              </w:rPr>
            </w:pPr>
          </w:p>
        </w:tc>
      </w:tr>
      <w:tr>
        <w:trPr>
          <w:trHeight w:val="704"/>
        </w:trPr>
        <w:tc>
          <w:tcPr>
            <w:tcW w:w="5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160" w:type="dxa"/>
            <w:vAlign w:val="bottom"/>
          </w:tcPr>
          <w:p>
            <w:pPr>
              <w:spacing w:after="0"/>
              <w:rPr>
                <w:sz w:val="24"/>
                <w:szCs w:val="24"/>
                <w:color w:val="auto"/>
              </w:rPr>
            </w:pPr>
          </w:p>
        </w:tc>
        <w:tc>
          <w:tcPr>
            <w:tcW w:w="88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48</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88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7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88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7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1"/>
                <w:szCs w:val="11"/>
                <w:color w:val="auto"/>
                <w:w w:val="99"/>
              </w:rPr>
              <w:t>2021</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restart"/>
          </w:tcPr>
          <w:p>
            <w:pPr>
              <w:jc w:val="right"/>
              <w:ind w:right="94"/>
              <w:spacing w:after="0"/>
              <w:rPr>
                <w:sz w:val="20"/>
                <w:szCs w:val="20"/>
                <w:color w:val="auto"/>
              </w:rPr>
            </w:pPr>
            <w:r>
              <w:rPr>
                <w:rFonts w:ascii="Times New Roman" w:cs="Times New Roman" w:eastAsia="Times New Roman" w:hAnsi="Times New Roman"/>
                <w:sz w:val="11"/>
                <w:szCs w:val="11"/>
                <w:color w:val="auto"/>
              </w:rPr>
              <w:t>As Reported</w:t>
            </w:r>
          </w:p>
        </w:tc>
        <w:tc>
          <w:tcPr>
            <w:tcW w:w="94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color w:val="auto"/>
              </w:rPr>
              <w:t>Effects of Foreign</w:t>
            </w:r>
          </w:p>
        </w:tc>
        <w:tc>
          <w:tcPr>
            <w:tcW w:w="92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1"/>
                <w:szCs w:val="11"/>
                <w:color w:val="auto"/>
              </w:rPr>
              <w:t>Constant Currency</w:t>
            </w:r>
          </w:p>
        </w:tc>
        <w:tc>
          <w:tcPr>
            <w:tcW w:w="160" w:type="dxa"/>
            <w:vAlign w:val="bottom"/>
          </w:tcPr>
          <w:p>
            <w:pPr>
              <w:spacing w:after="0"/>
              <w:rPr>
                <w:sz w:val="9"/>
                <w:szCs w:val="9"/>
                <w:color w:val="auto"/>
              </w:rPr>
            </w:pPr>
          </w:p>
        </w:tc>
        <w:tc>
          <w:tcPr>
            <w:tcW w:w="78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1"/>
                <w:szCs w:val="11"/>
                <w:color w:val="auto"/>
              </w:rPr>
              <w:t>As Reported</w:t>
            </w:r>
          </w:p>
        </w:tc>
        <w:tc>
          <w:tcPr>
            <w:tcW w:w="900" w:type="dxa"/>
            <w:vAlign w:val="bottom"/>
            <w:gridSpan w:val="2"/>
          </w:tcPr>
          <w:p>
            <w:pPr>
              <w:jc w:val="center"/>
              <w:ind w:left="15"/>
              <w:spacing w:after="0" w:line="110" w:lineRule="exact"/>
              <w:rPr>
                <w:sz w:val="20"/>
                <w:szCs w:val="20"/>
                <w:color w:val="auto"/>
              </w:rPr>
            </w:pPr>
            <w:r>
              <w:rPr>
                <w:rFonts w:ascii="Times New Roman" w:cs="Times New Roman" w:eastAsia="Times New Roman" w:hAnsi="Times New Roman"/>
                <w:sz w:val="11"/>
                <w:szCs w:val="11"/>
                <w:color w:val="auto"/>
              </w:rPr>
              <w:t>Effects of Foreign</w:t>
            </w:r>
          </w:p>
        </w:tc>
        <w:tc>
          <w:tcPr>
            <w:tcW w:w="40" w:type="dxa"/>
            <w:vAlign w:val="bottom"/>
          </w:tcPr>
          <w:p>
            <w:pPr>
              <w:spacing w:after="0"/>
              <w:rPr>
                <w:sz w:val="9"/>
                <w:szCs w:val="9"/>
                <w:color w:val="auto"/>
              </w:rPr>
            </w:pPr>
          </w:p>
        </w:tc>
        <w:tc>
          <w:tcPr>
            <w:tcW w:w="9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color w:val="auto"/>
              </w:rPr>
              <w:t>Constant Currency</w:t>
            </w:r>
          </w:p>
        </w:tc>
        <w:tc>
          <w:tcPr>
            <w:tcW w:w="0" w:type="dxa"/>
            <w:vAlign w:val="bottom"/>
          </w:tcPr>
          <w:p>
            <w:pPr>
              <w:spacing w:after="0"/>
              <w:rPr>
                <w:sz w:val="1"/>
                <w:szCs w:val="1"/>
                <w:color w:val="auto"/>
              </w:rPr>
            </w:pPr>
          </w:p>
        </w:tc>
      </w:tr>
      <w:tr>
        <w:trPr>
          <w:trHeight w:val="151"/>
        </w:trPr>
        <w:tc>
          <w:tcPr>
            <w:tcW w:w="4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rPr>
              <w:t>Currency</w:t>
            </w:r>
          </w:p>
        </w:tc>
        <w:tc>
          <w:tcPr>
            <w:tcW w:w="9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1"/>
                <w:szCs w:val="11"/>
                <w:color w:val="auto"/>
              </w:rPr>
              <w:t>Amounts</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1"/>
                <w:szCs w:val="11"/>
                <w:color w:val="auto"/>
              </w:rPr>
              <w:t>Currency</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color w:val="auto"/>
              </w:rPr>
              <w:t>Amounts</w:t>
            </w: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monthly total Connectivity &amp; Platforms revenue per customer relationship</w:t>
            </w:r>
          </w:p>
        </w:tc>
        <w:tc>
          <w:tcPr>
            <w:tcW w:w="5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129.10</w:t>
            </w:r>
          </w:p>
        </w:tc>
        <w:tc>
          <w:tcPr>
            <w:tcW w:w="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129.22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0" w:type="dxa"/>
            <w:vAlign w:val="bottom"/>
          </w:tcPr>
          <w:p>
            <w:pPr>
              <w:spacing w:after="0"/>
              <w:rPr>
                <w:sz w:val="1"/>
                <w:szCs w:val="1"/>
                <w:color w:val="auto"/>
              </w:rPr>
            </w:pPr>
          </w:p>
        </w:tc>
      </w:tr>
      <w:tr>
        <w:trPr>
          <w:trHeight w:val="180"/>
        </w:trPr>
        <w:tc>
          <w:tcPr>
            <w:tcW w:w="5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monthly total Connectivity &amp; Platforms Adjusted EBITDA per customer relationship</w:t>
            </w:r>
          </w:p>
        </w:tc>
        <w:tc>
          <w:tcPr>
            <w:tcW w:w="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49.55</w:t>
            </w:r>
          </w:p>
        </w:tc>
        <w:tc>
          <w:tcPr>
            <w:tcW w:w="3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4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47.87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47.59</w:t>
            </w:r>
          </w:p>
        </w:tc>
        <w:tc>
          <w:tcPr>
            <w:tcW w:w="0" w:type="dxa"/>
            <w:vAlign w:val="bottom"/>
          </w:tcPr>
          <w:p>
            <w:pPr>
              <w:spacing w:after="0"/>
              <w:rPr>
                <w:sz w:val="1"/>
                <w:szCs w:val="1"/>
                <w:color w:val="auto"/>
              </w:rPr>
            </w:pPr>
          </w:p>
        </w:tc>
      </w:tr>
      <w:tr>
        <w:trPr>
          <w:trHeight w:val="427"/>
        </w:trPr>
        <w:tc>
          <w:tcPr>
            <w:tcW w:w="4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1"/>
                <w:szCs w:val="11"/>
                <w:color w:val="auto"/>
                <w:w w:val="99"/>
              </w:rPr>
              <w:t>2021</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restart"/>
          </w:tcPr>
          <w:p>
            <w:pPr>
              <w:jc w:val="right"/>
              <w:ind w:right="94"/>
              <w:spacing w:after="0"/>
              <w:rPr>
                <w:sz w:val="20"/>
                <w:szCs w:val="20"/>
                <w:color w:val="auto"/>
              </w:rPr>
            </w:pPr>
            <w:r>
              <w:rPr>
                <w:rFonts w:ascii="Times New Roman" w:cs="Times New Roman" w:eastAsia="Times New Roman" w:hAnsi="Times New Roman"/>
                <w:sz w:val="11"/>
                <w:szCs w:val="11"/>
                <w:color w:val="auto"/>
              </w:rPr>
              <w:t>As Reported</w:t>
            </w:r>
          </w:p>
        </w:tc>
        <w:tc>
          <w:tcPr>
            <w:tcW w:w="94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1"/>
                <w:szCs w:val="11"/>
                <w:color w:val="auto"/>
              </w:rPr>
              <w:t>Effects of Foreign</w:t>
            </w:r>
          </w:p>
        </w:tc>
        <w:tc>
          <w:tcPr>
            <w:tcW w:w="92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color w:val="auto"/>
              </w:rPr>
              <w:t>Constant Currency</w:t>
            </w:r>
          </w:p>
        </w:tc>
        <w:tc>
          <w:tcPr>
            <w:tcW w:w="160" w:type="dxa"/>
            <w:vAlign w:val="bottom"/>
          </w:tcPr>
          <w:p>
            <w:pPr>
              <w:spacing w:after="0"/>
              <w:rPr>
                <w:sz w:val="9"/>
                <w:szCs w:val="9"/>
                <w:color w:val="auto"/>
              </w:rPr>
            </w:pPr>
          </w:p>
        </w:tc>
        <w:tc>
          <w:tcPr>
            <w:tcW w:w="78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1"/>
                <w:szCs w:val="11"/>
                <w:color w:val="auto"/>
              </w:rPr>
              <w:t>As Reported</w:t>
            </w:r>
          </w:p>
        </w:tc>
        <w:tc>
          <w:tcPr>
            <w:tcW w:w="900" w:type="dxa"/>
            <w:vAlign w:val="bottom"/>
            <w:gridSpan w:val="2"/>
          </w:tcPr>
          <w:p>
            <w:pPr>
              <w:jc w:val="center"/>
              <w:ind w:left="15"/>
              <w:spacing w:after="0" w:line="106" w:lineRule="exact"/>
              <w:rPr>
                <w:sz w:val="20"/>
                <w:szCs w:val="20"/>
                <w:color w:val="auto"/>
              </w:rPr>
            </w:pPr>
            <w:r>
              <w:rPr>
                <w:rFonts w:ascii="Times New Roman" w:cs="Times New Roman" w:eastAsia="Times New Roman" w:hAnsi="Times New Roman"/>
                <w:sz w:val="11"/>
                <w:szCs w:val="11"/>
                <w:color w:val="auto"/>
              </w:rPr>
              <w:t>Effects of Foreign</w:t>
            </w:r>
          </w:p>
        </w:tc>
        <w:tc>
          <w:tcPr>
            <w:tcW w:w="40" w:type="dxa"/>
            <w:vAlign w:val="bottom"/>
          </w:tcPr>
          <w:p>
            <w:pPr>
              <w:spacing w:after="0"/>
              <w:rPr>
                <w:sz w:val="9"/>
                <w:szCs w:val="9"/>
                <w:color w:val="auto"/>
              </w:rPr>
            </w:pPr>
          </w:p>
        </w:tc>
        <w:tc>
          <w:tcPr>
            <w:tcW w:w="96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1"/>
                <w:szCs w:val="11"/>
                <w:color w:val="auto"/>
              </w:rPr>
              <w:t>Constant Currency</w:t>
            </w:r>
          </w:p>
        </w:tc>
        <w:tc>
          <w:tcPr>
            <w:tcW w:w="0" w:type="dxa"/>
            <w:vAlign w:val="bottom"/>
          </w:tcPr>
          <w:p>
            <w:pPr>
              <w:spacing w:after="0"/>
              <w:rPr>
                <w:sz w:val="1"/>
                <w:szCs w:val="1"/>
                <w:color w:val="auto"/>
              </w:rPr>
            </w:pPr>
          </w:p>
        </w:tc>
      </w:tr>
      <w:tr>
        <w:trPr>
          <w:trHeight w:val="153"/>
        </w:trPr>
        <w:tc>
          <w:tcPr>
            <w:tcW w:w="486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rPr>
              <w:t>Currency</w:t>
            </w:r>
          </w:p>
        </w:tc>
        <w:tc>
          <w:tcPr>
            <w:tcW w:w="9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1"/>
                <w:szCs w:val="11"/>
                <w:color w:val="auto"/>
              </w:rPr>
              <w:t>Amounts</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1"/>
                <w:szCs w:val="11"/>
                <w:color w:val="auto"/>
              </w:rPr>
              <w:t>Currency</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color w:val="auto"/>
              </w:rPr>
              <w:t>Amounts</w:t>
            </w:r>
          </w:p>
        </w:tc>
        <w:tc>
          <w:tcPr>
            <w:tcW w:w="0" w:type="dxa"/>
            <w:vAlign w:val="bottom"/>
          </w:tcPr>
          <w:p>
            <w:pPr>
              <w:spacing w:after="0"/>
              <w:rPr>
                <w:sz w:val="1"/>
                <w:szCs w:val="1"/>
                <w:color w:val="auto"/>
              </w:rPr>
            </w:pPr>
          </w:p>
        </w:tc>
      </w:tr>
      <w:tr>
        <w:trPr>
          <w:trHeight w:val="17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Programming</w:t>
            </w:r>
          </w:p>
        </w:tc>
        <w:tc>
          <w:tcPr>
            <w:tcW w:w="52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18,500</w:t>
            </w: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18,532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20,542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19,889</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Technical and support</w:t>
            </w: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7,721</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7,732</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7,682</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0" w:type="dxa"/>
            <w:vAlign w:val="bottom"/>
          </w:tcPr>
          <w:p>
            <w:pPr>
              <w:spacing w:after="0"/>
              <w:rPr>
                <w:sz w:val="1"/>
                <w:szCs w:val="1"/>
                <w:color w:val="auto"/>
              </w:rPr>
            </w:pPr>
          </w:p>
        </w:tc>
      </w:tr>
      <w:tr>
        <w:trPr>
          <w:trHeight w:val="180"/>
        </w:trPr>
        <w:tc>
          <w:tcPr>
            <w:tcW w:w="4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 product costs</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5,618</w:t>
            </w: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4,626</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Marketing and promotion</w:t>
            </w: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5,101</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0" w:type="dxa"/>
            <w:vAlign w:val="bottom"/>
          </w:tcPr>
          <w:p>
            <w:pPr>
              <w:spacing w:after="0"/>
              <w:rPr>
                <w:sz w:val="1"/>
                <w:szCs w:val="1"/>
                <w:color w:val="auto"/>
              </w:rPr>
            </w:pPr>
          </w:p>
        </w:tc>
      </w:tr>
      <w:tr>
        <w:trPr>
          <w:trHeight w:val="180"/>
        </w:trPr>
        <w:tc>
          <w:tcPr>
            <w:tcW w:w="4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Customer service</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3,018</w:t>
            </w: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w:t>
            </w:r>
          </w:p>
        </w:tc>
        <w:tc>
          <w:tcPr>
            <w:tcW w:w="3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10,269</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9,557</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9,296</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Connectivity &amp; Platforms costs and expenses</w:t>
            </w:r>
          </w:p>
        </w:tc>
        <w:tc>
          <w:tcPr>
            <w:tcW w:w="520" w:type="dxa"/>
            <w:vAlign w:val="bottom"/>
            <w:tcBorders>
              <w:bottom w:val="single" w:sz="8" w:color="0C6DFF"/>
            </w:tcBorders>
          </w:tcPr>
          <w:p>
            <w:pPr>
              <w:spacing w:after="0"/>
              <w:rPr>
                <w:sz w:val="14"/>
                <w:szCs w:val="14"/>
                <w:color w:val="auto"/>
              </w:rPr>
            </w:pPr>
          </w:p>
        </w:tc>
        <w:tc>
          <w:tcPr>
            <w:tcW w:w="440" w:type="dxa"/>
            <w:vAlign w:val="bottom"/>
            <w:tcBorders>
              <w:bottom w:val="single" w:sz="8" w:color="0C6DFF"/>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50,033</w:t>
            </w:r>
          </w:p>
        </w:tc>
        <w:tc>
          <w:tcPr>
            <w:tcW w:w="340" w:type="dxa"/>
            <w:vAlign w:val="bottom"/>
            <w:tcBorders>
              <w:bottom w:val="single" w:sz="8" w:color="0C6DFF"/>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w:t>
            </w:r>
          </w:p>
        </w:tc>
        <w:tc>
          <w:tcPr>
            <w:tcW w:w="480" w:type="dxa"/>
            <w:vAlign w:val="bottom"/>
            <w:tcBorders>
              <w:bottom w:val="single" w:sz="8" w:color="0C6DFF"/>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50,136</w:t>
            </w:r>
          </w:p>
        </w:tc>
        <w:tc>
          <w:tcPr>
            <w:tcW w:w="1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0C6DFF"/>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50,880</w:t>
            </w:r>
          </w:p>
        </w:tc>
        <w:tc>
          <w:tcPr>
            <w:tcW w:w="1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0C6DFF"/>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(1,527)</w:t>
            </w:r>
          </w:p>
        </w:tc>
        <w:tc>
          <w:tcPr>
            <w:tcW w:w="1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49,353</w:t>
            </w:r>
          </w:p>
        </w:tc>
        <w:tc>
          <w:tcPr>
            <w:tcW w:w="0" w:type="dxa"/>
            <w:vAlign w:val="bottom"/>
          </w:tcPr>
          <w:p>
            <w:pPr>
              <w:spacing w:after="0"/>
              <w:rPr>
                <w:sz w:val="1"/>
                <w:szCs w:val="1"/>
                <w:color w:val="auto"/>
              </w:rPr>
            </w:pPr>
          </w:p>
        </w:tc>
      </w:tr>
      <w:tr>
        <w:trPr>
          <w:trHeight w:val="268"/>
        </w:trPr>
        <w:tc>
          <w:tcPr>
            <w:tcW w:w="4860" w:type="dxa"/>
            <w:vAlign w:val="bottom"/>
          </w:tcPr>
          <w:p>
            <w:pPr>
              <w:spacing w:after="0"/>
              <w:rPr>
                <w:sz w:val="20"/>
                <w:szCs w:val="20"/>
                <w:color w:val="auto"/>
              </w:rPr>
            </w:pPr>
            <w:r>
              <w:rPr>
                <w:rFonts w:ascii="Arial" w:cs="Arial" w:eastAsia="Arial" w:hAnsi="Arial"/>
                <w:sz w:val="14"/>
                <w:szCs w:val="14"/>
                <w:color w:val="006EBF"/>
              </w:rPr>
              <w:t>Reconciliation of Residential Connectivity &amp; Platforms Constant Currency</w:t>
            </w: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8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352"/>
              <w:spacing w:after="0"/>
              <w:rPr>
                <w:sz w:val="20"/>
                <w:szCs w:val="20"/>
                <w:color w:val="auto"/>
              </w:rPr>
            </w:pPr>
            <w:r>
              <w:rPr>
                <w:rFonts w:ascii="Times New Roman" w:cs="Times New Roman" w:eastAsia="Times New Roman" w:hAnsi="Times New Roman"/>
                <w:sz w:val="11"/>
                <w:szCs w:val="11"/>
                <w:color w:val="auto"/>
              </w:rPr>
              <w:t>2021</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9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As Reported</w:t>
            </w:r>
          </w:p>
        </w:tc>
        <w:tc>
          <w:tcPr>
            <w:tcW w:w="1100" w:type="dxa"/>
            <w:vAlign w:val="bottom"/>
            <w:gridSpan w:val="2"/>
          </w:tcPr>
          <w:p>
            <w:pPr>
              <w:jc w:val="right"/>
              <w:ind w:right="32"/>
              <w:spacing w:after="0" w:line="110" w:lineRule="exact"/>
              <w:rPr>
                <w:sz w:val="20"/>
                <w:szCs w:val="20"/>
                <w:color w:val="auto"/>
              </w:rPr>
            </w:pPr>
            <w:r>
              <w:rPr>
                <w:rFonts w:ascii="Times New Roman" w:cs="Times New Roman" w:eastAsia="Times New Roman" w:hAnsi="Times New Roman"/>
                <w:sz w:val="11"/>
                <w:szCs w:val="11"/>
                <w:color w:val="auto"/>
              </w:rPr>
              <w:t>Effects of Foreign</w:t>
            </w:r>
          </w:p>
        </w:tc>
        <w:tc>
          <w:tcPr>
            <w:tcW w:w="108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1"/>
                <w:szCs w:val="11"/>
                <w:color w:val="auto"/>
              </w:rPr>
              <w:t>Constant Currency</w:t>
            </w:r>
          </w:p>
        </w:tc>
        <w:tc>
          <w:tcPr>
            <w:tcW w:w="1120" w:type="dxa"/>
            <w:vAlign w:val="bottom"/>
            <w:gridSpan w:val="3"/>
            <w:vMerge w:val="restart"/>
          </w:tcPr>
          <w:p>
            <w:pPr>
              <w:jc w:val="right"/>
              <w:ind w:right="151"/>
              <w:spacing w:after="0"/>
              <w:rPr>
                <w:sz w:val="20"/>
                <w:szCs w:val="20"/>
                <w:color w:val="auto"/>
              </w:rPr>
            </w:pPr>
            <w:r>
              <w:rPr>
                <w:rFonts w:ascii="Times New Roman" w:cs="Times New Roman" w:eastAsia="Times New Roman" w:hAnsi="Times New Roman"/>
                <w:sz w:val="11"/>
                <w:szCs w:val="11"/>
                <w:color w:val="auto"/>
              </w:rPr>
              <w:t>As Reported</w:t>
            </w:r>
          </w:p>
        </w:tc>
        <w:tc>
          <w:tcPr>
            <w:tcW w:w="1160" w:type="dxa"/>
            <w:vAlign w:val="bottom"/>
            <w:gridSpan w:val="3"/>
          </w:tcPr>
          <w:p>
            <w:pPr>
              <w:jc w:val="center"/>
              <w:spacing w:after="0" w:line="110" w:lineRule="exact"/>
              <w:rPr>
                <w:sz w:val="20"/>
                <w:szCs w:val="20"/>
                <w:color w:val="auto"/>
              </w:rPr>
            </w:pPr>
            <w:r>
              <w:rPr>
                <w:rFonts w:ascii="Times New Roman" w:cs="Times New Roman" w:eastAsia="Times New Roman" w:hAnsi="Times New Roman"/>
                <w:sz w:val="11"/>
                <w:szCs w:val="11"/>
                <w:color w:val="auto"/>
              </w:rPr>
              <w:t>Effects of Foreign</w:t>
            </w:r>
          </w:p>
        </w:tc>
        <w:tc>
          <w:tcPr>
            <w:tcW w:w="40" w:type="dxa"/>
            <w:vAlign w:val="bottom"/>
          </w:tcPr>
          <w:p>
            <w:pPr>
              <w:spacing w:after="0"/>
              <w:rPr>
                <w:sz w:val="9"/>
                <w:szCs w:val="9"/>
                <w:color w:val="auto"/>
              </w:rPr>
            </w:pPr>
          </w:p>
        </w:tc>
        <w:tc>
          <w:tcPr>
            <w:tcW w:w="96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Constant Currency</w:t>
            </w:r>
          </w:p>
        </w:tc>
        <w:tc>
          <w:tcPr>
            <w:tcW w:w="0" w:type="dxa"/>
            <w:vAlign w:val="bottom"/>
          </w:tcPr>
          <w:p>
            <w:pPr>
              <w:spacing w:after="0"/>
              <w:rPr>
                <w:sz w:val="1"/>
                <w:szCs w:val="1"/>
                <w:color w:val="auto"/>
              </w:rPr>
            </w:pPr>
          </w:p>
        </w:tc>
      </w:tr>
      <w:tr>
        <w:trPr>
          <w:trHeight w:val="151"/>
        </w:trPr>
        <w:tc>
          <w:tcPr>
            <w:tcW w:w="486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gridSpan w:val="3"/>
            <w:vMerge w:val="continue"/>
          </w:tcPr>
          <w:p>
            <w:pPr>
              <w:spacing w:after="0"/>
              <w:rPr>
                <w:sz w:val="13"/>
                <w:szCs w:val="13"/>
                <w:color w:val="auto"/>
              </w:rPr>
            </w:pPr>
          </w:p>
        </w:tc>
        <w:tc>
          <w:tcPr>
            <w:tcW w:w="1100" w:type="dxa"/>
            <w:vAlign w:val="bottom"/>
            <w:tcBorders>
              <w:bottom w:val="single" w:sz="8" w:color="auto"/>
            </w:tcBorders>
            <w:gridSpan w:val="2"/>
          </w:tcPr>
          <w:p>
            <w:pPr>
              <w:jc w:val="right"/>
              <w:ind w:right="232"/>
              <w:spacing w:after="0"/>
              <w:rPr>
                <w:sz w:val="20"/>
                <w:szCs w:val="20"/>
                <w:color w:val="auto"/>
              </w:rPr>
            </w:pPr>
            <w:r>
              <w:rPr>
                <w:rFonts w:ascii="Times New Roman" w:cs="Times New Roman" w:eastAsia="Times New Roman" w:hAnsi="Times New Roman"/>
                <w:sz w:val="11"/>
                <w:szCs w:val="11"/>
                <w:color w:val="auto"/>
              </w:rPr>
              <w:t>Currency</w:t>
            </w:r>
          </w:p>
        </w:tc>
        <w:tc>
          <w:tcPr>
            <w:tcW w:w="108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1"/>
                <w:szCs w:val="11"/>
                <w:color w:val="auto"/>
              </w:rPr>
              <w:t>Amounts</w:t>
            </w:r>
          </w:p>
        </w:tc>
        <w:tc>
          <w:tcPr>
            <w:tcW w:w="112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212"/>
              <w:spacing w:after="0"/>
              <w:rPr>
                <w:sz w:val="20"/>
                <w:szCs w:val="20"/>
                <w:color w:val="auto"/>
              </w:rPr>
            </w:pPr>
            <w:r>
              <w:rPr>
                <w:rFonts w:ascii="Times New Roman" w:cs="Times New Roman" w:eastAsia="Times New Roman" w:hAnsi="Times New Roman"/>
                <w:sz w:val="11"/>
                <w:szCs w:val="11"/>
                <w:color w:val="auto"/>
              </w:rPr>
              <w:t>Currency</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1"/>
                <w:szCs w:val="11"/>
                <w:color w:val="auto"/>
              </w:rPr>
              <w:t>Amounts</w:t>
            </w: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Domestic broadband</w:t>
            </w:r>
          </w:p>
        </w:tc>
        <w:tc>
          <w:tcPr>
            <w:tcW w:w="520" w:type="dxa"/>
            <w:vAlign w:val="bottom"/>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8"/>
              </w:rPr>
              <w:t>24,469</w:t>
            </w:r>
          </w:p>
        </w:tc>
        <w:tc>
          <w:tcPr>
            <w:tcW w:w="76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ind w:right="27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24,469</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22,979</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7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22,979</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Domestic wireless</w:t>
            </w:r>
          </w:p>
        </w:tc>
        <w:tc>
          <w:tcPr>
            <w:tcW w:w="5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3,071</w:t>
            </w: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International connectivity</w:t>
            </w:r>
          </w:p>
        </w:tc>
        <w:tc>
          <w:tcPr>
            <w:tcW w:w="5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3,426</w:t>
            </w: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(341)</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residential connectivity</w:t>
            </w:r>
          </w:p>
        </w:tc>
        <w:tc>
          <w:tcPr>
            <w:tcW w:w="5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30,966</w:t>
            </w: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30,991</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(340)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28,312</w:t>
            </w:r>
          </w:p>
        </w:tc>
        <w:tc>
          <w:tcPr>
            <w:tcW w:w="0" w:type="dxa"/>
            <w:vAlign w:val="bottom"/>
          </w:tcPr>
          <w:p>
            <w:pPr>
              <w:spacing w:after="0"/>
              <w:rPr>
                <w:sz w:val="1"/>
                <w:szCs w:val="1"/>
                <w:color w:val="auto"/>
              </w:rPr>
            </w:pPr>
          </w:p>
        </w:tc>
      </w:tr>
      <w:tr>
        <w:trPr>
          <w:trHeight w:val="180"/>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Video</w:t>
            </w:r>
          </w:p>
        </w:tc>
        <w:tc>
          <w:tcPr>
            <w:tcW w:w="52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8"/>
              </w:rPr>
              <w:t>30,496</w:t>
            </w:r>
          </w:p>
        </w:tc>
        <w:tc>
          <w:tcPr>
            <w:tcW w:w="7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30,543</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(995)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31,445</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Advertising</w:t>
            </w:r>
          </w:p>
        </w:tc>
        <w:tc>
          <w:tcPr>
            <w:tcW w:w="5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4,546</w:t>
            </w: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(176)</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6,378</w:t>
            </w: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6,377</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7,095</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(188)</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6,907</w:t>
            </w: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5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72,386</w:t>
            </w: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w:t>
            </w: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72,464</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72,694</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(1,699)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70,995</w:t>
            </w: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Programming</w:t>
            </w:r>
          </w:p>
        </w:tc>
        <w:tc>
          <w:tcPr>
            <w:tcW w:w="5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18,500</w:t>
            </w: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18,532</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20,542</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(653)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19,889</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8"/>
              </w:rPr>
              <w:t>27,775</w:t>
            </w: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27,845</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26,964</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(869)</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26,095</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5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46,275</w:t>
            </w:r>
          </w:p>
        </w:tc>
        <w:tc>
          <w:tcPr>
            <w:tcW w:w="7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6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46,377</w:t>
            </w:r>
          </w:p>
        </w:tc>
        <w:tc>
          <w:tcPr>
            <w:tcW w:w="4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47,506</w:t>
            </w:r>
          </w:p>
        </w:tc>
        <w:tc>
          <w:tcPr>
            <w:tcW w:w="2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(1,523)</w:t>
            </w:r>
          </w:p>
        </w:tc>
        <w:tc>
          <w:tcPr>
            <w:tcW w:w="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45,983</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520" w:type="dxa"/>
            <w:vAlign w:val="bottom"/>
            <w:tcBorders>
              <w:bottom w:val="single" w:sz="8" w:color="0C6DFF"/>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0C6DFF"/>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26,111</w:t>
            </w:r>
          </w:p>
        </w:tc>
        <w:tc>
          <w:tcPr>
            <w:tcW w:w="760" w:type="dxa"/>
            <w:vAlign w:val="bottom"/>
            <w:tcBorders>
              <w:bottom w:val="single" w:sz="8" w:color="0C6DFF"/>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600" w:type="dxa"/>
            <w:vAlign w:val="bottom"/>
            <w:tcBorders>
              <w:bottom w:val="single" w:sz="8" w:color="0C6DFF"/>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26,088</w:t>
            </w:r>
          </w:p>
        </w:tc>
        <w:tc>
          <w:tcPr>
            <w:tcW w:w="440" w:type="dxa"/>
            <w:vAlign w:val="bottom"/>
            <w:tcBorders>
              <w:bottom w:val="single" w:sz="8" w:color="0C6DFF"/>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0C6DFF"/>
            </w:tcBorders>
          </w:tcPr>
          <w:p>
            <w:pPr>
              <w:spacing w:after="0"/>
              <w:rPr>
                <w:sz w:val="14"/>
                <w:szCs w:val="14"/>
                <w:color w:val="auto"/>
              </w:rPr>
            </w:pPr>
          </w:p>
        </w:tc>
        <w:tc>
          <w:tcPr>
            <w:tcW w:w="5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25,188</w:t>
            </w:r>
          </w:p>
        </w:tc>
        <w:tc>
          <w:tcPr>
            <w:tcW w:w="260" w:type="dxa"/>
            <w:vAlign w:val="bottom"/>
            <w:tcBorders>
              <w:bottom w:val="single" w:sz="8" w:color="0C6DFF"/>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0C6DFF"/>
            </w:tcBorders>
          </w:tcPr>
          <w:p>
            <w:pPr>
              <w:spacing w:after="0"/>
              <w:rPr>
                <w:sz w:val="14"/>
                <w:szCs w:val="14"/>
                <w:color w:val="auto"/>
              </w:rPr>
            </w:pPr>
          </w:p>
        </w:tc>
        <w:tc>
          <w:tcPr>
            <w:tcW w:w="740" w:type="dxa"/>
            <w:vAlign w:val="bottom"/>
            <w:tcBorders>
              <w:bottom w:val="single" w:sz="8" w:color="0C6DFF"/>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(176)</w:t>
            </w:r>
          </w:p>
        </w:tc>
        <w:tc>
          <w:tcPr>
            <w:tcW w:w="200" w:type="dxa"/>
            <w:vAlign w:val="bottom"/>
            <w:tcBorders>
              <w:bottom w:val="single" w:sz="8" w:color="0C6DFF"/>
            </w:tcBorders>
            <w:gridSpan w:val="2"/>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25,012</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Adjustments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billions)</w:t>
            </w:r>
          </w:p>
        </w:tc>
        <w:tc>
          <w:tcPr>
            <w:tcW w:w="15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operating activities</w:t>
            </w:r>
          </w:p>
        </w:tc>
        <w:tc>
          <w:tcPr>
            <w:tcW w:w="156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15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80"/>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used in financing activities</w:t>
            </w:r>
          </w:p>
        </w:tc>
        <w:tc>
          <w:tcPr>
            <w:tcW w:w="156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608"/>
        </w:trPr>
        <w:tc>
          <w:tcPr>
            <w:tcW w:w="6820" w:type="dxa"/>
            <w:vAlign w:val="bottom"/>
          </w:tcPr>
          <w:p>
            <w:pPr>
              <w:ind w:left="5560"/>
              <w:spacing w:after="0"/>
              <w:rPr>
                <w:sz w:val="20"/>
                <w:szCs w:val="20"/>
                <w:color w:val="auto"/>
              </w:rPr>
            </w:pPr>
            <w:r>
              <w:rPr>
                <w:rFonts w:ascii="Times New Roman" w:cs="Times New Roman" w:eastAsia="Times New Roman" w:hAnsi="Times New Roman"/>
                <w:sz w:val="11"/>
                <w:szCs w:val="11"/>
                <w:b w:val="1"/>
                <w:bCs w:val="1"/>
                <w:color w:val="auto"/>
              </w:rPr>
              <w:t>49</w:t>
            </w: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Comcast 2023 Annual Report on Form 10-K</w:t>
            </w:r>
          </w:p>
        </w:tc>
      </w:tr>
      <w:tr>
        <w:trPr>
          <w:trHeight w:val="254"/>
        </w:trPr>
        <w:tc>
          <w:tcPr>
            <w:tcW w:w="6820" w:type="dxa"/>
            <w:vAlign w:val="bottom"/>
            <w:tcBorders>
              <w:bottom w:val="single" w:sz="8" w:color="9A9A9A"/>
            </w:tcBorders>
          </w:tcPr>
          <w:p>
            <w:pPr>
              <w:spacing w:after="0"/>
              <w:rPr>
                <w:sz w:val="22"/>
                <w:szCs w:val="22"/>
                <w:color w:val="auto"/>
              </w:rPr>
            </w:pPr>
          </w:p>
        </w:tc>
        <w:tc>
          <w:tcPr>
            <w:tcW w:w="1560" w:type="dxa"/>
            <w:vAlign w:val="bottom"/>
            <w:tcBorders>
              <w:bottom w:val="single" w:sz="8" w:color="9A9A9A"/>
            </w:tcBorders>
          </w:tcPr>
          <w:p>
            <w:pPr>
              <w:spacing w:after="0"/>
              <w:rPr>
                <w:sz w:val="22"/>
                <w:szCs w:val="22"/>
                <w:color w:val="auto"/>
              </w:rPr>
            </w:pPr>
          </w:p>
        </w:tc>
        <w:tc>
          <w:tcPr>
            <w:tcW w:w="7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6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billions)</w:t>
            </w:r>
          </w:p>
        </w:tc>
        <w:tc>
          <w:tcPr>
            <w:tcW w:w="4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8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1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Short-term and long-term debt</w:t>
            </w:r>
          </w:p>
        </w:tc>
        <w:tc>
          <w:tcPr>
            <w:tcW w:w="41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97.1</w:t>
            </w: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w:t>
            </w:r>
          </w:p>
        </w:tc>
      </w:tr>
    </w:tbl>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Refer to the “Contractual Obligations” discussion below for additional information regarding our cash requirements.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December 31, 2023, amounts available under our revolving credit facility, net of amounts outstanding under our commercial paper program and outstanding letters of credit and bank guarantees, totaled $11.0 billion.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subject to customary covenants and restrictions set forth in agreements related to debt issued at Comcast and certain of our subsidiaries, including the indentures governing our public debt securities and the credit agreement governing the Comcast revolving credit facility. Our credit facility contains a financial covenant pertaining to leverage, which is the ratio of debt to EBITDA, as defined in the credit facility. Compliance with this financial covenant is tested on a quarterly basis under the terms of the credit facility. As of December 31, 2023, we met this financial covenant by a significant margin, and we expect to remain in compliance with this financial covenant and other covenants related to our debt. The covenants and restrictions in our revolving credit facility do not apply to certain entities, including Sky and our international theme parks.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Activities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Components of Net Cash Provided by Operating Activities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30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7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06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23,314</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14,041</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20,817</w:t>
            </w: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14,336</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13,821</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w:t>
            </w: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and long-lived asset impairments</w:t>
            </w:r>
          </w:p>
        </w:tc>
        <w:tc>
          <w:tcPr>
            <w:tcW w:w="3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8,583</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share-based compensation</w:t>
            </w:r>
          </w:p>
        </w:tc>
        <w:tc>
          <w:tcPr>
            <w:tcW w:w="3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1,241</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(2,055)</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w:t>
            </w: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of interest</w:t>
            </w:r>
          </w:p>
        </w:tc>
        <w:tc>
          <w:tcPr>
            <w:tcW w:w="3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(3,711)</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w:t>
            </w: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income taxes</w:t>
            </w:r>
          </w:p>
        </w:tc>
        <w:tc>
          <w:tcPr>
            <w:tcW w:w="3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(5,107)</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(5,265)</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w:t>
            </w:r>
          </w:p>
        </w:tc>
      </w:tr>
      <w:tr>
        <w:trPr>
          <w:trHeight w:val="18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Proceeds from investments and other</w:t>
            </w:r>
          </w:p>
        </w:tc>
        <w:tc>
          <w:tcPr>
            <w:tcW w:w="3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483</w:t>
            </w: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w:t>
            </w:r>
          </w:p>
        </w:tc>
      </w:tr>
      <w:tr>
        <w:trPr>
          <w:trHeight w:val="171"/>
        </w:trPr>
        <w:tc>
          <w:tcPr>
            <w:tcW w:w="512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60" w:type="dxa"/>
            <w:vAlign w:val="bottom"/>
            <w:tcBorders>
              <w:bottom w:val="single" w:sz="8" w:color="0C6D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28,501</w:t>
            </w:r>
          </w:p>
        </w:tc>
        <w:tc>
          <w:tcPr>
            <w:tcW w:w="400" w:type="dxa"/>
            <w:vAlign w:val="bottom"/>
            <w:tcBorders>
              <w:bottom w:val="single" w:sz="8" w:color="0C6D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26,413</w:t>
            </w:r>
          </w:p>
        </w:tc>
        <w:tc>
          <w:tcPr>
            <w:tcW w:w="400" w:type="dxa"/>
            <w:vAlign w:val="bottom"/>
            <w:tcBorders>
              <w:bottom w:val="single" w:sz="8" w:color="0C6D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29,146</w:t>
            </w:r>
          </w:p>
        </w:tc>
      </w:tr>
    </w:tbl>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variance in changes in operating assets and liabilities in 2023 was primarily related to the timing of amortization and related payments for our film and television costs, including reduced spending due to the work stoppages and the timing of sports, and the timing of deferred revenue, as well as increases in accounts receivable, partially offset by higher accruals related to severance in 2022 compared to 2023.</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increase in payments of interest in 2023 was primarily due to increased debt balances following debt issuances in the current year, cash proceeds from the early settlement of interest rate swaps related to our collateralized obligation in the prior year and higher weighted-average interest rates.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decrease in income tax payments in 2023 was primarily due to higher payments in the prior year relating to the preceding tax year, partially offset by higher taxable income in the current year.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payments related to the sale of our investment in Hulu will primarily be made in 2024.</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Activities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decreased in 2023 primarily due to net proceeds received as an advance on the sale of our interest in Hulu (see Note 8) and decreased purchases of short-term investments in the current year. These decreases were partially offset by increased capital expenditures and decreased proceeds from the maturity of short-term investments.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to receive additional proceeds for the sale of our interest in Hulu in 2024 following the finalization of the third-party appraisal process, at which time we will recognize the sale of our interest. See Note 8.</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50</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September 2023, we entered into an agreement with T-Mobile to sell certain of our spectrum licenses. The agreement provides us with a right to remove certain licenses from the transaction, which will result in total cash consideration between $1.2 billion and $3.3 billion. The sale is expected to close in 2028 subject to various conditions and approvals.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006EBF"/>
        </w:rPr>
        <w:t>Capital Expenditures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Capital expenditures increased in 2023 primarily due to increased spending on the development of the Epic Universe theme park in Orlando, $271 million associated with the acquisition of land for potential theme park expansion opportunities and increased spending in the Connectivity &amp; Platforms business. The costs associated with the construction of Universal Beijing Resort are presented separately in our consolidated statements of cash flows. See Note 8.</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most significant capital expenditures are within the Connectivity &amp; Platforms business, and we expect that this will continue in the future. Connectivity &amp; Platforms’ capital expenditures increased primarily due to increased spending on line extensions and scalable infrastructure, partially offset by decreased spending on customer premise equipment and support capital. The table below summarizes the capital expenditures we incurred in our segments in the Connectivity &amp; Platforms business in 2023, 2022 and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3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premise equipment</w:t>
            </w:r>
          </w:p>
        </w:tc>
        <w:tc>
          <w:tcPr>
            <w:tcW w:w="3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2,234</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w:t>
            </w:r>
          </w:p>
        </w:tc>
      </w:tr>
      <w:tr>
        <w:trPr>
          <w:trHeight w:val="180"/>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Scalable infrastructure</w:t>
            </w:r>
          </w:p>
        </w:tc>
        <w:tc>
          <w:tcPr>
            <w:tcW w:w="3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3,161</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2,725</w:t>
            </w:r>
          </w:p>
        </w:tc>
      </w:tr>
      <w:tr>
        <w:trPr>
          <w:trHeight w:val="18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Line extensions</w:t>
            </w:r>
          </w:p>
        </w:tc>
        <w:tc>
          <w:tcPr>
            <w:tcW w:w="3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2,333</w:t>
            </w: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r>
      <w:tr>
        <w:trPr>
          <w:trHeight w:val="18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Support capital</w:t>
            </w:r>
          </w:p>
        </w:tc>
        <w:tc>
          <w:tcPr>
            <w:tcW w:w="3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514</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w:t>
            </w:r>
          </w:p>
        </w:tc>
      </w:tr>
      <w:tr>
        <w:trPr>
          <w:trHeight w:val="171"/>
        </w:trPr>
        <w:tc>
          <w:tcPr>
            <w:tcW w:w="47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440" w:type="dxa"/>
            <w:vAlign w:val="bottom"/>
            <w:tcBorders>
              <w:bottom w:val="single" w:sz="8" w:color="0C6D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8,241</w:t>
            </w:r>
          </w:p>
        </w:tc>
        <w:tc>
          <w:tcPr>
            <w:tcW w:w="440" w:type="dxa"/>
            <w:vAlign w:val="bottom"/>
            <w:tcBorders>
              <w:bottom w:val="single" w:sz="8" w:color="0C6D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w:t>
            </w:r>
          </w:p>
        </w:tc>
        <w:tc>
          <w:tcPr>
            <w:tcW w:w="440" w:type="dxa"/>
            <w:vAlign w:val="bottom"/>
            <w:tcBorders>
              <w:bottom w:val="single" w:sz="8" w:color="0C6D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7,864</w:t>
            </w:r>
          </w:p>
        </w:tc>
      </w:tr>
    </w:tbl>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expect our capital expenditures in 2024 will continue to be focused on investments in line extensions for the expansion of both business services and residential passings in the Connectivity &amp; Platforms business, in scalable infrastructure as we increase capacity and continue to execute our plans to upgrade our network to deliver multigigabit speeds, and in the continued deployment of wireless gateways. In addition, we expect to continue investment in existing and new attractions at our Universal theme parks, including the development of Epic Universe. Capital expenditures for subsequent years will depend on numerous factors, including competition, changes in technology, regulatory changes, the timing and rate of deployment of new services, the capacity required for existing services, the timing of new attractions at our theme parks and potential acquisitions.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Activities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used in financing activities increased in 2023 primarily due to repayment of a collateralized obligation in the current year (see Note 8), higher repurchases and repayments of debt, repayments of short-term borrowings, net in the current year compared to proceeds from short-term borrowings, net in the prior year, and higher settlements of derivative contracts in the prior year, which are included in other financing activities. These increases were partially offset by higher proceeds from borrowings in the current year and a decrease in repurchases of common stock under our share repurchase program and employee plans.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May 2023, we issued $5.0 billion aggregate principal amount of fixed-rate senior notes maturing between 2029 and 2064, of which $2.9 billion was used to purchase senior notes maturing in 2024 and 2025. In February 2023, we issued $1.0 billion aggregate principal amount of fixed-rate senior notes maturing in 2033 and an amount equal to the net proceeds from this issuance is intended to finance or refinance one or more green projects, assets or activities that meet certain specified eligibility criteria.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2023, we also had net repayments of $660 million under our commercial paper program and made total debt repayments of $4.0 billion, including the $2.9 billion purchase of senior notes.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See Notes 6 and 8 for additional information on our financing activities.</w:t>
      </w:r>
    </w:p>
    <w:p>
      <w:pPr>
        <w:spacing w:after="0" w:line="386"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51</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161925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006EBF"/>
        </w:rPr>
        <w:t>Share Repurchases and Dividends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second quarter of 2021, we restarted our share repurchase program, which had been paused since the beginning of 2019. In 2023, we repurchased a total of 262 million shares of our Class A common stock for $11.0 billion under the share repurchase program authorization of $20 billion approved by our Board of Directors in September 2022. We did not purchase any shares outside of the program. As of December 31, 2023, we had $5.0 billion remaining under the authorization, and in January 2024, our Board of Directors terminated the existing program and approved a new share repurchase program authorization of $15 billion, which has no expiration date. We expect to repurchase additional shares of our Class A common stock under this new program in the open market or in private transactions, subject to market and other conditions.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2023, our Board of Directors declared quarterly dividends of $0.29 per share, including our fourth quarter dividend payable in January 2024 and we made dividend payments of $4.8 billion. In January 2024, our Board of Directors approved a 6.9% increase in our dividend to $1.24 per share on an annualized basis and approved our first quarter dividend of $0.31 per share, to be paid in April 2024. We expect to continue to pay quarterly dividends, although each dividend is subject to approval by our Board of Directors.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chart below summarizes share repurchases and dividend payments. In addition, we paid $291 million, $321 million and $674 million in 2023, 2022 and 2021, respectively, related to employee taxes associated with the administration of our share-based compensation plans. Our share repurchases have more than offset dilution that resulted from issuing our Class A common stock in connection with our share-based compensation plans in those years, thereby having the effect of reducing the total number of our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1454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Share Repurchases Under Share Repurchase Program Authorization and Dividends Paid and Weighted-Average Number of Common Shares Outstanding - Diluted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in billions and 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48195" cy="12668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48195" cy="1266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most significant contractual obligations as of December 31, 2023:</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As of December 31, 2023 (in billions)</w:t>
            </w:r>
          </w:p>
        </w:tc>
        <w:tc>
          <w:tcPr>
            <w:tcW w:w="3920" w:type="dxa"/>
            <w:vAlign w:val="bottom"/>
            <w:vMerge w:val="restart"/>
          </w:tcPr>
          <w:p>
            <w:pPr>
              <w:ind w:left="3560"/>
              <w:spacing w:after="0"/>
              <w:rPr>
                <w:sz w:val="20"/>
                <w:szCs w:val="20"/>
                <w:color w:val="auto"/>
              </w:rPr>
            </w:pPr>
            <w:r>
              <w:rPr>
                <w:rFonts w:ascii="Times New Roman" w:cs="Times New Roman" w:eastAsia="Times New Roman" w:hAnsi="Times New Roman"/>
                <w:sz w:val="11"/>
                <w:szCs w:val="11"/>
                <w:color w:val="auto"/>
              </w:rPr>
              <w:t>Total</w:t>
            </w: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Within the next 12</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Beyond the next 12</w:t>
            </w:r>
          </w:p>
        </w:tc>
        <w:tc>
          <w:tcPr>
            <w:tcW w:w="0" w:type="dxa"/>
            <w:vAlign w:val="bottom"/>
          </w:tcPr>
          <w:p>
            <w:pPr>
              <w:spacing w:after="0"/>
              <w:rPr>
                <w:sz w:val="1"/>
                <w:szCs w:val="1"/>
                <w:color w:val="auto"/>
              </w:rPr>
            </w:pPr>
          </w:p>
        </w:tc>
      </w:tr>
      <w:tr>
        <w:trPr>
          <w:trHeight w:val="147"/>
        </w:trPr>
        <w:tc>
          <w:tcPr>
            <w:tcW w:w="5260" w:type="dxa"/>
            <w:vAlign w:val="bottom"/>
            <w:vMerge w:val="continue"/>
          </w:tcPr>
          <w:p>
            <w:pPr>
              <w:spacing w:after="0"/>
              <w:rPr>
                <w:sz w:val="12"/>
                <w:szCs w:val="12"/>
                <w:color w:val="auto"/>
              </w:rPr>
            </w:pPr>
          </w:p>
        </w:tc>
        <w:tc>
          <w:tcPr>
            <w:tcW w:w="3920" w:type="dxa"/>
            <w:vAlign w:val="bottom"/>
            <w:vMerge w:val="continue"/>
          </w:tcPr>
          <w:p>
            <w:pPr>
              <w:spacing w:after="0"/>
              <w:rPr>
                <w:sz w:val="12"/>
                <w:szCs w:val="12"/>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months</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months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6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4"/>
                <w:szCs w:val="14"/>
                <w:color w:val="auto"/>
              </w:rPr>
              <w:t>Debt obligations</w:t>
            </w:r>
            <w:r>
              <w:rPr>
                <w:rFonts w:ascii="Times New Roman" w:cs="Times New Roman" w:eastAsia="Times New Roman" w:hAnsi="Times New Roman"/>
                <w:sz w:val="18"/>
                <w:szCs w:val="18"/>
                <w:color w:val="auto"/>
                <w:vertAlign w:val="superscript"/>
              </w:rPr>
              <w:t>(a)</w:t>
            </w:r>
          </w:p>
        </w:tc>
        <w:tc>
          <w:tcPr>
            <w:tcW w:w="32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r>
      <w:tr>
        <w:trPr>
          <w:trHeight w:val="18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Programming and production obligations</w:t>
            </w:r>
          </w:p>
        </w:tc>
        <w:tc>
          <w:tcPr>
            <w:tcW w:w="3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Amounts represent the face value of debt and exclude interest payments.</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largest contractual obligations relate to our outstanding debt. As of December 31, 2023, our debt had a weighted-average time to maturity of approximately 16 years. Including the effects of our derivative financial instruments, as of December 31, 2023, our debt had a weighted-average interest rate based on the stated coupons of 3.6% and the percentage of our debt obligations that were fixed-rate debt was 97%. We typically fund and expect to continue to be able to fund debt maturities and interest payments with cash flows generated in our operations; existing cash, cash equivalents and investments; or proceeds from additional external financing. See Note 6 and Item 7A for additional information on our debt.</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52</w:t>
            </w:r>
          </w:p>
        </w:tc>
      </w:tr>
      <w:tr>
        <w:trPr>
          <w:trHeight w:val="25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also have significant contractual obligations associated with our programming and production expenses. We have multiyear agreements for broadcast rights of sporting events, such as for the NFL, the Olympics and the English Premier League, which represent the substantial majority of our programming and production obligations. Connectivity &amp; Platforms’ programming expenses related to the distribution of third-party television networks are generally acquired under multiyear distribution agreements with fees based on the number of subscribers receiving the television network programming and a per subscriber fee. The amounts included in the table above relate to minimum guaranteed commitments for these distribution agreements or fixed fees, and as a result, we expect the total fees to be paid under these arrangements to be significantly higher than the amounts included above. We have funded and expect to continue to be able to fund our programming and production obligations with the cash generated from our operations. As of December 31, 2023, approximately 29% of cash payments related to our programming and production obligations are due after five years, of which the vast majority related to multiyear sports rights agreements. See Note 4 for additional information on programming and production costs.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other contractual obligations relate primarily to operating leases (see Note 15) and other arrangements recorded in our consolidated balance sheets and/or disclosed in the notes to our financial statements, including benefit plan obligations (see Note 11), liabilities for uncertain tax positions (see Note 5), our remaining unfunded capital commitment to Atairos (see Note 8) and a contractual obligation related to an interest held by a third party in the revenue of certain theme parks (see Note 15).</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Guarantee Structure</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Debt and Guarantee Structure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billions)</w:t>
            </w:r>
          </w:p>
        </w:tc>
        <w:tc>
          <w:tcPr>
            <w:tcW w:w="13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7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7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Debt Subject to Cross-Guarantees</w:t>
            </w:r>
          </w:p>
        </w:tc>
        <w:tc>
          <w:tcPr>
            <w:tcW w:w="1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Comcast</w:t>
            </w:r>
          </w:p>
        </w:tc>
        <w:tc>
          <w:tcPr>
            <w:tcW w:w="13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91.9</w:t>
            </w:r>
          </w:p>
        </w:tc>
        <w:tc>
          <w:tcPr>
            <w:tcW w:w="74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r>
      <w:tr>
        <w:trPr>
          <w:trHeight w:val="180"/>
        </w:trPr>
        <w:tc>
          <w:tcPr>
            <w:tcW w:w="7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NBCUniversal</w:t>
            </w:r>
            <w:r>
              <w:rPr>
                <w:rFonts w:ascii="Times New Roman" w:cs="Times New Roman" w:eastAsia="Times New Roman" w:hAnsi="Times New Roman"/>
                <w:sz w:val="18"/>
                <w:szCs w:val="18"/>
                <w:color w:val="auto"/>
                <w:vertAlign w:val="superscript"/>
              </w:rPr>
              <w:t>(a)</w:t>
            </w:r>
          </w:p>
        </w:tc>
        <w:tc>
          <w:tcPr>
            <w:tcW w:w="1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7260" w:type="dxa"/>
            <w:vAlign w:val="bottom"/>
            <w:tcBorders>
              <w:bottom w:val="single" w:sz="8" w:color="auto"/>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Comcast Cable</w:t>
            </w:r>
            <w:r>
              <w:rPr>
                <w:rFonts w:ascii="Times New Roman" w:cs="Times New Roman" w:eastAsia="Times New Roman" w:hAnsi="Times New Roman"/>
                <w:sz w:val="18"/>
                <w:szCs w:val="18"/>
                <w:color w:val="auto"/>
                <w:vertAlign w:val="superscript"/>
              </w:rPr>
              <w:t>(a)</w:t>
            </w:r>
          </w:p>
        </w:tc>
        <w:tc>
          <w:tcPr>
            <w:tcW w:w="1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0.9</w:t>
            </w: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71"/>
        </w:trPr>
        <w:tc>
          <w:tcPr>
            <w:tcW w:w="7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94.4</w:t>
            </w:r>
          </w:p>
        </w:tc>
        <w:tc>
          <w:tcPr>
            <w:tcW w:w="7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Debt Subject to One-Way Guarantees</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Sky</w:t>
            </w:r>
          </w:p>
        </w:tc>
        <w:tc>
          <w:tcPr>
            <w:tcW w:w="1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7260" w:type="dxa"/>
            <w:vAlign w:val="bottom"/>
            <w:tcBorders>
              <w:bottom w:val="single" w:sz="8" w:color="auto"/>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(a)</w:t>
            </w:r>
          </w:p>
        </w:tc>
        <w:tc>
          <w:tcPr>
            <w:tcW w:w="1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71"/>
        </w:trPr>
        <w:tc>
          <w:tcPr>
            <w:tcW w:w="7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7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Debt Not Guaranteed</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7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Universal Beijing Resort</w:t>
            </w:r>
            <w:r>
              <w:rPr>
                <w:rFonts w:ascii="Times New Roman" w:cs="Times New Roman" w:eastAsia="Times New Roman" w:hAnsi="Times New Roman"/>
                <w:sz w:val="18"/>
                <w:szCs w:val="18"/>
                <w:color w:val="auto"/>
                <w:vertAlign w:val="superscript"/>
              </w:rPr>
              <w:t>(b)</w:t>
            </w:r>
          </w:p>
        </w:tc>
        <w:tc>
          <w:tcPr>
            <w:tcW w:w="1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7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7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0"/>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Debt issuance costs, premiums, discounts, fair value adjustments for acquisition accounting and hedged positions, net</w:t>
            </w:r>
          </w:p>
        </w:tc>
        <w:tc>
          <w:tcPr>
            <w:tcW w:w="1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71"/>
        </w:trPr>
        <w:tc>
          <w:tcPr>
            <w:tcW w:w="72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1320" w:type="dxa"/>
            <w:vAlign w:val="bottom"/>
            <w:tcBorders>
              <w:bottom w:val="single" w:sz="8" w:color="0C6DFF"/>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97.1</w:t>
            </w:r>
          </w:p>
        </w:tc>
        <w:tc>
          <w:tcPr>
            <w:tcW w:w="740" w:type="dxa"/>
            <w:vAlign w:val="bottom"/>
            <w:tcBorders>
              <w:bottom w:val="single" w:sz="8" w:color="0C6DFF"/>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r>
    </w:tbl>
    <w:p>
      <w:pPr>
        <w:spacing w:after="0" w:line="99" w:lineRule="exact"/>
        <w:rPr>
          <w:sz w:val="20"/>
          <w:szCs w:val="20"/>
          <w:color w:val="auto"/>
        </w:rPr>
      </w:pPr>
    </w:p>
    <w:p>
      <w:pPr>
        <w:ind w:left="260" w:hanging="255"/>
        <w:spacing w:after="0" w:line="300" w:lineRule="auto"/>
        <w:tabs>
          <w:tab w:leader="none" w:pos="258"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44"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Universal Beijing Resort debt financing is secured by the assets of Universal Beijing Resort and the equity interests of the investors. See Note 8 for additional information.</w:t>
      </w:r>
    </w:p>
    <w:p>
      <w:pPr>
        <w:spacing w:after="0" w:line="200" w:lineRule="exact"/>
        <w:rPr>
          <w:sz w:val="20"/>
          <w:szCs w:val="20"/>
          <w:color w:val="auto"/>
        </w:rPr>
      </w:pPr>
    </w:p>
    <w:p>
      <w:pPr>
        <w:spacing w:after="0" w:line="223"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53</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161925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006EBF"/>
        </w:rPr>
        <w:t>Cross-Guarantees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2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2023 and 2022, the combined Guarantors have noncurrent notes payable to non-guarantor subsidiaries of $136 billion and $128 billion, respectively, and noncurrent notes receivable from non-guarantor subsidiaries of $18 billion and $30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6EBF"/>
        </w:rPr>
        <w:t>One-Way Guarantees</w:t>
      </w:r>
    </w:p>
    <w:p>
      <w:pPr>
        <w:spacing w:after="0" w:line="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Comcast provides full and unconditional guarantees of certain debt issued by Sky Limited (“Sky</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including all of its senior notes, and other consolidated subsidiaries not subject to the periodic reporting requirements of the SEC.</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December 31, 2023 and 2022, Comcast and Comcast Holdings, the combined issuer and guarantor of the guaranteed subordinated debt, have noncurrent senior notes payable to non-guarantor subsidiaries of $104 billion and $97 billion, respectively, and noncurrent notes receivable from non-guarantor subsidiaries of $14 billion and $28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54</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our estimates associated with the valuation and impairment testing of goodwill and cable franchise rights and the accounting for film and television costs are critical in the preparation of our consolidated financial statements. Management has discussed the development and selection of these critical accounting estimates with the Audit Committee of our Board of Directors, and the Audit Committee has reviewed the related disclosures below. See also Notes 4 and 10.</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and Impairment Testing of Goodwill and Cable Franchise Rights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assess the recoverability of our goodwill and indefinite-lived intangible assets, including cable franchise rights,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or an indefinite-lived intangible asset is less than its carrying amount. A quantitative assessment is performed if the qualitative assessment results in a more-likely-than-not determination or if a qualitative assessment is not performed. In connection with our impairment assessment process, in order to support our qualitative assessments, we typically perform quantitative assessments of our reporting units and cable franchise rights approximately once every four years.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6EBF"/>
        </w:rPr>
        <w:t>Goodwill</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Goodwill results from business combinations and represents the excess amount of the consideration paid over the identifiable assets and liabilities recorded in the acquisition. We test goodwill for impairment at the reporting unit level.</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When performing a quantitative assessment, we estimate the fair values of our reporting units primarily based on a discounted cash flow analysis that involves significant judgment, including market participant estimates of future cash flows expected to be generated by the business and the selection of discount rates. When performing this analysis, we also consider multiples of earnings from comparable public companies and recent market transactions.</w:t>
      </w:r>
    </w:p>
    <w:p>
      <w:pPr>
        <w:spacing w:after="0" w:line="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assessed goodwill for impairment in connection with our change in segment presentation in the first quarter of 2023. See Note 2 for additional information. Based on our assessment, no impairment was required. We also performed a qualitative assessment for goodwill in each of our reporting units in connection with our annual impairment testing. This analysis considered the results of previous quantitative assessments, and also considered various factors that would affect the estimated fair value of these reporting units in our qualitative assessments, including changes in projected future cash flows, recent market transactions and overall macroeconomic conditions, discount rates, and changes in our market capitalization. Based on these assessments, we concluded that it was more likely than not that the estimated fair values of our reporting units were substantially higher than their carrying values and that the performance of a quantitative impairment test was not required.</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2022, in connection with our annual impairment testing, we recorded an impairment of $8.1 billion related to goodwill in our Sky reporting unit (See Note 10). In preparing this assessment, we estimated the fair value of the Sky reporting unit using a discounted cash flow analysis. This analysis involved significant judgment, including market participant estimates of future cash flows expected to be generated by the business, including the estimated impact of macroeconomic conditions in the Sky territories, as well as the selection of the discount rate, which increased by 125 basis points compared to the prior analysis. When analyzing the fair value indicated under the discounted cash flow model, we also considered multiples of earnings from comparable public companies and recent market transactions.</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additional impairment charge.</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006EBF"/>
        </w:rPr>
        <w:t>Cable Franchise Rights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cable franchise rights assets result from agreements we have with state and local governments that allow us to construct and operate a cable business within a specified geographic area. The value of a franchise is derived from the economic benefits we receive from the right to solicit new customers and to market additional services in a particular service area. The amounts we record for cable franchise rights are primarily a result of cable system acquisitions. Typically when we acquire a cable system, the most significant asset we record is the value of the cable franchise rights.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When performing a quantitative assessment, we estimate the fair values of our cable franchise rights primarily based on a discounted cash flow analysis that involves significant judgment, including the estimate of future cash flows and the selection of discount rates.</w:t>
      </w:r>
    </w:p>
    <w:p>
      <w:pPr>
        <w:spacing w:after="0" w:line="364"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55</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2023, we performed a qualitative assessment of our cable franchise rights. At the time of our previous quantitative assessment in 2022, which was pursuant to our practice of performing quantitative assessments of cable franchise rights approximately once every four years, the estimated fair values of our franchise rights substantially exceeded their carrying values. We also considered various factors that would affect the estimated fair values of our cable franchise rights in our qualitative assessment, including changes in our projected future cash flows, recent market transactions and overall macroeconomic conditions, discount rates, and changes in our market capitalization. Based on this assessment, we concluded that it was more likely than not that the estimated fair values of our cable franchise rights were substantially higher than the carrying values and that the performance of a quantitative impairment test was not required.</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impairment charge.</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Film and Television Content</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capitalize costs for owned film and television content, including direct costs, production overhead, print costs, development costs and interest, as well as acquired libraries. We have determined that the predominant monetization strategy for the substantial majority of our content is on an individual basis.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estimates of ultimate revenue for films generally include revenue from all sources that are expected to be earned within 10 years from the date of a film’s initial release. These estimates are based on the distribution strategy and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 markets, including from content licensing across multiple platforms and home entertainment sales, are revised based on historical relationships and an analysis of current market trends.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With respect to television series or other owned television programming, the most sensitive factor affecting our estimate of ultimate revenue is whether the series can be successfully licensed beyond its initial license window. Initial estimates of ultimate revenue are limited to the amount of revenue attributed to the initial license window. Once it is determined that a television series or other owned television programming can be licensed beyond the initial license window, revenue estimates for these additional windows or platforms, such as U.S. and international syndication, home entertainment, and other distribution platforms, are included in ultimate revenue. Revenue estimates for produced episodes include revenue expected to be earned within 10 years of delivery of the initial episode or, if still in production, 5 years from the delivery of the most recent episode, if later.</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 We recognize the costs of multiyear, live-event sports rights as the rights are utilized over the contract term based on estimated relative value. Estimated relative value is generally based on terms of the contract and the nature of and potential revenue generation of the deliverables within the contract.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Capitalized film and television costs are subject to impairment testing when certain triggering events are identified. The substantial majority of our owned content is evaluated for impairment on an individual title basis. Licensed content that is not part of a film group is tested for impairment primarily on a channel, network or platform basis, with the exception of our broadcast networks and owned local broadcast television stations, which are tested on a daypart basis. Sports rights are accounted for as executory contracts and are not subject to impairment. When performing an impairment assessment, we estimate fair value primarily based on a discounted cash flow analysis that involves significant judgment, including market participant estimates of future cash flows, which are supported by internal forecasts. Impairments of capitalized film and television costs were not material in any of the periods presented.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56</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006EBF"/>
        </w:rPr>
        <w:t>Item 7A: Quantitative and Qualitative Disclosures About Market Risk</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policy.</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monitor our exposure to the risk of adverse changes in interest rates through the use of techniques that include market valuation and sensitivity analyses. We do not engage in any speculative or leveraged derivative transactions.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interest rate derivative financial instruments, which primarily include cross-currency swaps and interest rate swaps, represent an integral part of our interest rate risk management program.</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effect of our interest rate derivative financial instruments to our consolidated interest expense was a decrease of $56 million in 2023, a decrease of $66 million in 2022 and a decrease of $2 million in 2021. Interest rate derivative financial instruments may have a significant effect on consolidated interest expense in the future.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table below summarizes by contractual year of maturity the principal amount of our debt, notional amount of our interest rate instruments, effective rates, and fair values subject to interest rate risk maintained by us as of December 31, 2023. We estimate interest rates on variable rate debt and swaps using the relevant average implied forward rates through the year of maturity based on the yield curve in effect on December 31, 2023, plus the applicable borrowing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Estimated</w:t>
            </w:r>
          </w:p>
        </w:tc>
        <w:tc>
          <w:tcPr>
            <w:tcW w:w="0" w:type="dxa"/>
            <w:vAlign w:val="bottom"/>
          </w:tcPr>
          <w:p>
            <w:pPr>
              <w:spacing w:after="0"/>
              <w:rPr>
                <w:sz w:val="1"/>
                <w:szCs w:val="1"/>
                <w:color w:val="auto"/>
              </w:rPr>
            </w:pPr>
          </w:p>
        </w:tc>
      </w:tr>
      <w:tr>
        <w:trPr>
          <w:trHeight w:val="117"/>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(in billions)</w:t>
            </w:r>
          </w:p>
        </w:tc>
        <w:tc>
          <w:tcPr>
            <w:tcW w:w="4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4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4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4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4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2028</w:t>
            </w:r>
          </w:p>
        </w:tc>
        <w:tc>
          <w:tcPr>
            <w:tcW w:w="360" w:type="dxa"/>
            <w:vAlign w:val="bottom"/>
          </w:tcPr>
          <w:p>
            <w:pPr>
              <w:spacing w:after="0"/>
              <w:rPr>
                <w:sz w:val="10"/>
                <w:szCs w:val="10"/>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auto"/>
              </w:rPr>
              <w:t>Thereafter</w:t>
            </w:r>
          </w:p>
        </w:tc>
        <w:tc>
          <w:tcPr>
            <w:tcW w:w="3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Pr>
          <w:p>
            <w:pPr>
              <w:spacing w:after="0"/>
              <w:rPr>
                <w:sz w:val="10"/>
                <w:szCs w:val="10"/>
                <w:color w:val="auto"/>
              </w:rPr>
            </w:pPr>
          </w:p>
        </w:tc>
        <w:tc>
          <w:tcPr>
            <w:tcW w:w="10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Fair Value as of</w:t>
            </w:r>
          </w:p>
        </w:tc>
        <w:tc>
          <w:tcPr>
            <w:tcW w:w="0" w:type="dxa"/>
            <w:vAlign w:val="bottom"/>
          </w:tcPr>
          <w:p>
            <w:pPr>
              <w:spacing w:after="0"/>
              <w:rPr>
                <w:sz w:val="1"/>
                <w:szCs w:val="1"/>
                <w:color w:val="auto"/>
              </w:rPr>
            </w:pPr>
          </w:p>
        </w:tc>
      </w:tr>
      <w:tr>
        <w:trPr>
          <w:trHeight w:val="151"/>
        </w:trPr>
        <w:tc>
          <w:tcPr>
            <w:tcW w:w="238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December 31, 2023</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Fixed-rate debt</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1.8</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6.3</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5.2</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5.7</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7.0</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76.9</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102.9</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80"/>
        </w:trPr>
        <w:tc>
          <w:tcPr>
            <w:tcW w:w="238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Average interest rate</w:t>
            </w:r>
            <w:r>
              <w:rPr>
                <w:rFonts w:ascii="Times New Roman" w:cs="Times New Roman" w:eastAsia="Times New Roman" w:hAnsi="Times New Roman"/>
                <w:sz w:val="18"/>
                <w:szCs w:val="18"/>
                <w:color w:val="auto"/>
                <w:vertAlign w:val="superscript"/>
              </w:rPr>
              <w:t>(a)</w:t>
            </w: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Variable-rate debt</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0.2</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0"/>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Average interest rate</w:t>
            </w: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Fixed-to-Variable Interest Rate Swaps</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Notional amount</w:t>
            </w:r>
            <w:r>
              <w:rPr>
                <w:rFonts w:ascii="Times New Roman" w:cs="Times New Roman" w:eastAsia="Times New Roman" w:hAnsi="Times New Roman"/>
                <w:sz w:val="18"/>
                <w:szCs w:val="18"/>
                <w:color w:val="auto"/>
                <w:vertAlign w:val="superscript"/>
              </w:rPr>
              <w:t>(b)</w:t>
            </w:r>
          </w:p>
        </w:tc>
        <w:tc>
          <w:tcPr>
            <w:tcW w:w="4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0.3</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0"/>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Average pay rate</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360" w:type="dxa"/>
            <w:vAlign w:val="bottom"/>
          </w:tcPr>
          <w:p>
            <w:pPr>
              <w:spacing w:after="0"/>
              <w:rPr>
                <w:sz w:val="15"/>
                <w:szCs w:val="15"/>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Average receive rate</w:t>
            </w:r>
          </w:p>
        </w:tc>
        <w:tc>
          <w:tcPr>
            <w:tcW w:w="4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4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4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3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00" w:hanging="195"/>
        <w:spacing w:after="0"/>
        <w:tabs>
          <w:tab w:leader="none" w:pos="20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the effects of our fixed-to-fixed cross-currency swaps, which are discussed further below under the heading “Foreign Exchange Risk Management.”</w:t>
      </w:r>
    </w:p>
    <w:p>
      <w:pPr>
        <w:spacing w:after="0" w:line="106" w:lineRule="exact"/>
        <w:rPr>
          <w:rFonts w:ascii="Times New Roman" w:cs="Times New Roman" w:eastAsia="Times New Roman" w:hAnsi="Times New Roman"/>
          <w:sz w:val="11"/>
          <w:szCs w:val="11"/>
          <w:color w:val="auto"/>
        </w:rPr>
      </w:pPr>
    </w:p>
    <w:p>
      <w:pPr>
        <w:ind w:left="200" w:hanging="195"/>
        <w:spacing w:after="0" w:line="300" w:lineRule="auto"/>
        <w:tabs>
          <w:tab w:leader="none" w:pos="194"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Notional amounts are used to calculate the interest to be paid or received and do not represent our exposure to credit loss. The estimated fair value approximates the amount of payments to be made or proceeds to be received to settle the outstanding contracts, excluding accrued interest.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we had a $5.2 billion variable rate term loan presented separately as a collateralized obligation that was repaid in December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1, 6 and 8 for additional information.</w:t>
      </w:r>
    </w:p>
    <w:p>
      <w:pPr>
        <w:spacing w:after="0" w:line="200" w:lineRule="exact"/>
        <w:rPr>
          <w:sz w:val="20"/>
          <w:szCs w:val="20"/>
          <w:color w:val="auto"/>
        </w:rPr>
      </w:pPr>
    </w:p>
    <w:p>
      <w:pPr>
        <w:spacing w:after="0" w:line="218"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57</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significant operations in a number of countries outside the United States, and certain of our operations are conducted in foreign currencies. The value of these currencies, primarily including the British pound, euro, Japanese yen and Chinese yuan, fluctuates relative to the U.S. dollar. These changes could adversely affect the U.S. dollar equivalent value of our non-U.S. dollar operations, which could negatively affect our business, financial condition and results of operations in a given period or in specific territories.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part of our overall strategy to manage the level of exposure to the risk of foreign exchange rate fluctuations, we enter into derivative financial instruments related to a significant portion of our foreign currency exposure for transactions denominated in currencies other than the functional currency of the transacting entity. We enter into foreign currency forward contracts that change in value as currency exchange rates fluctuate to protect the functional currency equivalent value of non-functional currency denominated assets, liabilities, commitments, and forecasted non-functional currency revenue and expenses. In accordance with our policy, we hedge forecasted foreign currency transactions for periods generally not to exceed 30 months. As of December 31, 2023 and 2022, we had foreign currency forwards designated as fair value hedges on $2.0 billion and $5.4 billion of our foreign currency intercompany loans receivable, respectively, and the aggregate estimated fair value of these foreign currency forwards was a net liability of $15 million and $56 million, respectively. Our other foreign currency forwards were not material in any period presented.</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use cross-currency swaps as cash flow hedges for certain debt obligations denominated in a currency other than the functional currency of the issuer. Cross-currency swaps effectively convert foreign currency denominated debt to debt denominated in the functional currency, which hedge currency exchange risks associated with foreign currency denominated cash flows such as interest and principal debt repayments. As of December 31, 2023 and 2022, we had cross-currency swaps designated as cash flow hedges on $797 million and $752 million of our foreign currency denominated debt, respectively, and the aggregate estimated fair value of these cross-currency swaps was a net liability of $211 million and $274 million, respectively.</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also exposed to foreign exchange risk on the consolidation of our foreign operations. We have foreign currency denominated debt and cross-currency swaps designated as hedges of our net investments in certain of these subsidiaries. As of December 31, 2023 and 2022, the amount of foreign currency denominated debt designated as hedges of our net investment in foreign subsidiaries was $7.4 billion and $7.6 billion, respectively, and the notional amount of cross-currency swaps designated as hedges of our net investment in foreign subsidiaries was $2.8 billion and $2.5 billion, respectively. As of December 31, 2023 and 2022, the aggregate estimated fair value of these cross-currency swaps was a net liability of $3 million and a net asset of $108 million, respectively. The amount of pre-tax gains (losses) related to net investment hedges recognized in the cumulative translation adjustments component of other comprehensive income (loss) were gains of $316 million in 2023, losses of $397 million in 2022 and gains of $760 million in 2021.</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analyzed our foreign currency exposure related to our foreign operations as of December 31, 2023, including our hedging contracts, to identify assets and liabilities denominated in a currency other than their functional currency. For those assets and liabilities, we then evaluated the effect of a hypothetical 10% shift in currency exchange rates, inclusive of the effects of derivatives. The results of our analysis indicate that such a shift in exchange rates would not have a material impact on our 2023 net income attributable to Comcast Corporation.</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4819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manage the credit risks associated with our derivative financial instruments through diversification and the evaluation and monitoring of the creditworthiness of counterparties. Although we may be exposed to losses in the event of nonperformance by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counterparty’s credit ratings. As of December 31, 2023 and 2022, we were not required to post collateral under the terms of these agreements, nor did we hold any collateral under the terms of these agreements.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58</w:t>
            </w:r>
          </w:p>
        </w:tc>
      </w:tr>
      <w:tr>
        <w:trPr>
          <w:trHeight w:val="25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006EBF"/>
        </w:rPr>
        <w:t>Item 8: Comcast Corporation Financial Statements and Supplementary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420" w:type="dxa"/>
            <w:vAlign w:val="bottom"/>
            <w:gridSpan w:val="18"/>
          </w:tcPr>
          <w:p>
            <w:pPr>
              <w:spacing w:after="0"/>
              <w:rPr>
                <w:sz w:val="20"/>
                <w:szCs w:val="20"/>
                <w:color w:val="auto"/>
              </w:rPr>
            </w:pPr>
            <w:r>
              <w:rPr>
                <w:rFonts w:ascii="Times New Roman" w:cs="Times New Roman" w:eastAsia="Times New Roman" w:hAnsi="Times New Roman"/>
                <w:sz w:val="11"/>
                <w:szCs w:val="11"/>
                <w:color w:val="auto"/>
              </w:rPr>
              <w:t>Index</w:t>
            </w:r>
          </w:p>
        </w:tc>
        <w:tc>
          <w:tcPr>
            <w:tcW w:w="3840" w:type="dxa"/>
            <w:vAlign w:val="bottom"/>
            <w:gridSpan w:val="4"/>
          </w:tcPr>
          <w:p>
            <w:pPr>
              <w:jc w:val="right"/>
              <w:ind w:right="600"/>
              <w:spacing w:after="0"/>
              <w:rPr>
                <w:sz w:val="20"/>
                <w:szCs w:val="20"/>
                <w:color w:val="auto"/>
              </w:rPr>
            </w:pPr>
            <w:r>
              <w:rPr>
                <w:rFonts w:ascii="Times New Roman" w:cs="Times New Roman" w:eastAsia="Times New Roman" w:hAnsi="Times New Roman"/>
                <w:sz w:val="11"/>
                <w:szCs w:val="11"/>
                <w:color w:val="auto"/>
              </w:rPr>
              <w:t>Page</w:t>
            </w:r>
          </w:p>
        </w:tc>
      </w:tr>
      <w:tr>
        <w:trPr>
          <w:trHeight w:val="159"/>
        </w:trPr>
        <w:tc>
          <w:tcPr>
            <w:tcW w:w="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spacing w:after="0" w:line="159" w:lineRule="exact"/>
              <w:rPr>
                <w:sz w:val="20"/>
                <w:szCs w:val="20"/>
                <w:color w:val="auto"/>
              </w:rPr>
            </w:pPr>
            <w:r>
              <w:rPr>
                <w:rFonts w:ascii="Times New Roman" w:cs="Times New Roman" w:eastAsia="Times New Roman" w:hAnsi="Times New Roman"/>
                <w:sz w:val="14"/>
                <w:szCs w:val="14"/>
                <w:color w:val="0000FF"/>
              </w:rPr>
              <w:t>Report of Management</w:t>
            </w:r>
          </w:p>
        </w:tc>
        <w:tc>
          <w:tcPr>
            <w:tcW w:w="6100" w:type="dxa"/>
            <w:vAlign w:val="bottom"/>
            <w:tcBorders>
              <w:top w:val="single" w:sz="8" w:color="auto"/>
            </w:tcBorders>
            <w:gridSpan w:val="16"/>
          </w:tcPr>
          <w:p>
            <w:pPr>
              <w:spacing w:after="0"/>
              <w:rPr>
                <w:sz w:val="13"/>
                <w:szCs w:val="13"/>
                <w:color w:val="auto"/>
              </w:rPr>
            </w:pPr>
          </w:p>
        </w:tc>
        <w:tc>
          <w:tcPr>
            <w:tcW w:w="3800" w:type="dxa"/>
            <w:vAlign w:val="bottom"/>
            <w:tcBorders>
              <w:top w:val="single" w:sz="8" w:color="auto"/>
            </w:tcBorders>
            <w:gridSpan w:val="3"/>
          </w:tcPr>
          <w:p>
            <w:pPr>
              <w:jc w:val="right"/>
              <w:ind w:right="540"/>
              <w:spacing w:after="0" w:line="159" w:lineRule="exact"/>
              <w:rPr>
                <w:sz w:val="20"/>
                <w:szCs w:val="20"/>
                <w:color w:val="auto"/>
              </w:rPr>
            </w:pPr>
            <w:r>
              <w:rPr>
                <w:rFonts w:ascii="Times New Roman" w:cs="Times New Roman" w:eastAsia="Times New Roman" w:hAnsi="Times New Roman"/>
                <w:sz w:val="14"/>
                <w:szCs w:val="14"/>
                <w:color w:val="0000FF"/>
              </w:rPr>
              <w:t>60</w:t>
            </w: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33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4100" w:type="dxa"/>
            <w:vAlign w:val="bottom"/>
            <w:gridSpan w:val="2"/>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61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20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Income</w:t>
            </w:r>
          </w:p>
        </w:tc>
        <w:tc>
          <w:tcPr>
            <w:tcW w:w="1300" w:type="dxa"/>
            <w:vAlign w:val="bottom"/>
            <w:gridSpan w:val="9"/>
          </w:tcPr>
          <w:p>
            <w:pPr>
              <w:spacing w:after="0"/>
              <w:rPr>
                <w:sz w:val="24"/>
                <w:szCs w:val="24"/>
                <w:color w:val="auto"/>
              </w:rPr>
            </w:pPr>
          </w:p>
        </w:tc>
        <w:tc>
          <w:tcPr>
            <w:tcW w:w="4100" w:type="dxa"/>
            <w:vAlign w:val="bottom"/>
            <w:gridSpan w:val="2"/>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63</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29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w w:val="99"/>
              </w:rPr>
              <w:t>Consolidated Statements of Comprehensive Income</w:t>
            </w:r>
          </w:p>
        </w:tc>
        <w:tc>
          <w:tcPr>
            <w:tcW w:w="4480" w:type="dxa"/>
            <w:vAlign w:val="bottom"/>
            <w:gridSpan w:val="4"/>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64</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680" w:type="dxa"/>
            <w:vAlign w:val="bottom"/>
            <w:gridSpan w:val="5"/>
          </w:tcPr>
          <w:p>
            <w:pPr>
              <w:spacing w:after="0"/>
              <w:rPr>
                <w:sz w:val="24"/>
                <w:szCs w:val="24"/>
                <w:color w:val="auto"/>
              </w:rPr>
            </w:pPr>
          </w:p>
        </w:tc>
        <w:tc>
          <w:tcPr>
            <w:tcW w:w="4480" w:type="dxa"/>
            <w:vAlign w:val="bottom"/>
            <w:gridSpan w:val="4"/>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65</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5160" w:type="dxa"/>
            <w:vAlign w:val="bottom"/>
            <w:gridSpan w:val="9"/>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66</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260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w w:val="98"/>
              </w:rPr>
              <w:t>Consolidated Statements of Changes in Equity</w:t>
            </w:r>
          </w:p>
        </w:tc>
        <w:tc>
          <w:tcPr>
            <w:tcW w:w="4820" w:type="dxa"/>
            <w:vAlign w:val="bottom"/>
            <w:gridSpan w:val="6"/>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67</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248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120" w:type="dxa"/>
            <w:vAlign w:val="bottom"/>
          </w:tcPr>
          <w:p>
            <w:pPr>
              <w:spacing w:after="0"/>
              <w:rPr>
                <w:sz w:val="24"/>
                <w:szCs w:val="24"/>
                <w:color w:val="auto"/>
              </w:rPr>
            </w:pPr>
          </w:p>
        </w:tc>
        <w:tc>
          <w:tcPr>
            <w:tcW w:w="4820" w:type="dxa"/>
            <w:vAlign w:val="bottom"/>
            <w:gridSpan w:val="6"/>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68</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Note 1: Summary of Significant Accounting Policies</w:t>
            </w: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68</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Note 2: Segment Information</w:t>
            </w:r>
          </w:p>
        </w:tc>
        <w:tc>
          <w:tcPr>
            <w:tcW w:w="3920" w:type="dxa"/>
            <w:vAlign w:val="bottom"/>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69</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3"/>
              </w:rPr>
              <w:t>Note 3: Revenue</w:t>
            </w:r>
          </w:p>
        </w:tc>
        <w:tc>
          <w:tcPr>
            <w:tcW w:w="740" w:type="dxa"/>
            <w:vAlign w:val="bottom"/>
            <w:gridSpan w:val="5"/>
          </w:tcPr>
          <w:p>
            <w:pPr>
              <w:spacing w:after="0"/>
              <w:rPr>
                <w:sz w:val="24"/>
                <w:szCs w:val="24"/>
                <w:color w:val="auto"/>
              </w:rPr>
            </w:pPr>
          </w:p>
        </w:tc>
        <w:tc>
          <w:tcPr>
            <w:tcW w:w="5260" w:type="dxa"/>
            <w:vAlign w:val="bottom"/>
            <w:gridSpan w:val="10"/>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71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Note 4: Programming and Production Costs</w:t>
            </w: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74</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9"/>
              </w:rPr>
              <w:t>Note 5: Income Taxes</w:t>
            </w:r>
          </w:p>
        </w:tc>
        <w:tc>
          <w:tcPr>
            <w:tcW w:w="1180" w:type="dxa"/>
            <w:vAlign w:val="bottom"/>
            <w:gridSpan w:val="9"/>
          </w:tcPr>
          <w:p>
            <w:pPr>
              <w:spacing w:after="0"/>
              <w:rPr>
                <w:sz w:val="24"/>
                <w:szCs w:val="24"/>
                <w:color w:val="auto"/>
              </w:rPr>
            </w:pPr>
          </w:p>
        </w:tc>
        <w:tc>
          <w:tcPr>
            <w:tcW w:w="4480" w:type="dxa"/>
            <w:vAlign w:val="bottom"/>
            <w:gridSpan w:val="4"/>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76</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9"/>
              </w:rPr>
              <w:t>Note 6: Long-Term Debt</w:t>
            </w:r>
          </w:p>
        </w:tc>
        <w:tc>
          <w:tcPr>
            <w:tcW w:w="5500" w:type="dxa"/>
            <w:vAlign w:val="bottom"/>
            <w:gridSpan w:val="12"/>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79</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9"/>
              </w:rPr>
              <w:t>Note 7: Significant Transactions</w:t>
            </w:r>
          </w:p>
        </w:tc>
        <w:tc>
          <w:tcPr>
            <w:tcW w:w="5080" w:type="dxa"/>
            <w:vAlign w:val="bottom"/>
            <w:gridSpan w:val="8"/>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81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w w:val="99"/>
              </w:rPr>
              <w:t>Note 8: Investments and Variable Interest Entities</w:t>
            </w:r>
          </w:p>
        </w:tc>
        <w:tc>
          <w:tcPr>
            <w:tcW w:w="4100" w:type="dxa"/>
            <w:vAlign w:val="bottom"/>
            <w:gridSpan w:val="2"/>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81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7"/>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Note 9: Property and Equipment</w:t>
            </w:r>
          </w:p>
        </w:tc>
        <w:tc>
          <w:tcPr>
            <w:tcW w:w="4100" w:type="dxa"/>
            <w:vAlign w:val="bottom"/>
            <w:gridSpan w:val="2"/>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84</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Note 10: Goodwill and Intangible Assets</w:t>
            </w: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85</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6"/>
              </w:rPr>
              <w:t>Note 11: Employee Benefit Plans</w:t>
            </w:r>
          </w:p>
        </w:tc>
        <w:tc>
          <w:tcPr>
            <w:tcW w:w="480" w:type="dxa"/>
            <w:vAlign w:val="bottom"/>
            <w:gridSpan w:val="3"/>
          </w:tcPr>
          <w:p>
            <w:pPr>
              <w:spacing w:after="0"/>
              <w:rPr>
                <w:sz w:val="24"/>
                <w:szCs w:val="24"/>
                <w:color w:val="auto"/>
              </w:rPr>
            </w:pPr>
          </w:p>
        </w:tc>
        <w:tc>
          <w:tcPr>
            <w:tcW w:w="4600" w:type="dxa"/>
            <w:vAlign w:val="bottom"/>
            <w:gridSpan w:val="5"/>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87</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8"/>
              </w:rPr>
              <w:t>Note 12: Equity</w:t>
            </w:r>
          </w:p>
        </w:tc>
        <w:tc>
          <w:tcPr>
            <w:tcW w:w="920" w:type="dxa"/>
            <w:vAlign w:val="bottom"/>
            <w:gridSpan w:val="7"/>
          </w:tcPr>
          <w:p>
            <w:pPr>
              <w:spacing w:after="0"/>
              <w:rPr>
                <w:sz w:val="24"/>
                <w:szCs w:val="24"/>
                <w:color w:val="auto"/>
              </w:rPr>
            </w:pPr>
          </w:p>
        </w:tc>
        <w:tc>
          <w:tcPr>
            <w:tcW w:w="5080" w:type="dxa"/>
            <w:vAlign w:val="bottom"/>
            <w:gridSpan w:val="8"/>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88</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Note 13: Share-Based Compensation</w:t>
            </w: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89</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Note 14: Supplemental Financial Information</w:t>
            </w: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89</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Note 15: Commitments and Contingencies</w:t>
            </w:r>
          </w:p>
        </w:tc>
        <w:tc>
          <w:tcPr>
            <w:tcW w:w="4340" w:type="dxa"/>
            <w:vAlign w:val="bottom"/>
            <w:gridSpan w:val="3"/>
          </w:tcPr>
          <w:p>
            <w:pPr>
              <w:spacing w:after="0"/>
              <w:rPr>
                <w:sz w:val="24"/>
                <w:szCs w:val="24"/>
                <w:color w:val="auto"/>
              </w:rPr>
            </w:pPr>
          </w:p>
        </w:tc>
        <w:tc>
          <w:tcPr>
            <w:tcW w:w="38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0000FF"/>
              </w:rPr>
              <w:t>90</w:t>
            </w:r>
          </w:p>
        </w:tc>
        <w:tc>
          <w:tcPr>
            <w:tcW w:w="40" w:type="dxa"/>
            <w:vAlign w:val="bottom"/>
          </w:tcPr>
          <w:p>
            <w:pPr>
              <w:spacing w:after="0"/>
              <w:rPr>
                <w:sz w:val="24"/>
                <w:szCs w:val="24"/>
                <w:color w:val="auto"/>
              </w:rPr>
            </w:pPr>
          </w:p>
        </w:tc>
      </w:tr>
      <w:tr>
        <w:trPr>
          <w:trHeight w:val="118"/>
        </w:trPr>
        <w:tc>
          <w:tcPr>
            <w:tcW w:w="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20" w:type="dxa"/>
            <w:vAlign w:val="bottom"/>
            <w:tcBorders>
              <w:top w:val="single" w:sz="8" w:color="0000FF"/>
              <w:bottom w:val="single" w:sz="8" w:color="auto"/>
            </w:tcBorders>
          </w:tcPr>
          <w:p>
            <w:pPr>
              <w:spacing w:after="0"/>
              <w:rPr>
                <w:sz w:val="10"/>
                <w:szCs w:val="10"/>
                <w:color w:val="auto"/>
              </w:rPr>
            </w:pPr>
          </w:p>
        </w:tc>
        <w:tc>
          <w:tcPr>
            <w:tcW w:w="100" w:type="dxa"/>
            <w:vAlign w:val="bottom"/>
            <w:tcBorders>
              <w:top w:val="single" w:sz="8" w:color="0000FF"/>
              <w:bottom w:val="single" w:sz="8" w:color="auto"/>
            </w:tcBorders>
          </w:tcPr>
          <w:p>
            <w:pPr>
              <w:spacing w:after="0"/>
              <w:rPr>
                <w:sz w:val="10"/>
                <w:szCs w:val="10"/>
                <w:color w:val="auto"/>
              </w:rPr>
            </w:pPr>
          </w:p>
        </w:tc>
        <w:tc>
          <w:tcPr>
            <w:tcW w:w="220" w:type="dxa"/>
            <w:vAlign w:val="bottom"/>
            <w:tcBorders>
              <w:top w:val="single" w:sz="8" w:color="0000FF"/>
              <w:bottom w:val="single" w:sz="8" w:color="auto"/>
            </w:tcBorders>
          </w:tcPr>
          <w:p>
            <w:pPr>
              <w:spacing w:after="0"/>
              <w:rPr>
                <w:sz w:val="10"/>
                <w:szCs w:val="10"/>
                <w:color w:val="auto"/>
              </w:rPr>
            </w:pPr>
          </w:p>
        </w:tc>
        <w:tc>
          <w:tcPr>
            <w:tcW w:w="120" w:type="dxa"/>
            <w:vAlign w:val="bottom"/>
            <w:tcBorders>
              <w:top w:val="single" w:sz="8" w:color="0000FF"/>
              <w:bottom w:val="single" w:sz="8" w:color="auto"/>
            </w:tcBorders>
          </w:tcPr>
          <w:p>
            <w:pPr>
              <w:spacing w:after="0"/>
              <w:rPr>
                <w:sz w:val="10"/>
                <w:szCs w:val="10"/>
                <w:color w:val="auto"/>
              </w:rPr>
            </w:pPr>
          </w:p>
        </w:tc>
        <w:tc>
          <w:tcPr>
            <w:tcW w:w="160" w:type="dxa"/>
            <w:vAlign w:val="bottom"/>
            <w:tcBorders>
              <w:top w:val="single" w:sz="8" w:color="0000FF"/>
              <w:bottom w:val="single" w:sz="8" w:color="auto"/>
            </w:tcBorders>
          </w:tcPr>
          <w:p>
            <w:pPr>
              <w:spacing w:after="0"/>
              <w:rPr>
                <w:sz w:val="10"/>
                <w:szCs w:val="10"/>
                <w:color w:val="auto"/>
              </w:rPr>
            </w:pPr>
          </w:p>
        </w:tc>
        <w:tc>
          <w:tcPr>
            <w:tcW w:w="100" w:type="dxa"/>
            <w:vAlign w:val="bottom"/>
            <w:tcBorders>
              <w:top w:val="single" w:sz="8" w:color="0000FF"/>
              <w:bottom w:val="single" w:sz="8" w:color="auto"/>
            </w:tcBorders>
          </w:tcPr>
          <w:p>
            <w:pPr>
              <w:spacing w:after="0"/>
              <w:rPr>
                <w:sz w:val="10"/>
                <w:szCs w:val="10"/>
                <w:color w:val="auto"/>
              </w:rPr>
            </w:pPr>
          </w:p>
        </w:tc>
        <w:tc>
          <w:tcPr>
            <w:tcW w:w="140" w:type="dxa"/>
            <w:vAlign w:val="bottom"/>
            <w:tcBorders>
              <w:top w:val="single" w:sz="8" w:color="0000FF"/>
              <w:bottom w:val="single" w:sz="8" w:color="auto"/>
            </w:tcBorders>
          </w:tcPr>
          <w:p>
            <w:pPr>
              <w:spacing w:after="0"/>
              <w:rPr>
                <w:sz w:val="10"/>
                <w:szCs w:val="10"/>
                <w:color w:val="auto"/>
              </w:rPr>
            </w:pPr>
          </w:p>
        </w:tc>
        <w:tc>
          <w:tcPr>
            <w:tcW w:w="100" w:type="dxa"/>
            <w:vAlign w:val="bottom"/>
            <w:tcBorders>
              <w:top w:val="single" w:sz="8" w:color="0000FF"/>
              <w:bottom w:val="single" w:sz="8" w:color="auto"/>
            </w:tcBorders>
          </w:tcPr>
          <w:p>
            <w:pPr>
              <w:spacing w:after="0"/>
              <w:rPr>
                <w:sz w:val="10"/>
                <w:szCs w:val="10"/>
                <w:color w:val="auto"/>
              </w:rPr>
            </w:pPr>
          </w:p>
        </w:tc>
        <w:tc>
          <w:tcPr>
            <w:tcW w:w="80" w:type="dxa"/>
            <w:vAlign w:val="bottom"/>
            <w:tcBorders>
              <w:top w:val="single" w:sz="8" w:color="0000FF"/>
              <w:bottom w:val="single" w:sz="8" w:color="auto"/>
            </w:tcBorders>
          </w:tcPr>
          <w:p>
            <w:pPr>
              <w:spacing w:after="0"/>
              <w:rPr>
                <w:sz w:val="10"/>
                <w:szCs w:val="10"/>
                <w:color w:val="auto"/>
              </w:rPr>
            </w:pPr>
          </w:p>
        </w:tc>
        <w:tc>
          <w:tcPr>
            <w:tcW w:w="140" w:type="dxa"/>
            <w:vAlign w:val="bottom"/>
            <w:tcBorders>
              <w:top w:val="single" w:sz="8" w:color="0000FF"/>
              <w:bottom w:val="single" w:sz="8" w:color="auto"/>
            </w:tcBorders>
          </w:tcPr>
          <w:p>
            <w:pPr>
              <w:spacing w:after="0"/>
              <w:rPr>
                <w:sz w:val="10"/>
                <w:szCs w:val="10"/>
                <w:color w:val="auto"/>
              </w:rPr>
            </w:pPr>
          </w:p>
        </w:tc>
        <w:tc>
          <w:tcPr>
            <w:tcW w:w="120" w:type="dxa"/>
            <w:vAlign w:val="bottom"/>
            <w:tcBorders>
              <w:top w:val="single" w:sz="8" w:color="0000FF"/>
              <w:bottom w:val="single" w:sz="8" w:color="auto"/>
            </w:tcBorders>
          </w:tcPr>
          <w:p>
            <w:pPr>
              <w:spacing w:after="0"/>
              <w:rPr>
                <w:sz w:val="10"/>
                <w:szCs w:val="10"/>
                <w:color w:val="auto"/>
              </w:rPr>
            </w:pPr>
          </w:p>
        </w:tc>
        <w:tc>
          <w:tcPr>
            <w:tcW w:w="220" w:type="dxa"/>
            <w:vAlign w:val="bottom"/>
            <w:tcBorders>
              <w:top w:val="single" w:sz="8" w:color="0000FF"/>
              <w:bottom w:val="single" w:sz="8" w:color="auto"/>
            </w:tcBorders>
          </w:tcPr>
          <w:p>
            <w:pPr>
              <w:spacing w:after="0"/>
              <w:rPr>
                <w:sz w:val="10"/>
                <w:szCs w:val="10"/>
                <w:color w:val="auto"/>
              </w:rPr>
            </w:pPr>
          </w:p>
        </w:tc>
        <w:tc>
          <w:tcPr>
            <w:tcW w:w="120" w:type="dxa"/>
            <w:vAlign w:val="bottom"/>
            <w:tcBorders>
              <w:top w:val="single" w:sz="8" w:color="0000FF"/>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140" w:type="dxa"/>
            <w:vAlign w:val="bottom"/>
            <w:tcBorders>
              <w:top w:val="single" w:sz="8" w:color="0000FF"/>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523"/>
        </w:trPr>
        <w:tc>
          <w:tcPr>
            <w:tcW w:w="7440" w:type="dxa"/>
            <w:vAlign w:val="bottom"/>
            <w:gridSpan w:val="19"/>
          </w:tcPr>
          <w:p>
            <w:pPr>
              <w:jc w:val="right"/>
              <w:ind w:right="1780"/>
              <w:spacing w:after="0"/>
              <w:rPr>
                <w:sz w:val="20"/>
                <w:szCs w:val="20"/>
                <w:color w:val="auto"/>
              </w:rPr>
            </w:pPr>
            <w:r>
              <w:rPr>
                <w:rFonts w:ascii="Times New Roman" w:cs="Times New Roman" w:eastAsia="Times New Roman" w:hAnsi="Times New Roman"/>
                <w:sz w:val="11"/>
                <w:szCs w:val="11"/>
                <w:b w:val="1"/>
                <w:bCs w:val="1"/>
                <w:color w:val="auto"/>
              </w:rPr>
              <w:t>59</w:t>
            </w:r>
          </w:p>
        </w:tc>
        <w:tc>
          <w:tcPr>
            <w:tcW w:w="3840" w:type="dxa"/>
            <w:vAlign w:val="bottom"/>
            <w:gridSpan w:val="4"/>
          </w:tcPr>
          <w:p>
            <w:pPr>
              <w:ind w:left="1760"/>
              <w:spacing w:after="0"/>
              <w:rPr>
                <w:sz w:val="20"/>
                <w:szCs w:val="20"/>
                <w:color w:val="auto"/>
              </w:rPr>
            </w:pPr>
            <w:r>
              <w:rPr>
                <w:rFonts w:ascii="Times New Roman" w:cs="Times New Roman" w:eastAsia="Times New Roman" w:hAnsi="Times New Roman"/>
                <w:sz w:val="11"/>
                <w:szCs w:val="11"/>
                <w:color w:val="auto"/>
              </w:rPr>
              <w:t>Comcast 2023 Annual Report on Form 10-K</w:t>
            </w:r>
          </w:p>
        </w:tc>
      </w:tr>
      <w:tr>
        <w:trPr>
          <w:trHeight w:val="264"/>
        </w:trPr>
        <w:tc>
          <w:tcPr>
            <w:tcW w:w="20" w:type="dxa"/>
            <w:vAlign w:val="bottom"/>
            <w:tcBorders>
              <w:bottom w:val="single" w:sz="8" w:color="9A9A9A"/>
            </w:tcBorders>
          </w:tcPr>
          <w:p>
            <w:pPr>
              <w:spacing w:after="0"/>
              <w:rPr>
                <w:sz w:val="22"/>
                <w:szCs w:val="22"/>
                <w:color w:val="auto"/>
              </w:rPr>
            </w:pPr>
          </w:p>
        </w:tc>
        <w:tc>
          <w:tcPr>
            <w:tcW w:w="500" w:type="dxa"/>
            <w:vAlign w:val="bottom"/>
            <w:tcBorders>
              <w:bottom w:val="single" w:sz="8" w:color="9A9A9A"/>
            </w:tcBorders>
          </w:tcPr>
          <w:p>
            <w:pPr>
              <w:spacing w:after="0"/>
              <w:rPr>
                <w:sz w:val="22"/>
                <w:szCs w:val="22"/>
                <w:color w:val="auto"/>
              </w:rPr>
            </w:pPr>
          </w:p>
        </w:tc>
        <w:tc>
          <w:tcPr>
            <w:tcW w:w="8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3920" w:type="dxa"/>
            <w:vAlign w:val="bottom"/>
            <w:tcBorders>
              <w:bottom w:val="single" w:sz="8" w:color="9A9A9A"/>
            </w:tcBorders>
          </w:tcPr>
          <w:p>
            <w:pPr>
              <w:spacing w:after="0"/>
              <w:rPr>
                <w:sz w:val="22"/>
                <w:szCs w:val="22"/>
                <w:color w:val="auto"/>
              </w:rPr>
            </w:pPr>
          </w:p>
        </w:tc>
        <w:tc>
          <w:tcPr>
            <w:tcW w:w="312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54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Report of Management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Financial Statements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the preparation, integrity and fair presentation of information in the consolidated financial statements, including estimates and judgments. The consolidated financial statements presented in this report have been prepared in accordance with accounting principles generally accepted in the United States. Our management believes the consolidated financial statements and other financial information included in this report fairly present, in all material respects, the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internal control over financial reporting includes those policies and procedures that:</w:t>
      </w:r>
    </w:p>
    <w:p>
      <w:pPr>
        <w:spacing w:after="0" w:line="94"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our transactions and dispositions of our assets.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39"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our assets that could have a material effect on the financial statements.</w:t>
      </w:r>
    </w:p>
    <w:p>
      <w:pPr>
        <w:spacing w:after="0" w:line="2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Our management conducted an evaluation of the effectiveness of the system of internal control over financial reporting based on the framework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 Based on this evaluation, our management concluded that the system of internal control over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reporting was effective as of December 31, 2023. The effectiveness of internal control over financial reporting has been audited by Deloitte &amp; Touche LLP, an independent registered public accounting firm, as stated in their report, which is included herein.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 Oversight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Audit Committee of the Board of Directors, which is comprised solely of independent directors, has oversight responsibility for our financial reporting process and the audits of the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Form 10-K.</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 BRIAN L. ROBERTS</w:t>
            </w:r>
          </w:p>
        </w:tc>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JASON S. ARMSTRONG</w:t>
            </w: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 DANIEL C. MURDOCK</w:t>
            </w:r>
          </w:p>
        </w:tc>
      </w:tr>
      <w:tr>
        <w:trPr>
          <w:trHeight w:val="167"/>
        </w:trPr>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Brian L. Roberts</w:t>
            </w:r>
          </w:p>
        </w:tc>
        <w:tc>
          <w:tcPr>
            <w:tcW w:w="200" w:type="dxa"/>
            <w:vAlign w:val="bottom"/>
          </w:tcPr>
          <w:p>
            <w:pPr>
              <w:spacing w:after="0"/>
              <w:rPr>
                <w:sz w:val="14"/>
                <w:szCs w:val="14"/>
                <w:color w:val="auto"/>
              </w:rPr>
            </w:pPr>
          </w:p>
        </w:tc>
        <w:tc>
          <w:tcPr>
            <w:tcW w:w="1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Jason S. Armstrong</w:t>
            </w:r>
          </w:p>
        </w:tc>
        <w:tc>
          <w:tcPr>
            <w:tcW w:w="1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Daniel C. Murdock</w:t>
            </w:r>
          </w:p>
        </w:tc>
        <w:tc>
          <w:tcPr>
            <w:tcW w:w="520" w:type="dxa"/>
            <w:vAlign w:val="bottom"/>
          </w:tcPr>
          <w:p>
            <w:pPr>
              <w:spacing w:after="0"/>
              <w:rPr>
                <w:sz w:val="14"/>
                <w:szCs w:val="14"/>
                <w:color w:val="auto"/>
              </w:rPr>
            </w:pPr>
          </w:p>
        </w:tc>
      </w:tr>
      <w:tr>
        <w:trPr>
          <w:trHeight w:val="142"/>
        </w:trPr>
        <w:tc>
          <w:tcPr>
            <w:tcW w:w="3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Chairman and</w:t>
            </w:r>
          </w:p>
        </w:tc>
        <w:tc>
          <w:tcPr>
            <w:tcW w:w="18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Chief Financial Officer</w:t>
            </w: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Executive Vice President, Chief</w:t>
            </w:r>
          </w:p>
        </w:tc>
      </w:tr>
      <w:tr>
        <w:trPr>
          <w:trHeight w:val="18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18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Accounting Officer and Controller</w:t>
            </w:r>
          </w:p>
        </w:tc>
      </w:tr>
      <w:tr>
        <w:trPr>
          <w:trHeight w:val="476"/>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1800" w:type="dxa"/>
            <w:vAlign w:val="bottom"/>
          </w:tcPr>
          <w:p>
            <w:pPr>
              <w:spacing w:after="0"/>
              <w:rPr>
                <w:sz w:val="24"/>
                <w:szCs w:val="24"/>
                <w:color w:val="auto"/>
              </w:rPr>
            </w:pPr>
          </w:p>
        </w:tc>
        <w:tc>
          <w:tcPr>
            <w:tcW w:w="1660" w:type="dxa"/>
            <w:vAlign w:val="bottom"/>
          </w:tcPr>
          <w:p>
            <w:pPr>
              <w:jc w:val="right"/>
              <w:ind w:right="1383"/>
              <w:spacing w:after="0"/>
              <w:rPr>
                <w:sz w:val="20"/>
                <w:szCs w:val="20"/>
                <w:color w:val="auto"/>
              </w:rPr>
            </w:pPr>
            <w:r>
              <w:rPr>
                <w:rFonts w:ascii="Times New Roman" w:cs="Times New Roman" w:eastAsia="Times New Roman" w:hAnsi="Times New Roman"/>
                <w:sz w:val="11"/>
                <w:szCs w:val="11"/>
                <w:b w:val="1"/>
                <w:bCs w:val="1"/>
                <w:color w:val="auto"/>
              </w:rPr>
              <w:t>60</w:t>
            </w:r>
          </w:p>
        </w:tc>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64"/>
        </w:trPr>
        <w:tc>
          <w:tcPr>
            <w:tcW w:w="344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1800" w:type="dxa"/>
            <w:vAlign w:val="bottom"/>
            <w:tcBorders>
              <w:bottom w:val="single" w:sz="8" w:color="9A9A9A"/>
            </w:tcBorders>
          </w:tcPr>
          <w:p>
            <w:pPr>
              <w:spacing w:after="0"/>
              <w:rPr>
                <w:sz w:val="22"/>
                <w:szCs w:val="22"/>
                <w:color w:val="auto"/>
              </w:rPr>
            </w:pPr>
          </w:p>
        </w:tc>
        <w:tc>
          <w:tcPr>
            <w:tcW w:w="166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3460" w:type="dxa"/>
            <w:vAlign w:val="bottom"/>
            <w:tcBorders>
              <w:bottom w:val="single" w:sz="8" w:color="9A9A9A"/>
            </w:tcBorders>
          </w:tcPr>
          <w:p>
            <w:pPr>
              <w:spacing w:after="0"/>
              <w:rPr>
                <w:sz w:val="22"/>
                <w:szCs w:val="22"/>
                <w:color w:val="auto"/>
              </w:rPr>
            </w:pPr>
          </w:p>
        </w:tc>
        <w:tc>
          <w:tcPr>
            <w:tcW w:w="5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Report of Independent Registered Public Accounting Firm</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 the Board of Directors and Shareholders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Comcast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Opinions on the Financial Statements and Internal Control over Financial Reporting</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 xml:space="preserve">We have audited the accompanying consolidated balance sheets of Comcast Corporation and subsidiaries (the “Company”) as of December 31, 2023 and 2022, the related consolidated statements of income, comprehensive income, cash flows, and changes in equity for each of the three years in the period ended December 31, 2023, and the related notes (collectively referred to as the “financial statements”). We also have audited the Company’s internal control over financial reporting as of December 31, 2023, based on criteria established in </w:t>
      </w:r>
      <w:r>
        <w:rPr>
          <w:rFonts w:ascii="Times New Roman" w:cs="Times New Roman" w:eastAsia="Times New Roman" w:hAnsi="Times New Roman"/>
          <w:sz w:val="13"/>
          <w:szCs w:val="13"/>
          <w:i w:val="1"/>
          <w:iCs w:val="1"/>
          <w:color w:val="auto"/>
        </w:rPr>
        <w:t>Internal Control — Integrated Framework (2013)</w:t>
      </w:r>
      <w:r>
        <w:rPr>
          <w:rFonts w:ascii="Times New Roman" w:cs="Times New Roman" w:eastAsia="Times New Roman" w:hAnsi="Times New Roman"/>
          <w:sz w:val="13"/>
          <w:szCs w:val="13"/>
          <w:color w:val="auto"/>
        </w:rPr>
        <w:t xml:space="preserve"> issued by the Committee of Sponsoring Organizations of the Treadway Commission (COSO).</w:t>
      </w:r>
    </w:p>
    <w:p>
      <w:pPr>
        <w:spacing w:after="0" w:line="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 xml:space="preserve">In our opinion, the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3"/>
          <w:szCs w:val="13"/>
          <w:i w:val="1"/>
          <w:iCs w:val="1"/>
          <w:color w:val="auto"/>
        </w:rPr>
        <w:t>Internal Control — Integrated Framework (2013)</w:t>
      </w:r>
      <w:r>
        <w:rPr>
          <w:rFonts w:ascii="Times New Roman" w:cs="Times New Roman" w:eastAsia="Times New Roman" w:hAnsi="Times New Roman"/>
          <w:sz w:val="13"/>
          <w:szCs w:val="13"/>
          <w:color w:val="auto"/>
        </w:rPr>
        <w:t xml:space="preserve"> issued by COSO.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Opinions</w:t>
      </w:r>
    </w:p>
    <w:p>
      <w:pPr>
        <w:spacing w:after="0" w:line="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3"/>
          <w:szCs w:val="13"/>
          <w:i w:val="1"/>
          <w:iCs w:val="1"/>
          <w:color w:val="auto"/>
        </w:rPr>
        <w:t>Management’s Report on Internal Control Over Financial Reporting.</w:t>
      </w:r>
      <w:r>
        <w:rPr>
          <w:rFonts w:ascii="Times New Roman" w:cs="Times New Roman" w:eastAsia="Times New Roman" w:hAnsi="Times New Roman"/>
          <w:sz w:val="13"/>
          <w:szCs w:val="13"/>
          <w:color w:val="auto"/>
        </w:rPr>
        <w:t xml:space="preserve">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rPr>
          <w:sz w:val="20"/>
          <w:szCs w:val="20"/>
          <w:color w:val="auto"/>
        </w:rPr>
      </w:pPr>
      <w:r>
        <w:rPr>
          <w:rFonts w:ascii="Times New Roman" w:cs="Times New Roman" w:eastAsia="Times New Roman" w:hAnsi="Times New Roman"/>
          <w:sz w:val="13"/>
          <w:szCs w:val="13"/>
          <w:b w:val="1"/>
          <w:bCs w:val="1"/>
          <w:color w:val="auto"/>
        </w:rPr>
        <w:t>Critical Audit Matters</w:t>
      </w:r>
    </w:p>
    <w:p>
      <w:pPr>
        <w:spacing w:after="0" w:line="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Connectivity &amp; Platforms Revenue Recognition - Refer to Note 3 to the financial statements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Critical Audit Matter Description</w:t>
      </w:r>
    </w:p>
    <w:p>
      <w:pPr>
        <w:spacing w:after="0" w:line="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The Company’s Connectivity &amp; Platforms businesses generate revenue from customers that subscribe to broadband and wireless connectivity services, video services and wireline voice services. These services are offered to customers individually and as bundled services at a discounted rate. The processing and recording of revenue are reliant upon multiple information technology (IT) systems.</w:t>
      </w:r>
    </w:p>
    <w:p>
      <w:pPr>
        <w:spacing w:after="0" w:line="279"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61</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161925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Report of Independent Registered Public Accounting Firm</w:t>
      </w:r>
    </w:p>
    <w:p>
      <w:pPr>
        <w:spacing w:after="0" w:line="200" w:lineRule="exact"/>
        <w:rPr>
          <w:sz w:val="20"/>
          <w:szCs w:val="20"/>
          <w:color w:val="auto"/>
        </w:rPr>
      </w:pP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3"/>
          <w:szCs w:val="13"/>
          <w:color w:val="auto"/>
        </w:rPr>
        <w:t>Given the volume of data and the number of IT systems, subjective auditor judgment was involved in evaluating the sufficiency of audit evidence over revenue recognition for bundled services within the Connectivity &amp; Platforms businesses, including the involvement of professionals with expertise in IT to identify, test, and evaluate the Company’s systems and automated controls used in processing revenue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How the Critical Audit Matter Was Addressed in the Audit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audit procedures related to the judgments necessary to determine the appropriate recognition and processing of revenue included the following, among others:</w:t>
      </w:r>
    </w:p>
    <w:p>
      <w:pPr>
        <w:spacing w:after="0" w:line="73" w:lineRule="exact"/>
        <w:rPr>
          <w:sz w:val="20"/>
          <w:szCs w:val="20"/>
          <w:color w:val="auto"/>
        </w:rPr>
      </w:pPr>
    </w:p>
    <w:p>
      <w:pPr>
        <w:ind w:left="520" w:hanging="260"/>
        <w:spacing w:after="0" w:line="294" w:lineRule="auto"/>
        <w:tabs>
          <w:tab w:leader="none" w:pos="514"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tested the effectiveness of management’s controls in the revenue recognition processes, including those in place to (a) establish revenue recognition accounting policies, (b) record revenue, including any related discounts, in accordance with the established accounting policies, and (c) reconcile the various systems to the Company’s general ledger.</w:t>
      </w:r>
    </w:p>
    <w:p>
      <w:pPr>
        <w:spacing w:after="0" w:line="15"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the assistance of our IT specialists, we:</w:t>
      </w:r>
    </w:p>
    <w:p>
      <w:pPr>
        <w:spacing w:after="0" w:line="62" w:lineRule="exact"/>
        <w:rPr>
          <w:rFonts w:ascii="Times New Roman" w:cs="Times New Roman" w:eastAsia="Times New Roman" w:hAnsi="Times New Roman"/>
          <w:sz w:val="13"/>
          <w:szCs w:val="13"/>
          <w:color w:val="auto"/>
        </w:rPr>
      </w:pPr>
    </w:p>
    <w:p>
      <w:pPr>
        <w:ind w:left="1020" w:hanging="251"/>
        <w:spacing w:after="0"/>
        <w:tabs>
          <w:tab w:leader="none" w:pos="1020"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Identified the relevant systems and databases used to process revenue transactions and tested the relevant IT controls over each of those systems and databases.</w:t>
      </w:r>
    </w:p>
    <w:p>
      <w:pPr>
        <w:spacing w:after="0" w:line="73" w:lineRule="exact"/>
        <w:rPr>
          <w:rFonts w:ascii="Times New Roman" w:cs="Times New Roman" w:eastAsia="Times New Roman" w:hAnsi="Times New Roman"/>
          <w:sz w:val="13"/>
          <w:szCs w:val="13"/>
          <w:color w:val="auto"/>
        </w:rPr>
      </w:pPr>
    </w:p>
    <w:p>
      <w:pPr>
        <w:ind w:left="1020" w:hanging="251"/>
        <w:spacing w:after="0"/>
        <w:tabs>
          <w:tab w:leader="none" w:pos="1020"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Performed testing of automated business controls over revenue from domestic residential and business customers.</w:t>
      </w:r>
    </w:p>
    <w:p>
      <w:pPr>
        <w:spacing w:after="0" w:line="62" w:lineRule="exact"/>
        <w:rPr>
          <w:rFonts w:ascii="Times New Roman" w:cs="Times New Roman" w:eastAsia="Times New Roman" w:hAnsi="Times New Roman"/>
          <w:sz w:val="13"/>
          <w:szCs w:val="13"/>
          <w:color w:val="auto"/>
        </w:rPr>
      </w:pPr>
    </w:p>
    <w:p>
      <w:pPr>
        <w:ind w:left="520" w:hanging="260"/>
        <w:spacing w:after="0" w:line="294" w:lineRule="auto"/>
        <w:tabs>
          <w:tab w:leader="none" w:pos="514"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tested the accuracy and completeness of the subscriber information used in our audit procedures by selecting a sample of the subscribers, and for those selections agreeing the selected subscriber information to supporting documentation.</w:t>
      </w:r>
    </w:p>
    <w:p>
      <w:pPr>
        <w:spacing w:after="0" w:line="15" w:lineRule="exact"/>
        <w:rPr>
          <w:rFonts w:ascii="Times New Roman" w:cs="Times New Roman" w:eastAsia="Times New Roman" w:hAnsi="Times New Roman"/>
          <w:sz w:val="13"/>
          <w:szCs w:val="13"/>
          <w:color w:val="auto"/>
        </w:rPr>
      </w:pPr>
    </w:p>
    <w:p>
      <w:pPr>
        <w:ind w:left="520" w:hanging="260"/>
        <w:spacing w:after="0" w:line="294" w:lineRule="auto"/>
        <w:tabs>
          <w:tab w:leader="none" w:pos="514"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developed expectations of revenue at a disaggregated level based on historical transaction prices, changes in stand-alone selling prices and current year volumes. We compared those estimates to revenue recognized by the Company.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Film and Television Costs - Refer to Note 4 to the financial statements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Critical Audit Matter Description</w:t>
      </w:r>
    </w:p>
    <w:p>
      <w:pPr>
        <w:spacing w:after="0" w:line="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3"/>
          <w:szCs w:val="13"/>
          <w:color w:val="auto"/>
        </w:rPr>
        <w:t>The Company amortizes capitalized film and television production costs that are predominantly monetized on an individual basis using the individual film forecast computation method, which amortizes such costs using the ratio of current period revenue to the total remaining revenue forecasted to be realized, also known as “ultimate revenue.” The estimates of ultimate revenue have a significant impact on the rate at which capitalized costs are amortized.</w:t>
      </w:r>
    </w:p>
    <w:p>
      <w:pPr>
        <w:spacing w:after="0" w:line="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The determination of ultimate revenue for capitalized film and television costs requires the Company to make significant estimates of future revenue based on the distribution strategy and historical performance of similar content, as well as factors unique to the content itself. Given the judgments necessary to estimate ultimate revenue, auditing these estimates involved especially subjective judgment.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How the Critical Audit Matter Was Addressed in the Audit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audit procedures related to forecasts of ultimate revenue for individual film or television productions included the following, among others:</w:t>
      </w:r>
    </w:p>
    <w:p>
      <w:pPr>
        <w:spacing w:after="0" w:line="105" w:lineRule="exact"/>
        <w:rPr>
          <w:sz w:val="20"/>
          <w:szCs w:val="20"/>
          <w:color w:val="auto"/>
        </w:rPr>
      </w:pPr>
    </w:p>
    <w:p>
      <w:pPr>
        <w:ind w:left="500" w:hanging="240"/>
        <w:spacing w:after="0"/>
        <w:tabs>
          <w:tab w:leader="none" w:pos="5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tested the effectiveness of management’s controls over its amortization of film and television costs, including controls over forecasts of ultimate revenue.</w:t>
      </w:r>
    </w:p>
    <w:p>
      <w:pPr>
        <w:spacing w:after="0" w:line="62" w:lineRule="exact"/>
        <w:rPr>
          <w:rFonts w:ascii="Times New Roman" w:cs="Times New Roman" w:eastAsia="Times New Roman" w:hAnsi="Times New Roman"/>
          <w:sz w:val="13"/>
          <w:szCs w:val="13"/>
          <w:color w:val="auto"/>
        </w:rPr>
      </w:pPr>
    </w:p>
    <w:p>
      <w:pPr>
        <w:ind w:left="520" w:hanging="260"/>
        <w:spacing w:after="0" w:line="294" w:lineRule="auto"/>
        <w:tabs>
          <w:tab w:leader="none" w:pos="514"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evaluated management’s methodology for the selection of inputs and assumptions, including considering the historical performance of similar titles, expected distribution platforms, factors unique to the individual film or television production, and third-party projections.</w:t>
      </w:r>
    </w:p>
    <w:p>
      <w:pPr>
        <w:spacing w:after="0" w:line="15"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selected film and television titles, we:</w:t>
      </w:r>
    </w:p>
    <w:p>
      <w:pPr>
        <w:spacing w:after="0" w:line="62" w:lineRule="exact"/>
        <w:rPr>
          <w:rFonts w:ascii="Times New Roman" w:cs="Times New Roman" w:eastAsia="Times New Roman" w:hAnsi="Times New Roman"/>
          <w:sz w:val="13"/>
          <w:szCs w:val="13"/>
          <w:color w:val="auto"/>
        </w:rPr>
      </w:pPr>
    </w:p>
    <w:p>
      <w:pPr>
        <w:ind w:left="1020" w:hanging="251"/>
        <w:spacing w:after="0" w:line="306" w:lineRule="auto"/>
        <w:tabs>
          <w:tab w:leader="none" w:pos="1025"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Tested certain inputs and assumptions used to estimate ultimate revenue, including agreeing box office performance to third party sources, and recalculating estimated future revenue for licensing arrangements based on contractual terms.</w:t>
      </w:r>
    </w:p>
    <w:p>
      <w:pPr>
        <w:ind w:left="1020" w:hanging="251"/>
        <w:spacing w:after="0"/>
        <w:tabs>
          <w:tab w:leader="none" w:pos="102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historical accuracy of management’s forecast of future revenues by comparing actual results to management’s historical estimates of ultimate revenue.</w:t>
      </w:r>
    </w:p>
    <w:p>
      <w:pPr>
        <w:spacing w:after="0" w:line="73"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developed expectations of amortization expense at a disaggregated level based on historical revenue patterns and compared those estimates to amortization recognized by the Company.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 Deloitte &amp; Touche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Philadelphia, Pennsylvania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January 31,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1963.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62</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 except per share data)</w:t>
            </w:r>
          </w:p>
        </w:tc>
        <w:tc>
          <w:tcPr>
            <w:tcW w:w="10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color w:val="auto"/>
              </w:rPr>
              <w:t>2022</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121,572</w:t>
            </w:r>
          </w:p>
        </w:tc>
        <w:tc>
          <w:tcPr>
            <w:tcW w:w="5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121,427</w:t>
            </w:r>
          </w:p>
        </w:tc>
        <w:tc>
          <w:tcPr>
            <w:tcW w:w="5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116,385</w:t>
            </w:r>
          </w:p>
        </w:tc>
      </w:tr>
      <w:tr>
        <w:trPr>
          <w:trHeight w:val="180"/>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Programming and production</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36,762</w:t>
            </w: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38,213</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38,450</w:t>
            </w:r>
          </w:p>
        </w:tc>
      </w:tr>
      <w:tr>
        <w:trPr>
          <w:trHeight w:val="180"/>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Marketing and promotion</w:t>
            </w:r>
          </w:p>
        </w:tc>
        <w:tc>
          <w:tcPr>
            <w:tcW w:w="1060" w:type="dxa"/>
            <w:vAlign w:val="bottom"/>
          </w:tcPr>
          <w:p>
            <w:pPr>
              <w:spacing w:after="0"/>
              <w:rPr>
                <w:sz w:val="15"/>
                <w:szCs w:val="15"/>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7,971</w:t>
            </w:r>
          </w:p>
        </w:tc>
        <w:tc>
          <w:tcPr>
            <w:tcW w:w="520" w:type="dxa"/>
            <w:vAlign w:val="bottom"/>
          </w:tcPr>
          <w:p>
            <w:pPr>
              <w:spacing w:after="0"/>
              <w:rPr>
                <w:sz w:val="15"/>
                <w:szCs w:val="15"/>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8,506</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7,695</w:t>
            </w:r>
          </w:p>
        </w:tc>
      </w:tr>
      <w:tr>
        <w:trPr>
          <w:trHeight w:val="18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and administrative</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39,190</w:t>
            </w: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38,263</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35,619</w:t>
            </w:r>
          </w:p>
        </w:tc>
      </w:tr>
      <w:tr>
        <w:trPr>
          <w:trHeight w:val="180"/>
        </w:trPr>
        <w:tc>
          <w:tcPr>
            <w:tcW w:w="6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w:t>
            </w:r>
          </w:p>
        </w:tc>
        <w:tc>
          <w:tcPr>
            <w:tcW w:w="1060" w:type="dxa"/>
            <w:vAlign w:val="bottom"/>
          </w:tcPr>
          <w:p>
            <w:pPr>
              <w:spacing w:after="0"/>
              <w:rPr>
                <w:sz w:val="15"/>
                <w:szCs w:val="15"/>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8,854</w:t>
            </w:r>
          </w:p>
        </w:tc>
        <w:tc>
          <w:tcPr>
            <w:tcW w:w="520" w:type="dxa"/>
            <w:vAlign w:val="bottom"/>
          </w:tcPr>
          <w:p>
            <w:pPr>
              <w:spacing w:after="0"/>
              <w:rPr>
                <w:sz w:val="15"/>
                <w:szCs w:val="15"/>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8,724</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w:t>
            </w:r>
          </w:p>
        </w:tc>
      </w:tr>
      <w:tr>
        <w:trPr>
          <w:trHeight w:val="18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5,482</w:t>
            </w: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5,097</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5,176</w:t>
            </w:r>
          </w:p>
        </w:tc>
      </w:tr>
      <w:tr>
        <w:trPr>
          <w:trHeight w:val="180"/>
        </w:trPr>
        <w:tc>
          <w:tcPr>
            <w:tcW w:w="6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Goodwill and long-lived asset impairments</w:t>
            </w:r>
          </w:p>
        </w:tc>
        <w:tc>
          <w:tcPr>
            <w:tcW w:w="10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8,583</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98,258</w:t>
            </w: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107,385</w:t>
            </w: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95,568</w:t>
            </w:r>
          </w:p>
        </w:tc>
      </w:tr>
      <w:tr>
        <w:trPr>
          <w:trHeight w:val="180"/>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060" w:type="dxa"/>
            <w:vAlign w:val="bottom"/>
          </w:tcPr>
          <w:p>
            <w:pPr>
              <w:spacing w:after="0"/>
              <w:rPr>
                <w:sz w:val="15"/>
                <w:szCs w:val="15"/>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23,314</w:t>
            </w:r>
          </w:p>
        </w:tc>
        <w:tc>
          <w:tcPr>
            <w:tcW w:w="520" w:type="dxa"/>
            <w:vAlign w:val="bottom"/>
          </w:tcPr>
          <w:p>
            <w:pPr>
              <w:spacing w:after="0"/>
              <w:rPr>
                <w:sz w:val="15"/>
                <w:szCs w:val="15"/>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14,041</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20,817</w:t>
            </w:r>
          </w:p>
        </w:tc>
      </w:tr>
      <w:tr>
        <w:trPr>
          <w:trHeight w:val="18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(4,087)</w:t>
            </w: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(3,896)</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w:t>
            </w:r>
          </w:p>
        </w:tc>
      </w:tr>
      <w:tr>
        <w:trPr>
          <w:trHeight w:val="18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 and other income (loss), net</w:t>
            </w:r>
          </w:p>
        </w:tc>
        <w:tc>
          <w:tcPr>
            <w:tcW w:w="10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1,252</w:t>
            </w: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(861)</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2,557</w:t>
            </w:r>
          </w:p>
        </w:tc>
      </w:tr>
      <w:tr>
        <w:trPr>
          <w:trHeight w:val="17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20,478</w:t>
            </w: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9,284</w:t>
            </w: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19,093</w:t>
            </w:r>
          </w:p>
        </w:tc>
      </w:tr>
      <w:tr>
        <w:trPr>
          <w:trHeight w:val="18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(5,371)</w:t>
            </w: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(4,359)</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(5,259)</w:t>
            </w:r>
          </w:p>
        </w:tc>
      </w:tr>
      <w:tr>
        <w:trPr>
          <w:trHeight w:val="17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15,107</w:t>
            </w: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4,925</w:t>
            </w: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13,833</w:t>
            </w:r>
          </w:p>
        </w:tc>
      </w:tr>
      <w:tr>
        <w:trPr>
          <w:trHeight w:val="18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10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(282)</w:t>
            </w: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(445)</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71"/>
        </w:trPr>
        <w:tc>
          <w:tcPr>
            <w:tcW w:w="63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Comcast Corporation</w:t>
            </w:r>
          </w:p>
        </w:tc>
        <w:tc>
          <w:tcPr>
            <w:tcW w:w="1060" w:type="dxa"/>
            <w:vAlign w:val="bottom"/>
            <w:tcBorders>
              <w:bottom w:val="single" w:sz="8" w:color="0C6D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0C6D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15,388</w:t>
            </w:r>
          </w:p>
        </w:tc>
        <w:tc>
          <w:tcPr>
            <w:tcW w:w="520" w:type="dxa"/>
            <w:vAlign w:val="bottom"/>
            <w:tcBorders>
              <w:bottom w:val="single" w:sz="8" w:color="0C6D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0C6D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5,370</w:t>
            </w:r>
          </w:p>
        </w:tc>
        <w:tc>
          <w:tcPr>
            <w:tcW w:w="540" w:type="dxa"/>
            <w:vAlign w:val="bottom"/>
            <w:tcBorders>
              <w:bottom w:val="single" w:sz="8" w:color="0C6D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14,159</w:t>
            </w:r>
          </w:p>
        </w:tc>
      </w:tr>
      <w:tr>
        <w:trPr>
          <w:trHeight w:val="171"/>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common share attributable to Comcast Corporation shareholders</w:t>
            </w: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3.73</w:t>
            </w:r>
          </w:p>
        </w:tc>
        <w:tc>
          <w:tcPr>
            <w:tcW w:w="5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1.22</w:t>
            </w:r>
          </w:p>
        </w:tc>
        <w:tc>
          <w:tcPr>
            <w:tcW w:w="5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80"/>
        </w:trPr>
        <w:tc>
          <w:tcPr>
            <w:tcW w:w="63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common share attributable to Comcast Corporation shareholders</w:t>
            </w:r>
          </w:p>
        </w:tc>
        <w:tc>
          <w:tcPr>
            <w:tcW w:w="1060" w:type="dxa"/>
            <w:vAlign w:val="bottom"/>
            <w:tcBorders>
              <w:bottom w:val="single" w:sz="8" w:color="0C6D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0C6D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3.71</w:t>
            </w:r>
          </w:p>
        </w:tc>
        <w:tc>
          <w:tcPr>
            <w:tcW w:w="520" w:type="dxa"/>
            <w:vAlign w:val="bottom"/>
            <w:tcBorders>
              <w:bottom w:val="single" w:sz="8" w:color="0C6D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0C6D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1.21</w:t>
            </w:r>
          </w:p>
        </w:tc>
        <w:tc>
          <w:tcPr>
            <w:tcW w:w="540" w:type="dxa"/>
            <w:vAlign w:val="bottom"/>
            <w:tcBorders>
              <w:bottom w:val="single" w:sz="8" w:color="0C6D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269"/>
        </w:trPr>
        <w:tc>
          <w:tcPr>
            <w:tcW w:w="6300" w:type="dxa"/>
            <w:vAlign w:val="bottom"/>
          </w:tcPr>
          <w:p>
            <w:pPr>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tc>
        <w:tc>
          <w:tcPr>
            <w:tcW w:w="10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488"/>
        </w:trPr>
        <w:tc>
          <w:tcPr>
            <w:tcW w:w="6300" w:type="dxa"/>
            <w:vAlign w:val="bottom"/>
          </w:tcPr>
          <w:p>
            <w:pPr>
              <w:ind w:left="5560"/>
              <w:spacing w:after="0"/>
              <w:rPr>
                <w:sz w:val="20"/>
                <w:szCs w:val="20"/>
                <w:color w:val="auto"/>
              </w:rPr>
            </w:pPr>
            <w:r>
              <w:rPr>
                <w:rFonts w:ascii="Times New Roman" w:cs="Times New Roman" w:eastAsia="Times New Roman" w:hAnsi="Times New Roman"/>
                <w:sz w:val="11"/>
                <w:szCs w:val="11"/>
                <w:b w:val="1"/>
                <w:bCs w:val="1"/>
                <w:color w:val="auto"/>
              </w:rPr>
              <w:t>63</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Comcast 2023 Annual Report on Form 10-K</w:t>
            </w:r>
          </w:p>
        </w:tc>
      </w:tr>
      <w:tr>
        <w:trPr>
          <w:trHeight w:val="254"/>
        </w:trPr>
        <w:tc>
          <w:tcPr>
            <w:tcW w:w="630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980" w:type="dxa"/>
            <w:vAlign w:val="bottom"/>
            <w:tcBorders>
              <w:bottom w:val="single" w:sz="8" w:color="9A9A9A"/>
            </w:tcBorders>
          </w:tcPr>
          <w:p>
            <w:pPr>
              <w:spacing w:after="0"/>
              <w:rPr>
                <w:sz w:val="22"/>
                <w:szCs w:val="22"/>
                <w:color w:val="auto"/>
              </w:rPr>
            </w:pPr>
          </w:p>
        </w:tc>
        <w:tc>
          <w:tcPr>
            <w:tcW w:w="52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540" w:type="dxa"/>
            <w:vAlign w:val="bottom"/>
            <w:tcBorders>
              <w:bottom w:val="single" w:sz="8" w:color="9A9A9A"/>
            </w:tcBorders>
          </w:tcPr>
          <w:p>
            <w:pPr>
              <w:spacing w:after="0"/>
              <w:rPr>
                <w:sz w:val="22"/>
                <w:szCs w:val="22"/>
                <w:color w:val="auto"/>
              </w:rPr>
            </w:pPr>
          </w:p>
        </w:tc>
        <w:tc>
          <w:tcPr>
            <w:tcW w:w="8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Statements of Comprehensive Income</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1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color w:val="auto"/>
              </w:rPr>
              <w:t>2022</w:t>
            </w: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9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15,107</w:t>
            </w:r>
          </w:p>
        </w:tc>
        <w:tc>
          <w:tcPr>
            <w:tcW w:w="5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4,925</w:t>
            </w:r>
          </w:p>
        </w:tc>
        <w:tc>
          <w:tcPr>
            <w:tcW w:w="5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13,833</w:t>
            </w:r>
          </w:p>
        </w:tc>
      </w:tr>
      <w:tr>
        <w:trPr>
          <w:trHeight w:val="18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 (expense) benefit:</w:t>
            </w:r>
          </w:p>
        </w:tc>
        <w:tc>
          <w:tcPr>
            <w:tcW w:w="1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Currency translation adjustments, net of deferred taxes of $(29), $310 and $76</w:t>
            </w:r>
          </w:p>
        </w:tc>
        <w:tc>
          <w:tcPr>
            <w:tcW w:w="19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1,478</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(4,242)</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r>
      <w:tr>
        <w:trPr>
          <w:trHeight w:val="180"/>
        </w:trPr>
        <w:tc>
          <w:tcPr>
            <w:tcW w:w="5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flow hedges:</w:t>
            </w:r>
          </w:p>
        </w:tc>
        <w:tc>
          <w:tcPr>
            <w:tcW w:w="1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gains (losses), net of deferred taxes of $8, $(18) and $(36)</w:t>
            </w:r>
          </w:p>
        </w:tc>
        <w:tc>
          <w:tcPr>
            <w:tcW w:w="19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16</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281</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80"/>
        </w:trPr>
        <w:tc>
          <w:tcPr>
            <w:tcW w:w="5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Realized (gains) losses reclassified to net income, net of deferred taxes of $38, $(3) and $(4)</w:t>
            </w:r>
          </w:p>
        </w:tc>
        <w:tc>
          <w:tcPr>
            <w:tcW w:w="1900" w:type="dxa"/>
            <w:vAlign w:val="bottom"/>
          </w:tcPr>
          <w:p>
            <w:pPr>
              <w:spacing w:after="0"/>
              <w:rPr>
                <w:sz w:val="15"/>
                <w:szCs w:val="15"/>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(158)</w:t>
            </w:r>
          </w:p>
        </w:tc>
        <w:tc>
          <w:tcPr>
            <w:tcW w:w="580" w:type="dxa"/>
            <w:vAlign w:val="bottom"/>
          </w:tcPr>
          <w:p>
            <w:pPr>
              <w:spacing w:after="0"/>
              <w:rPr>
                <w:sz w:val="15"/>
                <w:szCs w:val="15"/>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(192)</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55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Employee benefit obligations and other, net of deferred taxes of $(2), $(11) and $(16)</w:t>
            </w:r>
          </w:p>
        </w:tc>
        <w:tc>
          <w:tcPr>
            <w:tcW w:w="19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3</w:t>
            </w:r>
          </w:p>
        </w:tc>
        <w:tc>
          <w:tcPr>
            <w:tcW w:w="5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33</w:t>
            </w: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1"/>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1,338</w:t>
            </w: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(4,120)</w:t>
            </w: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w:t>
            </w:r>
          </w:p>
        </w:tc>
      </w:tr>
      <w:tr>
        <w:trPr>
          <w:trHeight w:val="17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9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16,445</w:t>
            </w: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805</w:t>
            </w: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13,436</w:t>
            </w:r>
          </w:p>
        </w:tc>
      </w:tr>
      <w:tr>
        <w:trPr>
          <w:trHeight w:val="18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1900" w:type="dxa"/>
            <w:vAlign w:val="bottom"/>
          </w:tcPr>
          <w:p>
            <w:pPr>
              <w:spacing w:after="0"/>
              <w:rPr>
                <w:sz w:val="15"/>
                <w:szCs w:val="15"/>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(282)</w:t>
            </w:r>
          </w:p>
        </w:tc>
        <w:tc>
          <w:tcPr>
            <w:tcW w:w="580" w:type="dxa"/>
            <w:vAlign w:val="bottom"/>
          </w:tcPr>
          <w:p>
            <w:pPr>
              <w:spacing w:after="0"/>
              <w:rPr>
                <w:sz w:val="15"/>
                <w:szCs w:val="15"/>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(445)</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80"/>
        </w:trPr>
        <w:tc>
          <w:tcPr>
            <w:tcW w:w="5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Other comprehensive income (loss) attributable to noncontrolling interests</w:t>
            </w:r>
          </w:p>
        </w:tc>
        <w:tc>
          <w:tcPr>
            <w:tcW w:w="19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(19)</w:t>
            </w:r>
          </w:p>
        </w:tc>
        <w:tc>
          <w:tcPr>
            <w:tcW w:w="5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(29)</w:t>
            </w: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55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Comcast Corporation</w:t>
            </w:r>
          </w:p>
        </w:tc>
        <w:tc>
          <w:tcPr>
            <w:tcW w:w="1900" w:type="dxa"/>
            <w:vAlign w:val="bottom"/>
            <w:tcBorders>
              <w:bottom w:val="single" w:sz="8" w:color="0C6DFF"/>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16,746</w:t>
            </w:r>
          </w:p>
        </w:tc>
        <w:tc>
          <w:tcPr>
            <w:tcW w:w="580" w:type="dxa"/>
            <w:vAlign w:val="bottom"/>
            <w:tcBorders>
              <w:bottom w:val="single" w:sz="8" w:color="0C6DFF"/>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0C6DFF"/>
            </w:tcBorders>
          </w:tcPr>
          <w:p>
            <w:pPr>
              <w:jc w:val="right"/>
              <w:ind w:right="91"/>
              <w:spacing w:after="0"/>
              <w:rPr>
                <w:sz w:val="20"/>
                <w:szCs w:val="20"/>
                <w:color w:val="auto"/>
              </w:rPr>
            </w:pPr>
            <w:r>
              <w:rPr>
                <w:rFonts w:ascii="Times New Roman" w:cs="Times New Roman" w:eastAsia="Times New Roman" w:hAnsi="Times New Roman"/>
                <w:sz w:val="14"/>
                <w:szCs w:val="14"/>
                <w:color w:val="auto"/>
              </w:rPr>
              <w:t>1,280</w:t>
            </w:r>
          </w:p>
        </w:tc>
        <w:tc>
          <w:tcPr>
            <w:tcW w:w="580" w:type="dxa"/>
            <w:vAlign w:val="bottom"/>
            <w:tcBorders>
              <w:bottom w:val="single" w:sz="8" w:color="0C6DFF"/>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13,755</w:t>
            </w:r>
          </w:p>
        </w:tc>
      </w:tr>
      <w:tr>
        <w:trPr>
          <w:trHeight w:val="279"/>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88"/>
        </w:trPr>
        <w:tc>
          <w:tcPr>
            <w:tcW w:w="5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1900" w:type="dxa"/>
            <w:vAlign w:val="bottom"/>
          </w:tcPr>
          <w:p>
            <w:pPr>
              <w:jc w:val="right"/>
              <w:ind w:right="1674"/>
              <w:spacing w:after="0"/>
              <w:rPr>
                <w:sz w:val="20"/>
                <w:szCs w:val="20"/>
                <w:color w:val="auto"/>
              </w:rPr>
            </w:pPr>
            <w:r>
              <w:rPr>
                <w:rFonts w:ascii="Times New Roman" w:cs="Times New Roman" w:eastAsia="Times New Roman" w:hAnsi="Times New Roman"/>
                <w:sz w:val="11"/>
                <w:szCs w:val="11"/>
                <w:b w:val="1"/>
                <w:bCs w:val="1"/>
                <w:color w:val="auto"/>
              </w:rPr>
              <w:t>64</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4"/>
        </w:trPr>
        <w:tc>
          <w:tcPr>
            <w:tcW w:w="5500" w:type="dxa"/>
            <w:vAlign w:val="bottom"/>
            <w:tcBorders>
              <w:bottom w:val="single" w:sz="8" w:color="9A9A9A"/>
            </w:tcBorders>
          </w:tcPr>
          <w:p>
            <w:pPr>
              <w:spacing w:after="0"/>
              <w:rPr>
                <w:sz w:val="22"/>
                <w:szCs w:val="22"/>
                <w:color w:val="auto"/>
              </w:rPr>
            </w:pPr>
          </w:p>
        </w:tc>
        <w:tc>
          <w:tcPr>
            <w:tcW w:w="1900" w:type="dxa"/>
            <w:vAlign w:val="bottom"/>
            <w:tcBorders>
              <w:bottom w:val="single" w:sz="8" w:color="9A9A9A"/>
            </w:tcBorders>
          </w:tcPr>
          <w:p>
            <w:pPr>
              <w:spacing w:after="0"/>
              <w:rPr>
                <w:sz w:val="22"/>
                <w:szCs w:val="22"/>
                <w:color w:val="auto"/>
              </w:rPr>
            </w:pPr>
          </w:p>
        </w:tc>
        <w:tc>
          <w:tcPr>
            <w:tcW w:w="94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94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8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Statements of Cash Flows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10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1"/>
                <w:szCs w:val="11"/>
                <w:color w:val="auto"/>
              </w:rPr>
              <w:t>2022</w:t>
            </w: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c>
          <w:tcPr>
            <w:tcW w:w="20" w:type="dxa"/>
            <w:vAlign w:val="bottom"/>
          </w:tcPr>
          <w:p>
            <w:pPr>
              <w:spacing w:after="0"/>
              <w:rPr>
                <w:sz w:val="13"/>
                <w:szCs w:val="13"/>
                <w:color w:val="auto"/>
              </w:rPr>
            </w:pPr>
          </w:p>
        </w:tc>
      </w:tr>
      <w:tr>
        <w:trPr>
          <w:trHeight w:val="18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15,107</w:t>
            </w:r>
          </w:p>
        </w:tc>
        <w:tc>
          <w:tcPr>
            <w:tcW w:w="5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4,925</w:t>
            </w:r>
          </w:p>
        </w:tc>
        <w:tc>
          <w:tcPr>
            <w:tcW w:w="5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13,833</w:t>
            </w:r>
          </w:p>
        </w:tc>
        <w:tc>
          <w:tcPr>
            <w:tcW w:w="20" w:type="dxa"/>
            <w:vAlign w:val="bottom"/>
          </w:tcPr>
          <w:p>
            <w:pPr>
              <w:spacing w:after="0"/>
              <w:rPr>
                <w:sz w:val="15"/>
                <w:szCs w:val="15"/>
                <w:color w:val="auto"/>
              </w:rPr>
            </w:pPr>
          </w:p>
        </w:tc>
      </w:tr>
      <w:tr>
        <w:trPr>
          <w:trHeight w:val="18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14,336</w:t>
            </w:r>
          </w:p>
        </w:tc>
        <w:tc>
          <w:tcPr>
            <w:tcW w:w="54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13,821</w:t>
            </w:r>
          </w:p>
        </w:tc>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w:t>
            </w:r>
          </w:p>
        </w:tc>
        <w:tc>
          <w:tcPr>
            <w:tcW w:w="20" w:type="dxa"/>
            <w:vAlign w:val="bottom"/>
          </w:tcPr>
          <w:p>
            <w:pPr>
              <w:spacing w:after="0"/>
              <w:rPr>
                <w:sz w:val="15"/>
                <w:szCs w:val="15"/>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Goodwill and long-lived asset impairments</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8,583</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1,241</w:t>
            </w:r>
          </w:p>
        </w:tc>
        <w:tc>
          <w:tcPr>
            <w:tcW w:w="54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1,336</w:t>
            </w:r>
          </w:p>
        </w:tc>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20" w:type="dxa"/>
            <w:vAlign w:val="bottom"/>
          </w:tcPr>
          <w:p>
            <w:pPr>
              <w:spacing w:after="0"/>
              <w:rPr>
                <w:sz w:val="15"/>
                <w:szCs w:val="15"/>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interest expense (income), net</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316</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309</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0" w:type="dxa"/>
            <w:vAlign w:val="bottom"/>
          </w:tcPr>
          <w:p>
            <w:pPr>
              <w:spacing w:after="0"/>
              <w:rPr>
                <w:sz w:val="15"/>
                <w:szCs w:val="15"/>
                <w:color w:val="auto"/>
              </w:rPr>
            </w:pPr>
          </w:p>
        </w:tc>
      </w:tr>
      <w:tr>
        <w:trPr>
          <w:trHeight w:val="180"/>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(gain) loss on investment activity and other</w:t>
            </w:r>
          </w:p>
        </w:tc>
        <w:tc>
          <w:tcPr>
            <w:tcW w:w="106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(768)</w:t>
            </w:r>
          </w:p>
        </w:tc>
        <w:tc>
          <w:tcPr>
            <w:tcW w:w="54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1,177</w:t>
            </w:r>
          </w:p>
        </w:tc>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20" w:type="dxa"/>
            <w:vAlign w:val="bottom"/>
          </w:tcPr>
          <w:p>
            <w:pPr>
              <w:spacing w:after="0"/>
              <w:rPr>
                <w:sz w:val="15"/>
                <w:szCs w:val="15"/>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income taxes</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(2,739)</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(834)</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20" w:type="dxa"/>
            <w:vAlign w:val="bottom"/>
          </w:tcPr>
          <w:p>
            <w:pPr>
              <w:spacing w:after="0"/>
              <w:rPr>
                <w:sz w:val="15"/>
                <w:szCs w:val="15"/>
                <w:color w:val="auto"/>
              </w:rPr>
            </w:pPr>
          </w:p>
        </w:tc>
      </w:tr>
      <w:tr>
        <w:trPr>
          <w:trHeight w:val="180"/>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of acquisitions and divestitures:</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and noncurrent receivables, net</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(996)</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(1,327)</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20" w:type="dxa"/>
            <w:vAlign w:val="bottom"/>
          </w:tcPr>
          <w:p>
            <w:pPr>
              <w:spacing w:after="0"/>
              <w:rPr>
                <w:sz w:val="15"/>
                <w:szCs w:val="15"/>
                <w:color w:val="auto"/>
              </w:rPr>
            </w:pPr>
          </w:p>
        </w:tc>
      </w:tr>
      <w:tr>
        <w:trPr>
          <w:trHeight w:val="180"/>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Film and television costs, net</w:t>
            </w:r>
          </w:p>
        </w:tc>
        <w:tc>
          <w:tcPr>
            <w:tcW w:w="106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(260)</w:t>
            </w:r>
          </w:p>
        </w:tc>
        <w:tc>
          <w:tcPr>
            <w:tcW w:w="540" w:type="dxa"/>
            <w:vAlign w:val="bottom"/>
          </w:tcPr>
          <w:p>
            <w:pPr>
              <w:spacing w:after="0"/>
              <w:rPr>
                <w:sz w:val="15"/>
                <w:szCs w:val="15"/>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(451)</w:t>
            </w:r>
          </w:p>
        </w:tc>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20" w:type="dxa"/>
            <w:vAlign w:val="bottom"/>
          </w:tcPr>
          <w:p>
            <w:pPr>
              <w:spacing w:after="0"/>
              <w:rPr>
                <w:sz w:val="15"/>
                <w:szCs w:val="15"/>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expenses related to trade creditors</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(520)</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497</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20" w:type="dxa"/>
            <w:vAlign w:val="bottom"/>
          </w:tcPr>
          <w:p>
            <w:pPr>
              <w:spacing w:after="0"/>
              <w:rPr>
                <w:sz w:val="15"/>
                <w:szCs w:val="15"/>
                <w:color w:val="auto"/>
              </w:rPr>
            </w:pPr>
          </w:p>
        </w:tc>
      </w:tr>
      <w:tr>
        <w:trPr>
          <w:trHeight w:val="180"/>
        </w:trPr>
        <w:tc>
          <w:tcPr>
            <w:tcW w:w="6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Other operating assets and liabilities</w:t>
            </w:r>
          </w:p>
        </w:tc>
        <w:tc>
          <w:tcPr>
            <w:tcW w:w="10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2,784</w:t>
            </w: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(1,623)</w:t>
            </w: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0" w:type="dxa"/>
            <w:vAlign w:val="bottom"/>
          </w:tcPr>
          <w:p>
            <w:pPr>
              <w:spacing w:after="0"/>
              <w:rPr>
                <w:sz w:val="15"/>
                <w:szCs w:val="15"/>
                <w:color w:val="auto"/>
              </w:rPr>
            </w:pPr>
          </w:p>
        </w:tc>
      </w:tr>
      <w:tr>
        <w:trPr>
          <w:trHeight w:val="171"/>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28,501</w:t>
            </w:r>
          </w:p>
        </w:tc>
        <w:tc>
          <w:tcPr>
            <w:tcW w:w="5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26,413</w:t>
            </w:r>
          </w:p>
        </w:tc>
        <w:tc>
          <w:tcPr>
            <w:tcW w:w="5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29,146</w:t>
            </w:r>
          </w:p>
        </w:tc>
        <w:tc>
          <w:tcPr>
            <w:tcW w:w="20" w:type="dxa"/>
            <w:vAlign w:val="bottom"/>
          </w:tcPr>
          <w:p>
            <w:pPr>
              <w:spacing w:after="0"/>
              <w:rPr>
                <w:sz w:val="14"/>
                <w:szCs w:val="14"/>
                <w:color w:val="auto"/>
              </w:rPr>
            </w:pPr>
          </w:p>
        </w:tc>
      </w:tr>
      <w:tr>
        <w:trPr>
          <w:trHeight w:val="171"/>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(12,242)</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(10,626)</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20" w:type="dxa"/>
            <w:vAlign w:val="bottom"/>
          </w:tcPr>
          <w:p>
            <w:pPr>
              <w:spacing w:after="0"/>
              <w:rPr>
                <w:sz w:val="15"/>
                <w:szCs w:val="15"/>
                <w:color w:val="auto"/>
              </w:rPr>
            </w:pPr>
          </w:p>
        </w:tc>
      </w:tr>
      <w:tr>
        <w:trPr>
          <w:trHeight w:val="180"/>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intangible assets</w:t>
            </w:r>
          </w:p>
        </w:tc>
        <w:tc>
          <w:tcPr>
            <w:tcW w:w="106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(3,298)</w:t>
            </w:r>
          </w:p>
        </w:tc>
        <w:tc>
          <w:tcPr>
            <w:tcW w:w="540" w:type="dxa"/>
            <w:vAlign w:val="bottom"/>
          </w:tcPr>
          <w:p>
            <w:pPr>
              <w:spacing w:after="0"/>
              <w:rPr>
                <w:sz w:val="15"/>
                <w:szCs w:val="15"/>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(3,141)</w:t>
            </w:r>
          </w:p>
        </w:tc>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w:t>
            </w:r>
          </w:p>
        </w:tc>
        <w:tc>
          <w:tcPr>
            <w:tcW w:w="20" w:type="dxa"/>
            <w:vAlign w:val="bottom"/>
          </w:tcPr>
          <w:p>
            <w:pPr>
              <w:spacing w:after="0"/>
              <w:rPr>
                <w:sz w:val="15"/>
                <w:szCs w:val="15"/>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Construction of Universal Beijing Resort</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(137)</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(330)</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20" w:type="dxa"/>
            <w:vAlign w:val="bottom"/>
          </w:tcPr>
          <w:p>
            <w:pPr>
              <w:spacing w:after="0"/>
              <w:rPr>
                <w:sz w:val="15"/>
                <w:szCs w:val="15"/>
                <w:color w:val="auto"/>
              </w:rPr>
            </w:pPr>
          </w:p>
        </w:tc>
      </w:tr>
      <w:tr>
        <w:trPr>
          <w:trHeight w:val="180"/>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10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20" w:type="dxa"/>
            <w:vAlign w:val="bottom"/>
          </w:tcPr>
          <w:p>
            <w:pPr>
              <w:spacing w:after="0"/>
              <w:rPr>
                <w:sz w:val="15"/>
                <w:szCs w:val="15"/>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sales of businesses and investments</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661</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1,985</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20" w:type="dxa"/>
            <w:vAlign w:val="bottom"/>
          </w:tcPr>
          <w:p>
            <w:pPr>
              <w:spacing w:after="0"/>
              <w:rPr>
                <w:sz w:val="15"/>
                <w:szCs w:val="15"/>
                <w:color w:val="auto"/>
              </w:rPr>
            </w:pPr>
          </w:p>
        </w:tc>
      </w:tr>
      <w:tr>
        <w:trPr>
          <w:trHeight w:val="180"/>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Advance on sale of investment</w:t>
            </w:r>
          </w:p>
        </w:tc>
        <w:tc>
          <w:tcPr>
            <w:tcW w:w="10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8,610</w:t>
            </w:r>
          </w:p>
        </w:tc>
        <w:tc>
          <w:tcPr>
            <w:tcW w:w="54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(1,313)</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(2,274)</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0" w:type="dxa"/>
            <w:vAlign w:val="bottom"/>
          </w:tcPr>
          <w:p>
            <w:pPr>
              <w:spacing w:after="0"/>
              <w:rPr>
                <w:sz w:val="15"/>
                <w:szCs w:val="15"/>
                <w:color w:val="auto"/>
              </w:rPr>
            </w:pPr>
          </w:p>
        </w:tc>
      </w:tr>
      <w:tr>
        <w:trPr>
          <w:trHeight w:val="180"/>
        </w:trPr>
        <w:tc>
          <w:tcPr>
            <w:tcW w:w="6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558</w:t>
            </w: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258</w:t>
            </w: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20" w:type="dxa"/>
            <w:vAlign w:val="bottom"/>
          </w:tcPr>
          <w:p>
            <w:pPr>
              <w:spacing w:after="0"/>
              <w:rPr>
                <w:sz w:val="15"/>
                <w:szCs w:val="15"/>
                <w:color w:val="auto"/>
              </w:rPr>
            </w:pPr>
          </w:p>
        </w:tc>
      </w:tr>
      <w:tr>
        <w:trPr>
          <w:trHeight w:val="171"/>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10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(7,161)</w:t>
            </w:r>
          </w:p>
        </w:tc>
        <w:tc>
          <w:tcPr>
            <w:tcW w:w="5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(14,140)</w:t>
            </w:r>
          </w:p>
        </w:tc>
        <w:tc>
          <w:tcPr>
            <w:tcW w:w="5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(13,446)</w:t>
            </w:r>
          </w:p>
        </w:tc>
        <w:tc>
          <w:tcPr>
            <w:tcW w:w="20" w:type="dxa"/>
            <w:vAlign w:val="bottom"/>
          </w:tcPr>
          <w:p>
            <w:pPr>
              <w:spacing w:after="0"/>
              <w:rPr>
                <w:sz w:val="14"/>
                <w:szCs w:val="14"/>
                <w:color w:val="auto"/>
              </w:rPr>
            </w:pPr>
          </w:p>
        </w:tc>
      </w:tr>
      <w:tr>
        <w:trPr>
          <w:trHeight w:val="171"/>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(repayments of) short-term borrowings, net</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(660)</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660</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borrowings</w:t>
            </w:r>
          </w:p>
        </w:tc>
        <w:tc>
          <w:tcPr>
            <w:tcW w:w="10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6,052</w:t>
            </w:r>
          </w:p>
        </w:tc>
        <w:tc>
          <w:tcPr>
            <w:tcW w:w="54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2,745</w:t>
            </w:r>
          </w:p>
        </w:tc>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20" w:type="dxa"/>
            <w:vAlign w:val="bottom"/>
          </w:tcPr>
          <w:p>
            <w:pPr>
              <w:spacing w:after="0"/>
              <w:rPr>
                <w:sz w:val="15"/>
                <w:szCs w:val="15"/>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Repurchases and repayments of debt</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(4,015)</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(2,307)</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(11,498)</w:t>
            </w:r>
          </w:p>
        </w:tc>
        <w:tc>
          <w:tcPr>
            <w:tcW w:w="20" w:type="dxa"/>
            <w:vAlign w:val="bottom"/>
          </w:tcPr>
          <w:p>
            <w:pPr>
              <w:spacing w:after="0"/>
              <w:rPr>
                <w:sz w:val="15"/>
                <w:szCs w:val="15"/>
                <w:color w:val="auto"/>
              </w:rPr>
            </w:pPr>
          </w:p>
        </w:tc>
      </w:tr>
      <w:tr>
        <w:trPr>
          <w:trHeight w:val="180"/>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collateralized obligation</w:t>
            </w:r>
          </w:p>
        </w:tc>
        <w:tc>
          <w:tcPr>
            <w:tcW w:w="106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(5,175)</w:t>
            </w:r>
          </w:p>
        </w:tc>
        <w:tc>
          <w:tcPr>
            <w:tcW w:w="54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Repurchases of common stock under repurchase program and employee plans</w:t>
            </w: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(11,291)</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(13,328)</w:t>
            </w: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20" w:type="dxa"/>
            <w:vAlign w:val="bottom"/>
          </w:tcPr>
          <w:p>
            <w:pPr>
              <w:spacing w:after="0"/>
              <w:rPr>
                <w:sz w:val="15"/>
                <w:szCs w:val="15"/>
                <w:color w:val="auto"/>
              </w:rPr>
            </w:pPr>
          </w:p>
        </w:tc>
      </w:tr>
      <w:tr>
        <w:trPr>
          <w:trHeight w:val="180"/>
        </w:trPr>
        <w:tc>
          <w:tcPr>
            <w:tcW w:w="6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paid</w:t>
            </w:r>
          </w:p>
        </w:tc>
        <w:tc>
          <w:tcPr>
            <w:tcW w:w="106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(4,766)</w:t>
            </w:r>
          </w:p>
        </w:tc>
        <w:tc>
          <w:tcPr>
            <w:tcW w:w="540" w:type="dxa"/>
            <w:vAlign w:val="bottom"/>
          </w:tcPr>
          <w:p>
            <w:pPr>
              <w:spacing w:after="0"/>
              <w:rPr>
                <w:sz w:val="15"/>
                <w:szCs w:val="15"/>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(4,741)</w:t>
            </w:r>
          </w:p>
        </w:tc>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w:t>
            </w:r>
          </w:p>
        </w:tc>
        <w:tc>
          <w:tcPr>
            <w:tcW w:w="20" w:type="dxa"/>
            <w:vAlign w:val="bottom"/>
          </w:tcPr>
          <w:p>
            <w:pPr>
              <w:spacing w:after="0"/>
              <w:rPr>
                <w:sz w:val="15"/>
                <w:szCs w:val="15"/>
                <w:color w:val="auto"/>
              </w:rPr>
            </w:pPr>
          </w:p>
        </w:tc>
      </w:tr>
      <w:tr>
        <w:trPr>
          <w:trHeight w:val="180"/>
        </w:trPr>
        <w:tc>
          <w:tcPr>
            <w:tcW w:w="62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w:t>
            </w: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786</w:t>
            </w:r>
          </w:p>
        </w:tc>
        <w:tc>
          <w:tcPr>
            <w:tcW w:w="5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20" w:type="dxa"/>
            <w:vAlign w:val="bottom"/>
          </w:tcPr>
          <w:p>
            <w:pPr>
              <w:spacing w:after="0"/>
              <w:rPr>
                <w:sz w:val="15"/>
                <w:szCs w:val="15"/>
                <w:color w:val="auto"/>
              </w:rPr>
            </w:pPr>
          </w:p>
        </w:tc>
      </w:tr>
      <w:tr>
        <w:trPr>
          <w:trHeight w:val="171"/>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0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(19,850)</w:t>
            </w: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(16,184)</w:t>
            </w: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(18,618)</w:t>
            </w:r>
          </w:p>
        </w:tc>
        <w:tc>
          <w:tcPr>
            <w:tcW w:w="20" w:type="dxa"/>
            <w:vAlign w:val="bottom"/>
          </w:tcPr>
          <w:p>
            <w:pPr>
              <w:spacing w:after="0"/>
              <w:rPr>
                <w:sz w:val="14"/>
                <w:szCs w:val="14"/>
                <w:color w:val="auto"/>
              </w:rPr>
            </w:pPr>
          </w:p>
        </w:tc>
      </w:tr>
      <w:tr>
        <w:trPr>
          <w:trHeight w:val="17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foreign currency on cash, cash equivalents and restricted cash</w:t>
            </w: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9</w:t>
            </w: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w:t>
            </w: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4"/>
                <w:szCs w:val="14"/>
                <w:color w:val="auto"/>
              </w:rPr>
            </w:pPr>
          </w:p>
        </w:tc>
      </w:tr>
      <w:tr>
        <w:trPr>
          <w:trHeight w:val="180"/>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cash, cash equivalents and restricted cash</w:t>
            </w:r>
          </w:p>
        </w:tc>
        <w:tc>
          <w:tcPr>
            <w:tcW w:w="10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1,500</w:t>
            </w:r>
          </w:p>
        </w:tc>
        <w:tc>
          <w:tcPr>
            <w:tcW w:w="540" w:type="dxa"/>
            <w:vAlign w:val="bottom"/>
          </w:tcPr>
          <w:p>
            <w:pPr>
              <w:spacing w:after="0"/>
              <w:rPr>
                <w:sz w:val="15"/>
                <w:szCs w:val="15"/>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(3,997)</w:t>
            </w:r>
          </w:p>
        </w:tc>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20" w:type="dxa"/>
            <w:vAlign w:val="bottom"/>
          </w:tcPr>
          <w:p>
            <w:pPr>
              <w:spacing w:after="0"/>
              <w:rPr>
                <w:sz w:val="15"/>
                <w:szCs w:val="15"/>
                <w:color w:val="auto"/>
              </w:rPr>
            </w:pPr>
          </w:p>
        </w:tc>
      </w:tr>
      <w:tr>
        <w:trPr>
          <w:trHeight w:val="18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10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4,782</w:t>
            </w: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8,778</w:t>
            </w:r>
          </w:p>
        </w:tc>
        <w:tc>
          <w:tcPr>
            <w:tcW w:w="5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11,768</w:t>
            </w:r>
          </w:p>
        </w:tc>
        <w:tc>
          <w:tcPr>
            <w:tcW w:w="20" w:type="dxa"/>
            <w:vAlign w:val="bottom"/>
          </w:tcPr>
          <w:p>
            <w:pPr>
              <w:spacing w:after="0"/>
              <w:rPr>
                <w:sz w:val="15"/>
                <w:szCs w:val="15"/>
                <w:color w:val="auto"/>
              </w:rPr>
            </w:pPr>
          </w:p>
        </w:tc>
      </w:tr>
      <w:tr>
        <w:trPr>
          <w:trHeight w:val="171"/>
        </w:trPr>
        <w:tc>
          <w:tcPr>
            <w:tcW w:w="62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year</w:t>
            </w:r>
          </w:p>
        </w:tc>
        <w:tc>
          <w:tcPr>
            <w:tcW w:w="1060" w:type="dxa"/>
            <w:vAlign w:val="bottom"/>
            <w:tcBorders>
              <w:bottom w:val="single" w:sz="8" w:color="0C6DFF"/>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0C6DFF"/>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6,282</w:t>
            </w:r>
          </w:p>
        </w:tc>
        <w:tc>
          <w:tcPr>
            <w:tcW w:w="540" w:type="dxa"/>
            <w:vAlign w:val="bottom"/>
            <w:tcBorders>
              <w:bottom w:val="single" w:sz="8" w:color="0C6DFF"/>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0C6DFF"/>
            </w:tcBorders>
          </w:tcPr>
          <w:p>
            <w:pPr>
              <w:jc w:val="right"/>
              <w:ind w:right="50"/>
              <w:spacing w:after="0"/>
              <w:rPr>
                <w:sz w:val="20"/>
                <w:szCs w:val="20"/>
                <w:color w:val="auto"/>
              </w:rPr>
            </w:pPr>
            <w:r>
              <w:rPr>
                <w:rFonts w:ascii="Times New Roman" w:cs="Times New Roman" w:eastAsia="Times New Roman" w:hAnsi="Times New Roman"/>
                <w:sz w:val="14"/>
                <w:szCs w:val="14"/>
                <w:color w:val="auto"/>
              </w:rPr>
              <w:t>4,782</w:t>
            </w:r>
          </w:p>
        </w:tc>
        <w:tc>
          <w:tcPr>
            <w:tcW w:w="560" w:type="dxa"/>
            <w:vAlign w:val="bottom"/>
            <w:tcBorders>
              <w:bottom w:val="single" w:sz="8" w:color="0C6DFF"/>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8,778</w:t>
            </w:r>
          </w:p>
        </w:tc>
        <w:tc>
          <w:tcPr>
            <w:tcW w:w="20" w:type="dxa"/>
            <w:vAlign w:val="bottom"/>
          </w:tcPr>
          <w:p>
            <w:pPr>
              <w:spacing w:after="0"/>
              <w:rPr>
                <w:sz w:val="14"/>
                <w:szCs w:val="14"/>
                <w:color w:val="auto"/>
              </w:rPr>
            </w:pPr>
          </w:p>
        </w:tc>
      </w:tr>
      <w:tr>
        <w:trPr>
          <w:trHeight w:val="279"/>
        </w:trPr>
        <w:tc>
          <w:tcPr>
            <w:tcW w:w="6260" w:type="dxa"/>
            <w:vAlign w:val="bottom"/>
          </w:tcPr>
          <w:p>
            <w:pPr>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8"/>
        </w:trPr>
        <w:tc>
          <w:tcPr>
            <w:tcW w:w="6260" w:type="dxa"/>
            <w:vAlign w:val="bottom"/>
          </w:tcPr>
          <w:p>
            <w:pPr>
              <w:ind w:left="5560"/>
              <w:spacing w:after="0"/>
              <w:rPr>
                <w:sz w:val="20"/>
                <w:szCs w:val="20"/>
                <w:color w:val="auto"/>
              </w:rPr>
            </w:pPr>
            <w:r>
              <w:rPr>
                <w:rFonts w:ascii="Times New Roman" w:cs="Times New Roman" w:eastAsia="Times New Roman" w:hAnsi="Times New Roman"/>
                <w:sz w:val="11"/>
                <w:szCs w:val="11"/>
                <w:b w:val="1"/>
                <w:bCs w:val="1"/>
                <w:color w:val="auto"/>
              </w:rPr>
              <w:t>65</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40" w:type="dxa"/>
            <w:vAlign w:val="bottom"/>
            <w:gridSpan w:val="4"/>
          </w:tcPr>
          <w:p>
            <w:pPr>
              <w:ind w:left="360"/>
              <w:spacing w:after="0"/>
              <w:rPr>
                <w:sz w:val="20"/>
                <w:szCs w:val="20"/>
                <w:color w:val="auto"/>
              </w:rPr>
            </w:pPr>
            <w:r>
              <w:rPr>
                <w:rFonts w:ascii="Times New Roman" w:cs="Times New Roman" w:eastAsia="Times New Roman" w:hAnsi="Times New Roman"/>
                <w:sz w:val="11"/>
                <w:szCs w:val="11"/>
                <w:color w:val="auto"/>
              </w:rPr>
              <w:t>Comcast 2023 Annual Report on Form 10-K</w:t>
            </w:r>
          </w:p>
        </w:tc>
      </w:tr>
      <w:tr>
        <w:trPr>
          <w:trHeight w:val="254"/>
        </w:trPr>
        <w:tc>
          <w:tcPr>
            <w:tcW w:w="626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980" w:type="dxa"/>
            <w:vAlign w:val="bottom"/>
            <w:tcBorders>
              <w:bottom w:val="single" w:sz="8" w:color="9A9A9A"/>
            </w:tcBorders>
          </w:tcPr>
          <w:p>
            <w:pPr>
              <w:spacing w:after="0"/>
              <w:rPr>
                <w:sz w:val="22"/>
                <w:szCs w:val="22"/>
                <w:color w:val="auto"/>
              </w:rPr>
            </w:pPr>
          </w:p>
        </w:tc>
        <w:tc>
          <w:tcPr>
            <w:tcW w:w="540" w:type="dxa"/>
            <w:vAlign w:val="bottom"/>
            <w:tcBorders>
              <w:bottom w:val="single" w:sz="8" w:color="9A9A9A"/>
            </w:tcBorders>
          </w:tcPr>
          <w:p>
            <w:pPr>
              <w:spacing w:after="0"/>
              <w:rPr>
                <w:sz w:val="22"/>
                <w:szCs w:val="22"/>
                <w:color w:val="auto"/>
              </w:rPr>
            </w:pPr>
          </w:p>
        </w:tc>
        <w:tc>
          <w:tcPr>
            <w:tcW w:w="980" w:type="dxa"/>
            <w:vAlign w:val="bottom"/>
            <w:tcBorders>
              <w:bottom w:val="single" w:sz="8" w:color="9A9A9A"/>
            </w:tcBorders>
          </w:tcPr>
          <w:p>
            <w:pPr>
              <w:spacing w:after="0"/>
              <w:rPr>
                <w:sz w:val="22"/>
                <w:szCs w:val="22"/>
                <w:color w:val="auto"/>
              </w:rPr>
            </w:pPr>
          </w:p>
        </w:tc>
        <w:tc>
          <w:tcPr>
            <w:tcW w:w="560" w:type="dxa"/>
            <w:vAlign w:val="bottom"/>
            <w:tcBorders>
              <w:bottom w:val="single" w:sz="8" w:color="9A9A9A"/>
            </w:tcBorders>
          </w:tcPr>
          <w:p>
            <w:pPr>
              <w:spacing w:after="0"/>
              <w:rPr>
                <w:sz w:val="22"/>
                <w:szCs w:val="22"/>
                <w:color w:val="auto"/>
              </w:rPr>
            </w:pPr>
          </w:p>
        </w:tc>
        <w:tc>
          <w:tcPr>
            <w:tcW w:w="88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millions, except share data)</w:t>
            </w:r>
          </w:p>
        </w:tc>
        <w:tc>
          <w:tcPr>
            <w:tcW w:w="3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7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6,215</w:t>
            </w:r>
          </w:p>
        </w:tc>
        <w:tc>
          <w:tcPr>
            <w:tcW w:w="5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4,749</w:t>
            </w:r>
          </w:p>
        </w:tc>
        <w:tc>
          <w:tcPr>
            <w:tcW w:w="0" w:type="dxa"/>
            <w:vAlign w:val="bottom"/>
          </w:tcPr>
          <w:p>
            <w:pPr>
              <w:spacing w:after="0"/>
              <w:rPr>
                <w:sz w:val="1"/>
                <w:szCs w:val="1"/>
                <w:color w:val="auto"/>
              </w:rPr>
            </w:pPr>
          </w:p>
        </w:tc>
      </w:tr>
      <w:tr>
        <w:trPr>
          <w:trHeight w:val="180"/>
        </w:trPr>
        <w:tc>
          <w:tcPr>
            <w:tcW w:w="4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Receivables, net</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13,813</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12,672</w:t>
            </w:r>
          </w:p>
        </w:tc>
        <w:tc>
          <w:tcPr>
            <w:tcW w:w="0" w:type="dxa"/>
            <w:vAlign w:val="bottom"/>
          </w:tcPr>
          <w:p>
            <w:pPr>
              <w:spacing w:after="0"/>
              <w:rPr>
                <w:sz w:val="1"/>
                <w:szCs w:val="1"/>
                <w:color w:val="auto"/>
              </w:rPr>
            </w:pPr>
          </w:p>
        </w:tc>
      </w:tr>
      <w:tr>
        <w:trPr>
          <w:trHeight w:val="180"/>
        </w:trPr>
        <w:tc>
          <w:tcPr>
            <w:tcW w:w="46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assets</w:t>
            </w:r>
          </w:p>
        </w:tc>
        <w:tc>
          <w:tcPr>
            <w:tcW w:w="37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3,959</w:t>
            </w:r>
          </w:p>
        </w:tc>
        <w:tc>
          <w:tcPr>
            <w:tcW w:w="5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4,406</w:t>
            </w:r>
          </w:p>
        </w:tc>
        <w:tc>
          <w:tcPr>
            <w:tcW w:w="0" w:type="dxa"/>
            <w:vAlign w:val="bottom"/>
          </w:tcPr>
          <w:p>
            <w:pPr>
              <w:spacing w:after="0"/>
              <w:rPr>
                <w:sz w:val="1"/>
                <w:szCs w:val="1"/>
                <w:color w:val="auto"/>
              </w:rPr>
            </w:pPr>
          </w:p>
        </w:tc>
      </w:tr>
      <w:tr>
        <w:trPr>
          <w:trHeight w:val="17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23,987</w:t>
            </w: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21,826</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Film and television costs</w:t>
            </w:r>
          </w:p>
        </w:tc>
        <w:tc>
          <w:tcPr>
            <w:tcW w:w="3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12,920</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9,385</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7,740</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59,686</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55,485</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59,268</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58,494</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Franchise rights</w:t>
            </w:r>
          </w:p>
        </w:tc>
        <w:tc>
          <w:tcPr>
            <w:tcW w:w="3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59,365</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59,365</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27,867</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29,308</w:t>
            </w:r>
          </w:p>
        </w:tc>
        <w:tc>
          <w:tcPr>
            <w:tcW w:w="0" w:type="dxa"/>
            <w:vAlign w:val="bottom"/>
          </w:tcPr>
          <w:p>
            <w:pPr>
              <w:spacing w:after="0"/>
              <w:rPr>
                <w:sz w:val="1"/>
                <w:szCs w:val="1"/>
                <w:color w:val="auto"/>
              </w:rPr>
            </w:pPr>
          </w:p>
        </w:tc>
      </w:tr>
      <w:tr>
        <w:trPr>
          <w:trHeight w:val="180"/>
        </w:trPr>
        <w:tc>
          <w:tcPr>
            <w:tcW w:w="4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 net</w:t>
            </w:r>
          </w:p>
        </w:tc>
        <w:tc>
          <w:tcPr>
            <w:tcW w:w="37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12,333</w:t>
            </w:r>
          </w:p>
        </w:tc>
        <w:tc>
          <w:tcPr>
            <w:tcW w:w="5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12,497</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740" w:type="dxa"/>
            <w:vAlign w:val="bottom"/>
            <w:tcBorders>
              <w:bottom w:val="single" w:sz="8" w:color="0C6DFF"/>
            </w:tcBorders>
          </w:tcPr>
          <w:p>
            <w:pPr>
              <w:spacing w:after="0"/>
              <w:rPr>
                <w:sz w:val="14"/>
                <w:szCs w:val="14"/>
                <w:color w:val="auto"/>
              </w:rPr>
            </w:pPr>
          </w:p>
        </w:tc>
        <w:tc>
          <w:tcPr>
            <w:tcW w:w="460" w:type="dxa"/>
            <w:vAlign w:val="bottom"/>
            <w:tcBorders>
              <w:bottom w:val="single" w:sz="8" w:color="0C6DFF"/>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0C6DFF"/>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264,811</w:t>
            </w:r>
          </w:p>
        </w:tc>
        <w:tc>
          <w:tcPr>
            <w:tcW w:w="540" w:type="dxa"/>
            <w:vAlign w:val="bottom"/>
            <w:tcBorders>
              <w:bottom w:val="single" w:sz="8" w:color="0C6DFF"/>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257,275</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3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expenses related to trade creditors</w:t>
            </w:r>
          </w:p>
        </w:tc>
        <w:tc>
          <w:tcPr>
            <w:tcW w:w="37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12,437</w:t>
            </w:r>
          </w:p>
        </w:tc>
        <w:tc>
          <w:tcPr>
            <w:tcW w:w="5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12,544</w:t>
            </w:r>
          </w:p>
        </w:tc>
        <w:tc>
          <w:tcPr>
            <w:tcW w:w="0" w:type="dxa"/>
            <w:vAlign w:val="bottom"/>
          </w:tcPr>
          <w:p>
            <w:pPr>
              <w:spacing w:after="0"/>
              <w:rPr>
                <w:sz w:val="1"/>
                <w:szCs w:val="1"/>
                <w:color w:val="auto"/>
              </w:rPr>
            </w:pPr>
          </w:p>
        </w:tc>
      </w:tr>
      <w:tr>
        <w:trPr>
          <w:trHeight w:val="180"/>
        </w:trPr>
        <w:tc>
          <w:tcPr>
            <w:tcW w:w="4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participations and residuals</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1,671</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revenue</w:t>
            </w:r>
          </w:p>
        </w:tc>
        <w:tc>
          <w:tcPr>
            <w:tcW w:w="3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3,242</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0" w:type="dxa"/>
            <w:vAlign w:val="bottom"/>
          </w:tcPr>
          <w:p>
            <w:pPr>
              <w:spacing w:after="0"/>
              <w:rPr>
                <w:sz w:val="1"/>
                <w:szCs w:val="1"/>
                <w:color w:val="auto"/>
              </w:rPr>
            </w:pPr>
          </w:p>
        </w:tc>
      </w:tr>
      <w:tr>
        <w:trPr>
          <w:trHeight w:val="180"/>
        </w:trPr>
        <w:tc>
          <w:tcPr>
            <w:tcW w:w="4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11,613</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9,450</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2,069</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0" w:type="dxa"/>
            <w:vAlign w:val="bottom"/>
          </w:tcPr>
          <w:p>
            <w:pPr>
              <w:spacing w:after="0"/>
              <w:rPr>
                <w:sz w:val="1"/>
                <w:szCs w:val="1"/>
                <w:color w:val="auto"/>
              </w:rPr>
            </w:pPr>
          </w:p>
        </w:tc>
      </w:tr>
      <w:tr>
        <w:trPr>
          <w:trHeight w:val="180"/>
        </w:trPr>
        <w:tc>
          <w:tcPr>
            <w:tcW w:w="4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Advance on sale of investment</w:t>
            </w:r>
          </w:p>
        </w:tc>
        <w:tc>
          <w:tcPr>
            <w:tcW w:w="3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9,167</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40,198</w:t>
            </w: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27,887</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95,021</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93,068</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Collateralized obligation</w:t>
            </w:r>
          </w:p>
        </w:tc>
        <w:tc>
          <w:tcPr>
            <w:tcW w:w="3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5,172</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26,003</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28,714</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20,122</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20,395</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3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241</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stock—authorized, 20,000,000 shares; issued, zero</w:t>
            </w:r>
          </w:p>
        </w:tc>
        <w:tc>
          <w:tcPr>
            <w:tcW w:w="3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8420" w:type="dxa"/>
            <w:vAlign w:val="bottom"/>
            <w:gridSpan w:val="2"/>
          </w:tcPr>
          <w:p>
            <w:pPr>
              <w:ind w:left="120"/>
              <w:spacing w:after="0" w:line="138" w:lineRule="exact"/>
              <w:rPr>
                <w:sz w:val="20"/>
                <w:szCs w:val="20"/>
                <w:color w:val="auto"/>
              </w:rPr>
            </w:pPr>
            <w:r>
              <w:rPr>
                <w:rFonts w:ascii="Times New Roman" w:cs="Times New Roman" w:eastAsia="Times New Roman" w:hAnsi="Times New Roman"/>
                <w:sz w:val="14"/>
                <w:szCs w:val="14"/>
                <w:color w:val="auto"/>
              </w:rPr>
              <w:t>Class A common stock, $0.01 par value—authorized, 7,500,000,000 shares; issued, 4,842,108,959 and 5,083,466,045; outstanding, 3,969,317,931</w:t>
            </w:r>
          </w:p>
        </w:tc>
        <w:tc>
          <w:tcPr>
            <w:tcW w:w="460" w:type="dxa"/>
            <w:vAlign w:val="bottom"/>
          </w:tcPr>
          <w:p>
            <w:pPr>
              <w:spacing w:after="0"/>
              <w:rPr>
                <w:sz w:val="11"/>
                <w:szCs w:val="11"/>
                <w:color w:val="auto"/>
              </w:rPr>
            </w:pPr>
          </w:p>
        </w:tc>
        <w:tc>
          <w:tcPr>
            <w:tcW w:w="98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48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and 4,210,675,017</w:t>
            </w:r>
          </w:p>
        </w:tc>
        <w:tc>
          <w:tcPr>
            <w:tcW w:w="3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1"/>
        </w:trPr>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B common stock, $0.01 par value—authorized, 75,000,000 shares; issued and outstanding, 9,444,375</w:t>
            </w: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38,533</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39,412</w:t>
            </w:r>
          </w:p>
        </w:tc>
        <w:tc>
          <w:tcPr>
            <w:tcW w:w="0" w:type="dxa"/>
            <w:vAlign w:val="bottom"/>
          </w:tcPr>
          <w:p>
            <w:pPr>
              <w:spacing w:after="0"/>
              <w:rPr>
                <w:sz w:val="1"/>
                <w:szCs w:val="1"/>
                <w:color w:val="auto"/>
              </w:rPr>
            </w:pPr>
          </w:p>
        </w:tc>
      </w:tr>
      <w:tr>
        <w:trPr>
          <w:trHeight w:val="180"/>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3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52,892</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51,609</w:t>
            </w:r>
          </w:p>
        </w:tc>
        <w:tc>
          <w:tcPr>
            <w:tcW w:w="0" w:type="dxa"/>
            <w:vAlign w:val="bottom"/>
          </w:tcPr>
          <w:p>
            <w:pPr>
              <w:spacing w:after="0"/>
              <w:rPr>
                <w:sz w:val="1"/>
                <w:szCs w:val="1"/>
                <w:color w:val="auto"/>
              </w:rPr>
            </w:pPr>
          </w:p>
        </w:tc>
      </w:tr>
      <w:tr>
        <w:trPr>
          <w:trHeight w:val="180"/>
        </w:trPr>
        <w:tc>
          <w:tcPr>
            <w:tcW w:w="4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stock, 872,791,028 Class A common shares</w:t>
            </w:r>
          </w:p>
        </w:tc>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(7,517)</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(7,517)</w:t>
            </w:r>
          </w:p>
        </w:tc>
        <w:tc>
          <w:tcPr>
            <w:tcW w:w="0" w:type="dxa"/>
            <w:vAlign w:val="bottom"/>
          </w:tcPr>
          <w:p>
            <w:pPr>
              <w:spacing w:after="0"/>
              <w:rPr>
                <w:sz w:val="1"/>
                <w:szCs w:val="1"/>
                <w:color w:val="auto"/>
              </w:rPr>
            </w:pPr>
          </w:p>
        </w:tc>
      </w:tr>
      <w:tr>
        <w:trPr>
          <w:trHeight w:val="180"/>
        </w:trPr>
        <w:tc>
          <w:tcPr>
            <w:tcW w:w="46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7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(1,253)</w:t>
            </w:r>
          </w:p>
        </w:tc>
        <w:tc>
          <w:tcPr>
            <w:tcW w:w="5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0" w:type="dxa"/>
            <w:vAlign w:val="bottom"/>
          </w:tcPr>
          <w:p>
            <w:pPr>
              <w:spacing w:after="0"/>
              <w:rPr>
                <w:sz w:val="1"/>
                <w:szCs w:val="1"/>
                <w:color w:val="auto"/>
              </w:rPr>
            </w:pPr>
          </w:p>
        </w:tc>
      </w:tr>
      <w:tr>
        <w:trPr>
          <w:trHeight w:val="17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Comcast Corporation shareholders’ equity</w:t>
            </w:r>
          </w:p>
        </w:tc>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82,703</w:t>
            </w: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80,943</w:t>
            </w:r>
          </w:p>
        </w:tc>
        <w:tc>
          <w:tcPr>
            <w:tcW w:w="0" w:type="dxa"/>
            <w:vAlign w:val="bottom"/>
          </w:tcPr>
          <w:p>
            <w:pPr>
              <w:spacing w:after="0"/>
              <w:rPr>
                <w:sz w:val="1"/>
                <w:szCs w:val="1"/>
                <w:color w:val="auto"/>
              </w:rPr>
            </w:pPr>
          </w:p>
        </w:tc>
      </w:tr>
      <w:tr>
        <w:trPr>
          <w:trHeight w:val="180"/>
        </w:trPr>
        <w:tc>
          <w:tcPr>
            <w:tcW w:w="4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7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523</w:t>
            </w:r>
          </w:p>
        </w:tc>
        <w:tc>
          <w:tcPr>
            <w:tcW w:w="5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3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83,226</w:t>
            </w: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81,627</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3740" w:type="dxa"/>
            <w:vAlign w:val="bottom"/>
            <w:tcBorders>
              <w:bottom w:val="single" w:sz="8" w:color="0C6DFF"/>
            </w:tcBorders>
            <w:shd w:val="clear" w:color="auto" w:fill="CCEEFF"/>
          </w:tcPr>
          <w:p>
            <w:pPr>
              <w:spacing w:after="0"/>
              <w:rPr>
                <w:sz w:val="14"/>
                <w:szCs w:val="14"/>
                <w:color w:val="auto"/>
              </w:rPr>
            </w:pPr>
          </w:p>
        </w:tc>
        <w:tc>
          <w:tcPr>
            <w:tcW w:w="460" w:type="dxa"/>
            <w:vAlign w:val="bottom"/>
            <w:tcBorders>
              <w:bottom w:val="single" w:sz="8" w:color="0C6D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0C6D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264,811</w:t>
            </w:r>
          </w:p>
        </w:tc>
        <w:tc>
          <w:tcPr>
            <w:tcW w:w="540" w:type="dxa"/>
            <w:vAlign w:val="bottom"/>
            <w:tcBorders>
              <w:bottom w:val="single" w:sz="8" w:color="0C6D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257,275</w:t>
            </w:r>
          </w:p>
        </w:tc>
        <w:tc>
          <w:tcPr>
            <w:tcW w:w="0" w:type="dxa"/>
            <w:vAlign w:val="bottom"/>
          </w:tcPr>
          <w:p>
            <w:pPr>
              <w:spacing w:after="0"/>
              <w:rPr>
                <w:sz w:val="1"/>
                <w:szCs w:val="1"/>
                <w:color w:val="auto"/>
              </w:rPr>
            </w:pPr>
          </w:p>
        </w:tc>
      </w:tr>
      <w:tr>
        <w:trPr>
          <w:trHeight w:val="279"/>
        </w:trPr>
        <w:tc>
          <w:tcPr>
            <w:tcW w:w="4680" w:type="dxa"/>
            <w:vAlign w:val="bottom"/>
          </w:tcPr>
          <w:p>
            <w:pPr>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tc>
        <w:tc>
          <w:tcPr>
            <w:tcW w:w="3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3740" w:type="dxa"/>
            <w:vAlign w:val="bottom"/>
          </w:tcPr>
          <w:p>
            <w:pPr>
              <w:jc w:val="right"/>
              <w:ind w:right="2703"/>
              <w:spacing w:after="0"/>
              <w:rPr>
                <w:sz w:val="20"/>
                <w:szCs w:val="20"/>
                <w:color w:val="auto"/>
              </w:rPr>
            </w:pPr>
            <w:r>
              <w:rPr>
                <w:rFonts w:ascii="Times New Roman" w:cs="Times New Roman" w:eastAsia="Times New Roman" w:hAnsi="Times New Roman"/>
                <w:sz w:val="11"/>
                <w:szCs w:val="11"/>
                <w:b w:val="1"/>
                <w:bCs w:val="1"/>
                <w:color w:val="auto"/>
              </w:rPr>
              <w:t>66</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680" w:type="dxa"/>
            <w:vAlign w:val="bottom"/>
            <w:tcBorders>
              <w:bottom w:val="single" w:sz="8" w:color="9A9A9A"/>
            </w:tcBorders>
          </w:tcPr>
          <w:p>
            <w:pPr>
              <w:spacing w:after="0"/>
              <w:rPr>
                <w:sz w:val="22"/>
                <w:szCs w:val="22"/>
                <w:color w:val="auto"/>
              </w:rPr>
            </w:pPr>
          </w:p>
        </w:tc>
        <w:tc>
          <w:tcPr>
            <w:tcW w:w="374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980" w:type="dxa"/>
            <w:vAlign w:val="bottom"/>
            <w:tcBorders>
              <w:bottom w:val="single" w:sz="8" w:color="9A9A9A"/>
            </w:tcBorders>
          </w:tcPr>
          <w:p>
            <w:pPr>
              <w:spacing w:after="0"/>
              <w:rPr>
                <w:sz w:val="22"/>
                <w:szCs w:val="22"/>
                <w:color w:val="auto"/>
              </w:rPr>
            </w:pPr>
          </w:p>
        </w:tc>
        <w:tc>
          <w:tcPr>
            <w:tcW w:w="540" w:type="dxa"/>
            <w:vAlign w:val="bottom"/>
            <w:tcBorders>
              <w:bottom w:val="single" w:sz="8" w:color="9A9A9A"/>
            </w:tcBorders>
          </w:tcPr>
          <w:p>
            <w:pPr>
              <w:spacing w:after="0"/>
              <w:rPr>
                <w:sz w:val="22"/>
                <w:szCs w:val="22"/>
                <w:color w:val="auto"/>
              </w:rPr>
            </w:pPr>
          </w:p>
        </w:tc>
        <w:tc>
          <w:tcPr>
            <w:tcW w:w="88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Statements of Changes in Equity</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 millions, except per share data)</w:t>
            </w:r>
          </w:p>
        </w:tc>
        <w:tc>
          <w:tcPr>
            <w:tcW w:w="10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1"/>
                <w:szCs w:val="11"/>
                <w:color w:val="auto"/>
              </w:rPr>
              <w:t>2022</w:t>
            </w: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Interests</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0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411</w:t>
            </w:r>
          </w:p>
        </w:tc>
        <w:tc>
          <w:tcPr>
            <w:tcW w:w="5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519</w:t>
            </w:r>
          </w:p>
        </w:tc>
        <w:tc>
          <w:tcPr>
            <w:tcW w:w="6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r>
      <w:tr>
        <w:trPr>
          <w:trHeight w:val="18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Redemption of subsidiary preferred stock</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r>
      <w:tr>
        <w:trPr>
          <w:trHeight w:val="180"/>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Contributions from (distributions to) noncontrolling interests, net</w:t>
            </w:r>
          </w:p>
        </w:tc>
        <w:tc>
          <w:tcPr>
            <w:tcW w:w="108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(24)</w:t>
            </w:r>
          </w:p>
        </w:tc>
        <w:tc>
          <w:tcPr>
            <w:tcW w:w="54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(77)</w:t>
            </w: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8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(171)</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(80)</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6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25</w:t>
            </w:r>
          </w:p>
        </w:tc>
        <w:tc>
          <w:tcPr>
            <w:tcW w:w="5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49</w:t>
            </w: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1"/>
        </w:trPr>
        <w:tc>
          <w:tcPr>
            <w:tcW w:w="62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1080" w:type="dxa"/>
            <w:vAlign w:val="bottom"/>
            <w:tcBorders>
              <w:bottom w:val="single" w:sz="8" w:color="0C6D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C6D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241</w:t>
            </w:r>
          </w:p>
        </w:tc>
        <w:tc>
          <w:tcPr>
            <w:tcW w:w="540" w:type="dxa"/>
            <w:vAlign w:val="bottom"/>
            <w:tcBorders>
              <w:bottom w:val="single" w:sz="8" w:color="0C6D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0C6D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411</w:t>
            </w:r>
          </w:p>
        </w:tc>
        <w:tc>
          <w:tcPr>
            <w:tcW w:w="600" w:type="dxa"/>
            <w:vAlign w:val="bottom"/>
            <w:tcBorders>
              <w:bottom w:val="single" w:sz="8" w:color="0C6D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22"/>
        </w:trPr>
        <w:tc>
          <w:tcPr>
            <w:tcW w:w="6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0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51</w:t>
            </w:r>
          </w:p>
        </w:tc>
        <w:tc>
          <w:tcPr>
            <w:tcW w:w="5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54</w:t>
            </w:r>
          </w:p>
        </w:tc>
        <w:tc>
          <w:tcPr>
            <w:tcW w:w="6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6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under repurchase program and employee plans</w:t>
            </w:r>
          </w:p>
        </w:tc>
        <w:tc>
          <w:tcPr>
            <w:tcW w:w="10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w:t>
            </w:r>
          </w:p>
        </w:tc>
        <w:tc>
          <w:tcPr>
            <w:tcW w:w="5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6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6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10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48</w:t>
            </w:r>
          </w:p>
        </w:tc>
        <w:tc>
          <w:tcPr>
            <w:tcW w:w="5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51</w:t>
            </w:r>
          </w:p>
        </w:tc>
        <w:tc>
          <w:tcPr>
            <w:tcW w:w="6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6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r>
      <w:tr>
        <w:trPr>
          <w:trHeight w:val="180"/>
        </w:trPr>
        <w:tc>
          <w:tcPr>
            <w:tcW w:w="6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beginning and end of year</w:t>
            </w:r>
          </w:p>
        </w:tc>
        <w:tc>
          <w:tcPr>
            <w:tcW w:w="108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Paid-In Capital</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0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39,412</w:t>
            </w:r>
          </w:p>
        </w:tc>
        <w:tc>
          <w:tcPr>
            <w:tcW w:w="5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40,173</w:t>
            </w:r>
          </w:p>
        </w:tc>
        <w:tc>
          <w:tcPr>
            <w:tcW w:w="6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39,464</w:t>
            </w:r>
          </w:p>
        </w:tc>
      </w:tr>
      <w:tr>
        <w:trPr>
          <w:trHeight w:val="18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1,063</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1,055</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r>
      <w:tr>
        <w:trPr>
          <w:trHeight w:val="180"/>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under repurchase program and employee plans</w:t>
            </w:r>
          </w:p>
        </w:tc>
        <w:tc>
          <w:tcPr>
            <w:tcW w:w="108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(2,086)</w:t>
            </w:r>
          </w:p>
        </w:tc>
        <w:tc>
          <w:tcPr>
            <w:tcW w:w="54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(2,431)</w:t>
            </w: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18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Issuances of common stock under employee plans</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272</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278</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180"/>
        </w:trPr>
        <w:tc>
          <w:tcPr>
            <w:tcW w:w="6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(127)</w:t>
            </w:r>
          </w:p>
        </w:tc>
        <w:tc>
          <w:tcPr>
            <w:tcW w:w="5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337</w:t>
            </w: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6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108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38,533</w:t>
            </w:r>
          </w:p>
        </w:tc>
        <w:tc>
          <w:tcPr>
            <w:tcW w:w="5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39,412</w:t>
            </w:r>
          </w:p>
        </w:tc>
        <w:tc>
          <w:tcPr>
            <w:tcW w:w="6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40,173</w:t>
            </w:r>
          </w:p>
        </w:tc>
      </w:tr>
      <w:tr>
        <w:trPr>
          <w:trHeight w:val="22"/>
        </w:trPr>
        <w:tc>
          <w:tcPr>
            <w:tcW w:w="6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0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51,609</w:t>
            </w:r>
          </w:p>
        </w:tc>
        <w:tc>
          <w:tcPr>
            <w:tcW w:w="5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61,902</w:t>
            </w:r>
          </w:p>
        </w:tc>
        <w:tc>
          <w:tcPr>
            <w:tcW w:w="6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56,438</w:t>
            </w:r>
          </w:p>
        </w:tc>
      </w:tr>
      <w:tr>
        <w:trPr>
          <w:trHeight w:val="18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under repurchase program and employee plans</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(9,309)</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(10,897)</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w:t>
            </w:r>
          </w:p>
        </w:tc>
      </w:tr>
      <w:tr>
        <w:trPr>
          <w:trHeight w:val="180"/>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108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(4,795)</w:t>
            </w:r>
          </w:p>
        </w:tc>
        <w:tc>
          <w:tcPr>
            <w:tcW w:w="54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(4,757)</w:t>
            </w: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(4,613)</w:t>
            </w:r>
          </w:p>
        </w:tc>
      </w:tr>
      <w:tr>
        <w:trPr>
          <w:trHeight w:val="18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6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15,388</w:t>
            </w:r>
          </w:p>
        </w:tc>
        <w:tc>
          <w:tcPr>
            <w:tcW w:w="5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5,370</w:t>
            </w: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14,159</w:t>
            </w:r>
          </w:p>
        </w:tc>
      </w:tr>
      <w:tr>
        <w:trPr>
          <w:trHeight w:val="171"/>
        </w:trPr>
        <w:tc>
          <w:tcPr>
            <w:tcW w:w="6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108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52,892</w:t>
            </w:r>
          </w:p>
        </w:tc>
        <w:tc>
          <w:tcPr>
            <w:tcW w:w="5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51,609</w:t>
            </w:r>
          </w:p>
        </w:tc>
        <w:tc>
          <w:tcPr>
            <w:tcW w:w="6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61,902</w:t>
            </w:r>
          </w:p>
        </w:tc>
      </w:tr>
      <w:tr>
        <w:trPr>
          <w:trHeight w:val="22"/>
        </w:trPr>
        <w:tc>
          <w:tcPr>
            <w:tcW w:w="6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8"/>
        </w:trPr>
        <w:tc>
          <w:tcPr>
            <w:tcW w:w="6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beginning and end of year</w:t>
            </w:r>
          </w:p>
        </w:tc>
        <w:tc>
          <w:tcPr>
            <w:tcW w:w="10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(7,517)</w:t>
            </w:r>
          </w:p>
        </w:tc>
        <w:tc>
          <w:tcPr>
            <w:tcW w:w="5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(7,517)</w:t>
            </w:r>
          </w:p>
        </w:tc>
        <w:tc>
          <w:tcPr>
            <w:tcW w:w="6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(7,517)</w:t>
            </w:r>
          </w:p>
        </w:tc>
      </w:tr>
      <w:tr>
        <w:trPr>
          <w:trHeight w:val="180"/>
        </w:trPr>
        <w:tc>
          <w:tcPr>
            <w:tcW w:w="6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10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r>
      <w:tr>
        <w:trPr>
          <w:trHeight w:val="18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0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(2,611)</w:t>
            </w:r>
          </w:p>
        </w:tc>
        <w:tc>
          <w:tcPr>
            <w:tcW w:w="5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1,480</w:t>
            </w:r>
          </w:p>
        </w:tc>
        <w:tc>
          <w:tcPr>
            <w:tcW w:w="6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w:t>
            </w:r>
          </w:p>
        </w:tc>
      </w:tr>
      <w:tr>
        <w:trPr>
          <w:trHeight w:val="180"/>
        </w:trPr>
        <w:tc>
          <w:tcPr>
            <w:tcW w:w="6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1,358</w:t>
            </w:r>
          </w:p>
        </w:tc>
        <w:tc>
          <w:tcPr>
            <w:tcW w:w="5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(4,091)</w:t>
            </w: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w:t>
            </w:r>
          </w:p>
        </w:tc>
      </w:tr>
      <w:tr>
        <w:trPr>
          <w:trHeight w:val="171"/>
        </w:trPr>
        <w:tc>
          <w:tcPr>
            <w:tcW w:w="6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108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(1,253)</w:t>
            </w:r>
          </w:p>
        </w:tc>
        <w:tc>
          <w:tcPr>
            <w:tcW w:w="5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(2,611)</w:t>
            </w:r>
          </w:p>
        </w:tc>
        <w:tc>
          <w:tcPr>
            <w:tcW w:w="6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r>
      <w:tr>
        <w:trPr>
          <w:trHeight w:val="22"/>
        </w:trPr>
        <w:tc>
          <w:tcPr>
            <w:tcW w:w="6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0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684</w:t>
            </w:r>
          </w:p>
        </w:tc>
        <w:tc>
          <w:tcPr>
            <w:tcW w:w="5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1,398</w:t>
            </w:r>
          </w:p>
        </w:tc>
        <w:tc>
          <w:tcPr>
            <w:tcW w:w="6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r>
      <w:tr>
        <w:trPr>
          <w:trHeight w:val="18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(19)</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Contributions from (distributions to) noncontrolling interests, net</w:t>
            </w:r>
          </w:p>
        </w:tc>
        <w:tc>
          <w:tcPr>
            <w:tcW w:w="108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166</w:t>
            </w:r>
          </w:p>
        </w:tc>
        <w:tc>
          <w:tcPr>
            <w:tcW w:w="540" w:type="dxa"/>
            <w:vAlign w:val="bottom"/>
          </w:tcPr>
          <w:p>
            <w:pPr>
              <w:spacing w:after="0"/>
              <w:rPr>
                <w:sz w:val="15"/>
                <w:szCs w:val="15"/>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89</w:t>
            </w: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8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(280)</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(307)</w:t>
            </w:r>
          </w:p>
        </w:tc>
        <w:tc>
          <w:tcPr>
            <w:tcW w:w="5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(495)</w:t>
            </w: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171"/>
        </w:trPr>
        <w:tc>
          <w:tcPr>
            <w:tcW w:w="6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108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523</w:t>
            </w:r>
          </w:p>
        </w:tc>
        <w:tc>
          <w:tcPr>
            <w:tcW w:w="5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684</w:t>
            </w:r>
          </w:p>
        </w:tc>
        <w:tc>
          <w:tcPr>
            <w:tcW w:w="6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r>
      <w:tr>
        <w:trPr>
          <w:trHeight w:val="171"/>
        </w:trPr>
        <w:tc>
          <w:tcPr>
            <w:tcW w:w="62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080" w:type="dxa"/>
            <w:vAlign w:val="bottom"/>
            <w:tcBorders>
              <w:bottom w:val="single" w:sz="8" w:color="0C6DFF"/>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C6DFF"/>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83,226</w:t>
            </w:r>
          </w:p>
        </w:tc>
        <w:tc>
          <w:tcPr>
            <w:tcW w:w="540" w:type="dxa"/>
            <w:vAlign w:val="bottom"/>
            <w:tcBorders>
              <w:bottom w:val="single" w:sz="8" w:color="0C6DFF"/>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0C6DFF"/>
            </w:tcBorders>
          </w:tcPr>
          <w:p>
            <w:pPr>
              <w:jc w:val="right"/>
              <w:ind w:right="70"/>
              <w:spacing w:after="0"/>
              <w:rPr>
                <w:sz w:val="20"/>
                <w:szCs w:val="20"/>
                <w:color w:val="auto"/>
              </w:rPr>
            </w:pPr>
            <w:r>
              <w:rPr>
                <w:rFonts w:ascii="Times New Roman" w:cs="Times New Roman" w:eastAsia="Times New Roman" w:hAnsi="Times New Roman"/>
                <w:sz w:val="14"/>
                <w:szCs w:val="14"/>
                <w:color w:val="auto"/>
              </w:rPr>
              <w:t>81,627</w:t>
            </w:r>
          </w:p>
        </w:tc>
        <w:tc>
          <w:tcPr>
            <w:tcW w:w="600" w:type="dxa"/>
            <w:vAlign w:val="bottom"/>
            <w:tcBorders>
              <w:bottom w:val="single" w:sz="8" w:color="0C6DFF"/>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97,490</w:t>
            </w:r>
          </w:p>
        </w:tc>
      </w:tr>
      <w:tr>
        <w:trPr>
          <w:trHeight w:val="171"/>
        </w:trPr>
        <w:tc>
          <w:tcPr>
            <w:tcW w:w="62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dividends declared per common share</w:t>
            </w:r>
          </w:p>
        </w:tc>
        <w:tc>
          <w:tcPr>
            <w:tcW w:w="1080" w:type="dxa"/>
            <w:vAlign w:val="bottom"/>
            <w:tcBorders>
              <w:bottom w:val="single" w:sz="8" w:color="0C6D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C6D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1.16</w:t>
            </w:r>
          </w:p>
        </w:tc>
        <w:tc>
          <w:tcPr>
            <w:tcW w:w="540" w:type="dxa"/>
            <w:vAlign w:val="bottom"/>
            <w:tcBorders>
              <w:bottom w:val="single" w:sz="8" w:color="0C6D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0C6D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1.08</w:t>
            </w:r>
          </w:p>
        </w:tc>
        <w:tc>
          <w:tcPr>
            <w:tcW w:w="600" w:type="dxa"/>
            <w:vAlign w:val="bottom"/>
            <w:tcBorders>
              <w:bottom w:val="single" w:sz="8" w:color="0C6D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79"/>
        </w:trPr>
        <w:tc>
          <w:tcPr>
            <w:tcW w:w="6240" w:type="dxa"/>
            <w:vAlign w:val="bottom"/>
          </w:tcPr>
          <w:p>
            <w:pPr>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88"/>
        </w:trPr>
        <w:tc>
          <w:tcPr>
            <w:tcW w:w="6240" w:type="dxa"/>
            <w:vAlign w:val="bottom"/>
          </w:tcPr>
          <w:p>
            <w:pPr>
              <w:ind w:left="5560"/>
              <w:spacing w:after="0"/>
              <w:rPr>
                <w:sz w:val="20"/>
                <w:szCs w:val="20"/>
                <w:color w:val="auto"/>
              </w:rPr>
            </w:pPr>
            <w:r>
              <w:rPr>
                <w:rFonts w:ascii="Times New Roman" w:cs="Times New Roman" w:eastAsia="Times New Roman" w:hAnsi="Times New Roman"/>
                <w:sz w:val="11"/>
                <w:szCs w:val="11"/>
                <w:b w:val="1"/>
                <w:bCs w:val="1"/>
                <w:color w:val="auto"/>
              </w:rPr>
              <w:t>67</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Comcast 2023 Annual Report on Form 10-K</w:t>
            </w:r>
          </w:p>
        </w:tc>
      </w:tr>
      <w:tr>
        <w:trPr>
          <w:trHeight w:val="254"/>
        </w:trPr>
        <w:tc>
          <w:tcPr>
            <w:tcW w:w="6240" w:type="dxa"/>
            <w:vAlign w:val="bottom"/>
            <w:tcBorders>
              <w:bottom w:val="single" w:sz="8" w:color="9A9A9A"/>
            </w:tcBorders>
          </w:tcPr>
          <w:p>
            <w:pPr>
              <w:spacing w:after="0"/>
              <w:rPr>
                <w:sz w:val="22"/>
                <w:szCs w:val="22"/>
                <w:color w:val="auto"/>
              </w:rPr>
            </w:pPr>
          </w:p>
        </w:tc>
        <w:tc>
          <w:tcPr>
            <w:tcW w:w="108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54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8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1: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all entities in which we have a controlling voting interest and variable interest entities (“VIEs”) required to be consolidated, including Universal Beijing Resort (see Note 8).</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translate assets and liabilities of our foreign operations where the functional currency is the local currency into U.S. dollars at the exchange rate as of the balance sheet date and translate revenue and expenses using average periodic exchange rates. The related translation adjustments are recorded as a component of accumulated other comprehensive income (loss) in our consolidated balance sheets. Any foreign currency transaction gains or losses are included in our consolidated statements of income in investment and other income (loss), net. For disclosures containing future amounts where the functional currency is the local currency, we translate the amounts into U.S. dollars at the exchange rates as of the balance sheet date.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Reclassifications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Reclassifications have been made to our consolidated financial statements and related notes for the prior years to conform to classifications used in 2023. See Note 2 for a discussion of the changes in our presentation of segment operating results.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Policies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The following accounting policies are specific to the industries in which we operate:</w:t>
      </w:r>
    </w:p>
    <w:p>
      <w:pPr>
        <w:spacing w:after="0" w:line="51" w:lineRule="exact"/>
        <w:rPr>
          <w:sz w:val="20"/>
          <w:szCs w:val="20"/>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capitalization and amortization of film and television costs (see Note 4)</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for connecting customers to our HFC network (see Note 9)</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Information on other accounting policies and methods that we use in the preparation of our consolidated financial statements are included, where applicable, in their respective footnotes that follow. The collateralized obligation related to our investment in Hulu is discussed in Note 8 and our other long-term debt is discussed in Note 6. Below is a discussion of accounting policies and methods used in our consolidated financial statements that are not presented within other footnotes.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006EBF"/>
        </w:rPr>
        <w:t>Advertising Expenses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costs are expensed as incurred.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06EBF"/>
        </w:rPr>
        <w:t>Derivative Financial Instruments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use derivative financial instruments to manage our exposure to the risks associated with fluctuations in foreign exchange rates and interest rates. Our objective is to manage the financial and operational exposure arising from these risks by offsetting gains and losses on the underlying exposures with gains and losses on the derivatives used to economically hedge them.</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derivative financial instruments are recorded in our consolidated balance sheets at fair value. We designate certain derivative instruments as fair value hedges of recognized assets or liabilities, such as non-functional currency receivables and payables, or as cash flow hedges of forecasted transactions, including foreign currency denominated cash flows associated with non-functional currency debt and non-functional currency revenue and expenses. Changes in the fair value of derivative instruments accounted for as fair value hedges are primarily recorded within earnings and changes in the fair value of cash flow hedges are recorded as a component of accumulated other comprehensive income (loss) until the hedged items affect earnings. We also designate certain derivative and non-derivative instruments as hedges of our net investments in certain foreign subsidiaries. Transaction gains and losses resulting from currency movements on debt and changes in the fair value of cross-currency swaps designated as net investment hedges are recorded within the currency translation adjustments component of accumulated other comprehensive income (loss). For derivatives not designated as hedges, changes in fair value are recognized in earnings.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Refer to Note 6 for further information on certain derivative instruments related to debt and intercompany funding arrangements. The impact of our remaining derivative financial instruments was not material to our consolidated financial statements in any of the periods presented.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68</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006EBF"/>
        </w:rPr>
        <w:t>Fair Value Measurements</w:t>
      </w:r>
    </w:p>
    <w:p>
      <w:pPr>
        <w:spacing w:after="0" w:line="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accounting guidance related to fair value measurements establishes a hierarchy based on the types of inputs used for the various valuation techniques. The levels of the hierarchy are described below.</w:t>
      </w:r>
    </w:p>
    <w:p>
      <w:pPr>
        <w:spacing w:after="0" w:line="39"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Values are determined using quoted market prices for identical financial instruments in an active market.</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use this three-tier fair value hierarchy to measure the fair value of certain financial instruments on a recurring basis, such as for investments (see Note 8); on a non-recurring basis, such as for acquisitions and impairment testing (see Note 10); and for disclosure purposes, such as for long-term debt (see Note 6). Our assessment of the significance of a particular input to the fair value measurement requires judgment and may affect the valuation and classification within the fair value hierarchy.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06EBF"/>
        </w:rPr>
        <w:t>Segment Disclosures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updated accounting guidance related to annual and interim segment disclosures. The updated accounting guidance, among other things, requires disclosure of certain significant segment expenses. We will adopt the updated accounting guidance in our Annual Report on Form 10-K for the year ended December 31, 2024. We are currently evaluating the impact the adoption of the new accounting guidance will have on our segment disclosures in Note 2.</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006EBF"/>
        </w:rPr>
        <w:t>Income Tax Disclosures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December 2023, the FASB issued updated accounting guidance related to income tax disclosures. The updated accounting guidance, among other things, requires additional disclosure primarily related to the income tax rate reconciliation and income taxes paid. We will adopt the updated accounting guidance in our Annual Report on Form 10-K for the year ended December 31, 2025. We are currently evaluating the impact the adoption of the new accounting guidance will have on our income tax disclosures in Note 5.</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global media and technology company with two primary businesses: Connectivity &amp; Platforms and Content &amp; Experiences. In 2023, we changed our presentation of segment operating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results around our two primary businesses and now present the operations of (1) our Connectivity &amp; Platforms business in two segments: Residential Connectivity &amp; Platforms and Business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Connectivity and (2) our Content &amp; Experiences business in three segments: Media, Studios and Theme Parks. See Note 3 for a description of the various products and services within each segment.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Transactions between our Connectivity &amp; Platforms and Content &amp; Experiences businesses, and between segments within the Content &amp; Experiences business, generally include intercompany profit consistent with third-party transactions. The segments within our Connectivity &amp; Platforms business use certain shared infrastructure, including our HFC network in the United States, and each segment is presented with its direct costs and an allocation of shared costs, as well as revenue from its customers.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financial data by segment is presented in the tables below. We do not present asset information for our segments as this information is not used to allocate resources and capital.</w:t>
      </w:r>
    </w:p>
    <w:p>
      <w:pPr>
        <w:spacing w:after="0" w:line="200" w:lineRule="exact"/>
        <w:rPr>
          <w:sz w:val="20"/>
          <w:szCs w:val="20"/>
          <w:color w:val="auto"/>
        </w:rPr>
      </w:pPr>
    </w:p>
    <w:p>
      <w:pPr>
        <w:spacing w:after="0" w:line="218"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69</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1"/>
                <w:szCs w:val="11"/>
                <w:color w:val="auto"/>
              </w:rPr>
              <w:t>Year Ended December 31,</w:t>
            </w: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3"/>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10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10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2021</w:t>
            </w:r>
          </w:p>
        </w:tc>
        <w:tc>
          <w:tcPr>
            <w:tcW w:w="1080" w:type="dxa"/>
            <w:vAlign w:val="bottom"/>
            <w:tcBorders>
              <w:bottom w:val="single" w:sz="8" w:color="auto"/>
            </w:tcBorders>
          </w:tcPr>
          <w:p>
            <w:pPr>
              <w:spacing w:after="0"/>
              <w:rPr>
                <w:sz w:val="13"/>
                <w:szCs w:val="13"/>
                <w:color w:val="auto"/>
              </w:rPr>
            </w:pPr>
          </w:p>
        </w:tc>
      </w:tr>
      <w:tr>
        <w:trPr>
          <w:trHeight w:val="177"/>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color w:val="auto"/>
              </w:rPr>
              <w:t>Revenue</w:t>
            </w:r>
            <w:r>
              <w:rPr>
                <w:rFonts w:ascii="Times New Roman" w:cs="Times New Roman" w:eastAsia="Times New Roman" w:hAnsi="Times New Roman"/>
                <w:sz w:val="14"/>
                <w:szCs w:val="14"/>
                <w:color w:val="auto"/>
                <w:vertAlign w:val="superscript"/>
              </w:rPr>
              <w:t>(a)</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1"/>
                <w:szCs w:val="11"/>
                <w:color w:val="auto"/>
              </w:rPr>
              <w:t>Adjusted EBITDA</w:t>
            </w:r>
            <w:r>
              <w:rPr>
                <w:rFonts w:ascii="Times New Roman" w:cs="Times New Roman" w:eastAsia="Times New Roman" w:hAnsi="Times New Roman"/>
                <w:sz w:val="14"/>
                <w:szCs w:val="14"/>
                <w:color w:val="auto"/>
                <w:vertAlign w:val="superscript"/>
              </w:rPr>
              <w:t>(b)</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color w:val="auto"/>
              </w:rPr>
              <w:t>Revenue</w:t>
            </w:r>
            <w:r>
              <w:rPr>
                <w:rFonts w:ascii="Times New Roman" w:cs="Times New Roman" w:eastAsia="Times New Roman" w:hAnsi="Times New Roman"/>
                <w:sz w:val="14"/>
                <w:szCs w:val="14"/>
                <w:color w:val="auto"/>
                <w:vertAlign w:val="superscript"/>
              </w:rPr>
              <w:t>(a)</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1"/>
                <w:szCs w:val="11"/>
                <w:color w:val="auto"/>
              </w:rPr>
              <w:t>Adjusted EBITDA</w:t>
            </w:r>
            <w:r>
              <w:rPr>
                <w:rFonts w:ascii="Times New Roman" w:cs="Times New Roman" w:eastAsia="Times New Roman" w:hAnsi="Times New Roman"/>
                <w:sz w:val="14"/>
                <w:szCs w:val="14"/>
                <w:color w:val="auto"/>
                <w:vertAlign w:val="superscript"/>
              </w:rPr>
              <w:t>(b)</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color w:val="auto"/>
              </w:rPr>
              <w:t>Revenue</w:t>
            </w:r>
            <w:r>
              <w:rPr>
                <w:rFonts w:ascii="Times New Roman" w:cs="Times New Roman" w:eastAsia="Times New Roman" w:hAnsi="Times New Roman"/>
                <w:sz w:val="14"/>
                <w:szCs w:val="14"/>
                <w:color w:val="auto"/>
                <w:vertAlign w:val="superscript"/>
              </w:rPr>
              <w:t>(a)</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1"/>
                <w:szCs w:val="11"/>
                <w:color w:val="auto"/>
                <w:w w:val="98"/>
              </w:rPr>
              <w:t>Adjusted EBITDA</w:t>
            </w:r>
            <w:r>
              <w:rPr>
                <w:rFonts w:ascii="Times New Roman" w:cs="Times New Roman" w:eastAsia="Times New Roman" w:hAnsi="Times New Roman"/>
                <w:sz w:val="14"/>
                <w:szCs w:val="14"/>
                <w:color w:val="auto"/>
                <w:w w:val="98"/>
                <w:vertAlign w:val="superscript"/>
              </w:rPr>
              <w:t>(b)</w:t>
            </w:r>
          </w:p>
        </w:tc>
      </w:tr>
      <w:tr>
        <w:trPr>
          <w:trHeight w:val="17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Connectivity &amp; Platforms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4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Residential Connectivity &amp; Platforms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71,946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26,948</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72,386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26,111</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72,694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25,188</w:t>
            </w:r>
          </w:p>
        </w:tc>
      </w:tr>
      <w:tr>
        <w:trPr>
          <w:trHeight w:val="180"/>
        </w:trPr>
        <w:tc>
          <w:tcPr>
            <w:tcW w:w="40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Business Services Connectivity</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9,255</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5,291</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8,819</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8,056</w:t>
            </w: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w:t>
            </w:r>
          </w:p>
        </w:tc>
      </w:tr>
      <w:tr>
        <w:trPr>
          <w:trHeight w:val="17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Connectivity &amp; Platforms</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81,201</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32,239</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81,205</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31,171</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80,750</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29,871</w:t>
            </w: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Content &amp; Experiences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4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Media</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25,355</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26,719</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27,406</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w:t>
            </w:r>
          </w:p>
        </w:tc>
      </w:tr>
      <w:tr>
        <w:trPr>
          <w:trHeight w:val="180"/>
        </w:trPr>
        <w:tc>
          <w:tcPr>
            <w:tcW w:w="4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12,257</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10,077</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r>
      <w:tr>
        <w:trPr>
          <w:trHeight w:val="180"/>
        </w:trPr>
        <w:tc>
          <w:tcPr>
            <w:tcW w:w="4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Theme Parks</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5,051</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r>
      <w:tr>
        <w:trPr>
          <w:trHeight w:val="180"/>
        </w:trPr>
        <w:tc>
          <w:tcPr>
            <w:tcW w:w="4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Headquarters and Other</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r>
      <w:tr>
        <w:trPr>
          <w:trHeight w:val="180"/>
        </w:trPr>
        <w:tc>
          <w:tcPr>
            <w:tcW w:w="4020" w:type="dxa"/>
            <w:vAlign w:val="bottom"/>
            <w:tcBorders>
              <w:bottom w:val="single" w:sz="8" w:color="auto"/>
            </w:tcBorders>
          </w:tcPr>
          <w:p>
            <w:pPr>
              <w:ind w:left="280"/>
              <w:spacing w:after="0" w:line="181" w:lineRule="exact"/>
              <w:rPr>
                <w:sz w:val="20"/>
                <w:szCs w:val="20"/>
                <w:color w:val="auto"/>
              </w:rPr>
            </w:pPr>
            <w:r>
              <w:rPr>
                <w:rFonts w:ascii="Times New Roman" w:cs="Times New Roman" w:eastAsia="Times New Roman" w:hAnsi="Times New Roman"/>
                <w:sz w:val="14"/>
                <w:szCs w:val="14"/>
                <w:color w:val="auto"/>
              </w:rPr>
              <w:t>Eliminations</w:t>
            </w:r>
            <w:r>
              <w:rPr>
                <w:rFonts w:ascii="Times New Roman" w:cs="Times New Roman" w:eastAsia="Times New Roman" w:hAnsi="Times New Roman"/>
                <w:sz w:val="18"/>
                <w:szCs w:val="18"/>
                <w:color w:val="auto"/>
                <w:vertAlign w:val="superscript"/>
              </w:rPr>
              <w:t>(a)</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(3,442)</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7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Content &amp; Experiences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43,191</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43,151</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6,360</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39,574</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6,234</w:t>
            </w: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r>
      <w:tr>
        <w:trPr>
          <w:trHeight w:val="180"/>
        </w:trPr>
        <w:tc>
          <w:tcPr>
            <w:tcW w:w="4020" w:type="dxa"/>
            <w:vAlign w:val="bottom"/>
            <w:tcBorders>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Eliminations</w:t>
            </w:r>
            <w:r>
              <w:rPr>
                <w:rFonts w:ascii="Times New Roman" w:cs="Times New Roman" w:eastAsia="Times New Roman" w:hAnsi="Times New Roman"/>
                <w:sz w:val="18"/>
                <w:szCs w:val="18"/>
                <w:color w:val="auto"/>
                <w:vertAlign w:val="superscript"/>
              </w:rPr>
              <w:t>(a)</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(5,583)</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(5,590)</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(6,783)</w:t>
            </w: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72"/>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Comcast Consolidated</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121,572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37,633</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121,427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36,459</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116,385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34,708</w:t>
            </w:r>
          </w:p>
        </w:tc>
      </w:tr>
    </w:tbl>
    <w:p>
      <w:pPr>
        <w:spacing w:after="0" w:line="110" w:lineRule="exact"/>
        <w:rPr>
          <w:sz w:val="20"/>
          <w:szCs w:val="20"/>
          <w:color w:val="auto"/>
        </w:rPr>
      </w:pPr>
    </w:p>
    <w:p>
      <w:pPr>
        <w:jc w:val="both"/>
        <w:ind w:left="260" w:hanging="255"/>
        <w:spacing w:after="0" w:line="267" w:lineRule="auto"/>
        <w:tabs>
          <w:tab w:leader="none" w:pos="258"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Eliminations are transactions that our segments enter into with one another. The most significant of these transactions include distribution revenue in Media related to fees from Residential Connectivity &amp; Platforms for the rights to distribute television programming and content licensing revenue in Studios for licenses of owned content to Media. Revenue for licenses of content from Studios to Media is generally recognized at a point in time, consistent with the recognition of transactions with third parties, when the content is delivered and made available for use. The costs of these licenses in Media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w:t>
      </w:r>
    </w:p>
    <w:p>
      <w:pPr>
        <w:spacing w:after="0" w:line="105" w:lineRule="exact"/>
        <w:rPr>
          <w:rFonts w:ascii="Times New Roman" w:cs="Times New Roman" w:eastAsia="Times New Roman" w:hAnsi="Times New Roman"/>
          <w:sz w:val="11"/>
          <w:szCs w:val="11"/>
          <w:color w:val="auto"/>
        </w:rPr>
      </w:pPr>
    </w:p>
    <w:p>
      <w:pPr>
        <w:ind w:left="26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 summary of revenue for each of our segments resulting from transactions with other segments and eliminated in consolidation is presented in the table below.</w:t>
      </w:r>
    </w:p>
    <w:p>
      <w:pPr>
        <w:spacing w:after="0" w:line="169"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2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rPr>
              <w:t>2022</w:t>
            </w: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rPr>
              <w:t>2021</w:t>
            </w:r>
          </w:p>
        </w:tc>
      </w:tr>
      <w:tr>
        <w:trPr>
          <w:trHeight w:val="15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Connectivity &amp; Platforms</w:t>
            </w:r>
          </w:p>
        </w:tc>
        <w:tc>
          <w:tcPr>
            <w:tcW w:w="25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4"/>
        </w:trPr>
        <w:tc>
          <w:tcPr>
            <w:tcW w:w="4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Residential Connectivity &amp; Platforms</w:t>
            </w:r>
          </w:p>
        </w:tc>
        <w:tc>
          <w:tcPr>
            <w:tcW w:w="252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207</w:t>
            </w:r>
          </w:p>
        </w:tc>
        <w:tc>
          <w:tcPr>
            <w:tcW w:w="4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208</w:t>
            </w:r>
          </w:p>
        </w:tc>
        <w:tc>
          <w:tcPr>
            <w:tcW w:w="4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219</w:t>
            </w:r>
          </w:p>
        </w:tc>
      </w:tr>
      <w:tr>
        <w:trPr>
          <w:trHeight w:val="16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Business Services Connectivity</w:t>
            </w:r>
          </w:p>
        </w:tc>
        <w:tc>
          <w:tcPr>
            <w:tcW w:w="25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22</w:t>
            </w: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21</w:t>
            </w: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w:t>
            </w:r>
          </w:p>
        </w:tc>
      </w:tr>
      <w:tr>
        <w:trPr>
          <w:trHeight w:val="153"/>
        </w:trPr>
        <w:tc>
          <w:tcPr>
            <w:tcW w:w="4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Content &amp; Experiences</w:t>
            </w:r>
          </w:p>
        </w:tc>
        <w:tc>
          <w:tcPr>
            <w:tcW w:w="2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5"/>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Media</w:t>
            </w:r>
          </w:p>
        </w:tc>
        <w:tc>
          <w:tcPr>
            <w:tcW w:w="25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4,621</w:t>
            </w: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4,572</w:t>
            </w: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5,776</w:t>
            </w:r>
          </w:p>
        </w:tc>
      </w:tr>
      <w:tr>
        <w:trPr>
          <w:trHeight w:val="154"/>
        </w:trPr>
        <w:tc>
          <w:tcPr>
            <w:tcW w:w="4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Studios</w:t>
            </w:r>
          </w:p>
        </w:tc>
        <w:tc>
          <w:tcPr>
            <w:tcW w:w="252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3,317</w:t>
            </w:r>
          </w:p>
        </w:tc>
        <w:tc>
          <w:tcPr>
            <w:tcW w:w="40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3,963</w:t>
            </w:r>
          </w:p>
        </w:tc>
        <w:tc>
          <w:tcPr>
            <w:tcW w:w="4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3,548</w:t>
            </w:r>
          </w:p>
        </w:tc>
      </w:tr>
      <w:tr>
        <w:trPr>
          <w:trHeight w:val="16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Theme Parks</w:t>
            </w:r>
          </w:p>
        </w:tc>
        <w:tc>
          <w:tcPr>
            <w:tcW w:w="25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(1)</w:t>
            </w: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w:t>
            </w: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r>
      <w:tr>
        <w:trPr>
          <w:trHeight w:val="154"/>
        </w:trPr>
        <w:tc>
          <w:tcPr>
            <w:tcW w:w="4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Headquarters and Other</w:t>
            </w:r>
          </w:p>
        </w:tc>
        <w:tc>
          <w:tcPr>
            <w:tcW w:w="252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29</w:t>
            </w:r>
          </w:p>
        </w:tc>
        <w:tc>
          <w:tcPr>
            <w:tcW w:w="400" w:type="dxa"/>
            <w:vAlign w:val="bottom"/>
          </w:tcPr>
          <w:p>
            <w:pPr>
              <w:spacing w:after="0"/>
              <w:rPr>
                <w:sz w:val="13"/>
                <w:szCs w:val="13"/>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52</w:t>
            </w:r>
          </w:p>
        </w:tc>
        <w:tc>
          <w:tcPr>
            <w:tcW w:w="4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w:t>
            </w:r>
          </w:p>
        </w:tc>
      </w:tr>
      <w:tr>
        <w:trPr>
          <w:trHeight w:val="159"/>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Corporate and Other</w:t>
            </w:r>
          </w:p>
        </w:tc>
        <w:tc>
          <w:tcPr>
            <w:tcW w:w="25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187</w:t>
            </w:r>
          </w:p>
        </w:tc>
        <w:tc>
          <w:tcPr>
            <w:tcW w:w="4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215</w:t>
            </w:r>
          </w:p>
        </w:tc>
        <w:tc>
          <w:tcPr>
            <w:tcW w:w="4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193</w:t>
            </w:r>
          </w:p>
        </w:tc>
      </w:tr>
      <w:tr>
        <w:trPr>
          <w:trHeight w:val="156"/>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Total intersegment revenue</w:t>
            </w:r>
          </w:p>
        </w:tc>
        <w:tc>
          <w:tcPr>
            <w:tcW w:w="25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8,383</w:t>
            </w:r>
          </w:p>
        </w:tc>
        <w:tc>
          <w:tcPr>
            <w:tcW w:w="4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9,032</w:t>
            </w:r>
          </w:p>
        </w:tc>
        <w:tc>
          <w:tcPr>
            <w:tcW w:w="4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9,831</w:t>
            </w:r>
          </w:p>
        </w:tc>
      </w:tr>
    </w:tbl>
    <w:p>
      <w:pPr>
        <w:spacing w:after="0" w:line="110" w:lineRule="exact"/>
        <w:rPr>
          <w:sz w:val="20"/>
          <w:szCs w:val="20"/>
          <w:color w:val="auto"/>
        </w:rPr>
      </w:pPr>
    </w:p>
    <w:p>
      <w:pPr>
        <w:ind w:left="260" w:hanging="255"/>
        <w:spacing w:after="0" w:line="280" w:lineRule="auto"/>
        <w:tabs>
          <w:tab w:leader="none" w:pos="254"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use Adjusted EBITDA as the measure of profit or loss for our operating segments. From time to time we may report the impact of certain events, gains, losses or other charges related to our operating segments, within Corporate and Other. Our reconciliation of the aggregate amount of Adjusted EBITDA for our segments to consolidated income before income taxes is presented in the table below.</w:t>
      </w:r>
    </w:p>
    <w:p>
      <w:pPr>
        <w:spacing w:after="0" w:line="191"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2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color w:val="auto"/>
              </w:rPr>
              <w:t>2022</w:t>
            </w: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rPr>
              <w:t>2021</w:t>
            </w:r>
          </w:p>
        </w:tc>
      </w:tr>
      <w:tr>
        <w:trPr>
          <w:trHeight w:val="15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Adjusted EBITDA</w:t>
            </w:r>
          </w:p>
        </w:tc>
        <w:tc>
          <w:tcPr>
            <w:tcW w:w="25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37,633</w:t>
            </w:r>
          </w:p>
        </w:tc>
        <w:tc>
          <w:tcPr>
            <w:tcW w:w="4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36,459</w:t>
            </w:r>
          </w:p>
        </w:tc>
        <w:tc>
          <w:tcPr>
            <w:tcW w:w="4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34,708</w:t>
            </w:r>
          </w:p>
        </w:tc>
      </w:tr>
      <w:tr>
        <w:trPr>
          <w:trHeight w:val="154"/>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Adjustments</w:t>
            </w:r>
          </w:p>
        </w:tc>
        <w:tc>
          <w:tcPr>
            <w:tcW w:w="2500" w:type="dxa"/>
            <w:vAlign w:val="bottom"/>
          </w:tcPr>
          <w:p>
            <w:pPr>
              <w:spacing w:after="0"/>
              <w:rPr>
                <w:sz w:val="13"/>
                <w:szCs w:val="13"/>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16</w:t>
            </w:r>
          </w:p>
        </w:tc>
        <w:tc>
          <w:tcPr>
            <w:tcW w:w="40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(13)</w:t>
            </w: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r>
      <w:tr>
        <w:trPr>
          <w:trHeight w:val="16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Depreciation</w:t>
            </w:r>
          </w:p>
        </w:tc>
        <w:tc>
          <w:tcPr>
            <w:tcW w:w="2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(8,854)</w:t>
            </w: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(8,724)</w:t>
            </w: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(8,628)</w:t>
            </w:r>
          </w:p>
        </w:tc>
      </w:tr>
      <w:tr>
        <w:trPr>
          <w:trHeight w:val="154"/>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w:t>
            </w:r>
          </w:p>
        </w:tc>
        <w:tc>
          <w:tcPr>
            <w:tcW w:w="250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(5,482)</w:t>
            </w:r>
          </w:p>
        </w:tc>
        <w:tc>
          <w:tcPr>
            <w:tcW w:w="40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(5,097)</w:t>
            </w: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(5,176)</w:t>
            </w:r>
          </w:p>
        </w:tc>
      </w:tr>
      <w:tr>
        <w:trPr>
          <w:trHeight w:val="16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 and long-lived asset impairments</w:t>
            </w:r>
          </w:p>
        </w:tc>
        <w:tc>
          <w:tcPr>
            <w:tcW w:w="2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(8,583)</w:t>
            </w: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250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(4,087)</w:t>
            </w:r>
          </w:p>
        </w:tc>
        <w:tc>
          <w:tcPr>
            <w:tcW w:w="400" w:type="dxa"/>
            <w:vAlign w:val="bottom"/>
          </w:tcPr>
          <w:p>
            <w:pPr>
              <w:spacing w:after="0"/>
              <w:rPr>
                <w:sz w:val="13"/>
                <w:szCs w:val="13"/>
                <w:color w:val="auto"/>
              </w:rPr>
            </w:pPr>
          </w:p>
        </w:tc>
        <w:tc>
          <w:tcPr>
            <w:tcW w:w="10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(3,896)</w:t>
            </w: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(4,281)</w:t>
            </w:r>
          </w:p>
        </w:tc>
      </w:tr>
      <w:tr>
        <w:trPr>
          <w:trHeight w:val="159"/>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and other income (loss), net</w:t>
            </w:r>
          </w:p>
        </w:tc>
        <w:tc>
          <w:tcPr>
            <w:tcW w:w="25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1,252</w:t>
            </w:r>
          </w:p>
        </w:tc>
        <w:tc>
          <w:tcPr>
            <w:tcW w:w="4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(861)</w:t>
            </w:r>
          </w:p>
        </w:tc>
        <w:tc>
          <w:tcPr>
            <w:tcW w:w="4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2,557</w:t>
            </w:r>
          </w:p>
        </w:tc>
      </w:tr>
      <w:tr>
        <w:trPr>
          <w:trHeight w:val="156"/>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Income (loss) before income taxes</w:t>
            </w:r>
          </w:p>
        </w:tc>
        <w:tc>
          <w:tcPr>
            <w:tcW w:w="25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20,478</w:t>
            </w:r>
          </w:p>
        </w:tc>
        <w:tc>
          <w:tcPr>
            <w:tcW w:w="4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9,284</w:t>
            </w:r>
          </w:p>
        </w:tc>
        <w:tc>
          <w:tcPr>
            <w:tcW w:w="4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19,093</w:t>
            </w:r>
          </w:p>
        </w:tc>
      </w:tr>
    </w:tbl>
    <w:p>
      <w:pPr>
        <w:spacing w:after="0" w:line="46" w:lineRule="exact"/>
        <w:rPr>
          <w:sz w:val="20"/>
          <w:szCs w:val="20"/>
          <w:color w:val="auto"/>
        </w:rPr>
      </w:pPr>
    </w:p>
    <w:p>
      <w:pPr>
        <w:ind w:left="260"/>
        <w:spacing w:after="0" w:line="300" w:lineRule="auto"/>
        <w:rPr>
          <w:sz w:val="20"/>
          <w:szCs w:val="20"/>
          <w:color w:val="auto"/>
        </w:rPr>
      </w:pPr>
      <w:r>
        <w:rPr>
          <w:rFonts w:ascii="Times New Roman" w:cs="Times New Roman" w:eastAsia="Times New Roman" w:hAnsi="Times New Roman"/>
          <w:sz w:val="11"/>
          <w:szCs w:val="11"/>
          <w:color w:val="auto"/>
        </w:rPr>
        <w:t>Adjustments represent the impact of certain events, gains, losses or other charges that are excluded from Adjusted EBITDA, including costs related to our investment portfolio. Refer to Note 10 for a discussion of impairment charges in 2022 related to goodwill and long-lived assets.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70</w:t>
            </w:r>
          </w:p>
        </w:tc>
      </w:tr>
      <w:tr>
        <w:trPr>
          <w:trHeight w:val="25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3: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2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1"/>
                <w:szCs w:val="11"/>
                <w:color w:val="auto"/>
              </w:rPr>
              <w:t>2022</w:t>
            </w: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Domestic broadband</w:t>
            </w:r>
          </w:p>
        </w:tc>
        <w:tc>
          <w:tcPr>
            <w:tcW w:w="25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25,489</w:t>
            </w:r>
          </w:p>
        </w:tc>
        <w:tc>
          <w:tcPr>
            <w:tcW w:w="5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24,469</w:t>
            </w:r>
          </w:p>
        </w:tc>
        <w:tc>
          <w:tcPr>
            <w:tcW w:w="5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22,979</w:t>
            </w:r>
          </w:p>
        </w:tc>
      </w:tr>
      <w:tr>
        <w:trPr>
          <w:trHeight w:val="180"/>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Domestic wireless</w:t>
            </w:r>
          </w:p>
        </w:tc>
        <w:tc>
          <w:tcPr>
            <w:tcW w:w="2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3,664</w:t>
            </w:r>
          </w:p>
        </w:tc>
        <w:tc>
          <w:tcPr>
            <w:tcW w:w="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3,071</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w:t>
            </w:r>
          </w:p>
        </w:tc>
      </w:tr>
      <w:tr>
        <w:trPr>
          <w:trHeight w:val="180"/>
        </w:trPr>
        <w:tc>
          <w:tcPr>
            <w:tcW w:w="45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International connectivity</w:t>
            </w:r>
          </w:p>
        </w:tc>
        <w:tc>
          <w:tcPr>
            <w:tcW w:w="2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4,207</w:t>
            </w: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3,426</w:t>
            </w:r>
          </w:p>
        </w:tc>
        <w:tc>
          <w:tcPr>
            <w:tcW w:w="5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r>
      <w:tr>
        <w:trPr>
          <w:trHeight w:val="17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residential connectivity</w:t>
            </w:r>
          </w:p>
        </w:tc>
        <w:tc>
          <w:tcPr>
            <w:tcW w:w="2580" w:type="dxa"/>
            <w:vAlign w:val="bottom"/>
          </w:tcPr>
          <w:p>
            <w:pPr>
              <w:spacing w:after="0"/>
              <w:rPr>
                <w:sz w:val="14"/>
                <w:szCs w:val="1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33,359</w:t>
            </w:r>
          </w:p>
        </w:tc>
        <w:tc>
          <w:tcPr>
            <w:tcW w:w="580" w:type="dxa"/>
            <w:vAlign w:val="bottom"/>
          </w:tcPr>
          <w:p>
            <w:pPr>
              <w:spacing w:after="0"/>
              <w:rPr>
                <w:sz w:val="14"/>
                <w:szCs w:val="1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30,966</w:t>
            </w: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28,652</w:t>
            </w: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Video</w:t>
            </w:r>
          </w:p>
        </w:tc>
        <w:tc>
          <w:tcPr>
            <w:tcW w:w="2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28,797</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30,496</w:t>
            </w: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32,440</w:t>
            </w:r>
          </w:p>
        </w:tc>
      </w:tr>
      <w:tr>
        <w:trPr>
          <w:trHeight w:val="18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Advertising</w:t>
            </w:r>
          </w:p>
        </w:tc>
        <w:tc>
          <w:tcPr>
            <w:tcW w:w="2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3,969</w:t>
            </w:r>
          </w:p>
        </w:tc>
        <w:tc>
          <w:tcPr>
            <w:tcW w:w="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4,546</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4,507</w:t>
            </w:r>
          </w:p>
        </w:tc>
      </w:tr>
      <w:tr>
        <w:trPr>
          <w:trHeight w:val="18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5,820</w:t>
            </w: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6,378</w:t>
            </w:r>
          </w:p>
        </w:tc>
        <w:tc>
          <w:tcPr>
            <w:tcW w:w="5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7,095</w:t>
            </w:r>
          </w:p>
        </w:tc>
      </w:tr>
      <w:tr>
        <w:trPr>
          <w:trHeight w:val="17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Residential Connectivity &amp; Platforms</w:t>
            </w:r>
          </w:p>
        </w:tc>
        <w:tc>
          <w:tcPr>
            <w:tcW w:w="2580" w:type="dxa"/>
            <w:vAlign w:val="bottom"/>
          </w:tcPr>
          <w:p>
            <w:pPr>
              <w:spacing w:after="0"/>
              <w:rPr>
                <w:sz w:val="14"/>
                <w:szCs w:val="1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71,946</w:t>
            </w:r>
          </w:p>
        </w:tc>
        <w:tc>
          <w:tcPr>
            <w:tcW w:w="580" w:type="dxa"/>
            <w:vAlign w:val="bottom"/>
          </w:tcPr>
          <w:p>
            <w:pPr>
              <w:spacing w:after="0"/>
              <w:rPr>
                <w:sz w:val="14"/>
                <w:szCs w:val="1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72,386</w:t>
            </w: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72,694</w:t>
            </w:r>
          </w:p>
        </w:tc>
      </w:tr>
      <w:tr>
        <w:trPr>
          <w:trHeight w:val="85"/>
        </w:trPr>
        <w:tc>
          <w:tcPr>
            <w:tcW w:w="4560" w:type="dxa"/>
            <w:vAlign w:val="bottom"/>
            <w:shd w:val="clear" w:color="auto" w:fill="CCEEFF"/>
          </w:tcPr>
          <w:p>
            <w:pPr>
              <w:spacing w:after="0"/>
              <w:rPr>
                <w:sz w:val="7"/>
                <w:szCs w:val="7"/>
                <w:color w:val="auto"/>
              </w:rPr>
            </w:pPr>
          </w:p>
        </w:tc>
        <w:tc>
          <w:tcPr>
            <w:tcW w:w="25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18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Business Services Connectivity</w:t>
            </w:r>
          </w:p>
        </w:tc>
        <w:tc>
          <w:tcPr>
            <w:tcW w:w="2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9,255</w:t>
            </w: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8,819</w:t>
            </w: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8,056</w:t>
            </w:r>
          </w:p>
        </w:tc>
      </w:tr>
      <w:tr>
        <w:trPr>
          <w:trHeight w:val="17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Connectivity &amp; Platforms</w:t>
            </w:r>
          </w:p>
        </w:tc>
        <w:tc>
          <w:tcPr>
            <w:tcW w:w="25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81,201</w:t>
            </w: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81,205</w:t>
            </w: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80,750</w:t>
            </w:r>
          </w:p>
        </w:tc>
      </w:tr>
      <w:tr>
        <w:trPr>
          <w:trHeight w:val="85"/>
        </w:trPr>
        <w:tc>
          <w:tcPr>
            <w:tcW w:w="456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 advertising</w:t>
            </w:r>
          </w:p>
        </w:tc>
        <w:tc>
          <w:tcPr>
            <w:tcW w:w="2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8,600</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10,360</w:t>
            </w: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10,177</w:t>
            </w:r>
          </w:p>
        </w:tc>
      </w:tr>
      <w:tr>
        <w:trPr>
          <w:trHeight w:val="18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Domestic distribution</w:t>
            </w:r>
          </w:p>
        </w:tc>
        <w:tc>
          <w:tcPr>
            <w:tcW w:w="2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10,663</w:t>
            </w:r>
          </w:p>
        </w:tc>
        <w:tc>
          <w:tcPr>
            <w:tcW w:w="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10,525</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10,080</w:t>
            </w: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 networks</w:t>
            </w:r>
          </w:p>
        </w:tc>
        <w:tc>
          <w:tcPr>
            <w:tcW w:w="2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4,109</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3,729</w:t>
            </w: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w:t>
            </w:r>
          </w:p>
        </w:tc>
      </w:tr>
      <w:tr>
        <w:trPr>
          <w:trHeight w:val="18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1,983</w:t>
            </w: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2,105</w:t>
            </w: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w:t>
            </w:r>
          </w:p>
        </w:tc>
      </w:tr>
      <w:tr>
        <w:trPr>
          <w:trHeight w:val="17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Media</w:t>
            </w:r>
          </w:p>
        </w:tc>
        <w:tc>
          <w:tcPr>
            <w:tcW w:w="25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25,355</w:t>
            </w: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26,719</w:t>
            </w: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27,406</w:t>
            </w:r>
          </w:p>
        </w:tc>
      </w:tr>
      <w:tr>
        <w:trPr>
          <w:trHeight w:val="85"/>
        </w:trPr>
        <w:tc>
          <w:tcPr>
            <w:tcW w:w="456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Content licensing</w:t>
            </w:r>
          </w:p>
        </w:tc>
        <w:tc>
          <w:tcPr>
            <w:tcW w:w="2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8,231</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9,348</w:t>
            </w: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8,193</w:t>
            </w:r>
          </w:p>
        </w:tc>
      </w:tr>
      <w:tr>
        <w:trPr>
          <w:trHeight w:val="18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Theatrical</w:t>
            </w:r>
          </w:p>
        </w:tc>
        <w:tc>
          <w:tcPr>
            <w:tcW w:w="2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2,079</w:t>
            </w:r>
          </w:p>
        </w:tc>
        <w:tc>
          <w:tcPr>
            <w:tcW w:w="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1,607</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r>
      <w:tr>
        <w:trPr>
          <w:trHeight w:val="18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1,315</w:t>
            </w: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1,302</w:t>
            </w:r>
          </w:p>
        </w:tc>
        <w:tc>
          <w:tcPr>
            <w:tcW w:w="5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r>
      <w:tr>
        <w:trPr>
          <w:trHeight w:val="17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Studios</w:t>
            </w:r>
          </w:p>
        </w:tc>
        <w:tc>
          <w:tcPr>
            <w:tcW w:w="2580" w:type="dxa"/>
            <w:vAlign w:val="bottom"/>
          </w:tcPr>
          <w:p>
            <w:pPr>
              <w:spacing w:after="0"/>
              <w:rPr>
                <w:sz w:val="14"/>
                <w:szCs w:val="1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11,625</w:t>
            </w:r>
          </w:p>
        </w:tc>
        <w:tc>
          <w:tcPr>
            <w:tcW w:w="580" w:type="dxa"/>
            <w:vAlign w:val="bottom"/>
          </w:tcPr>
          <w:p>
            <w:pPr>
              <w:spacing w:after="0"/>
              <w:rPr>
                <w:sz w:val="14"/>
                <w:szCs w:val="1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12,257</w:t>
            </w: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10,077</w:t>
            </w:r>
          </w:p>
        </w:tc>
      </w:tr>
      <w:tr>
        <w:trPr>
          <w:trHeight w:val="85"/>
        </w:trPr>
        <w:tc>
          <w:tcPr>
            <w:tcW w:w="4560" w:type="dxa"/>
            <w:vAlign w:val="bottom"/>
            <w:shd w:val="clear" w:color="auto" w:fill="CCEEFF"/>
          </w:tcPr>
          <w:p>
            <w:pPr>
              <w:spacing w:after="0"/>
              <w:rPr>
                <w:sz w:val="7"/>
                <w:szCs w:val="7"/>
                <w:color w:val="auto"/>
              </w:rPr>
            </w:pPr>
          </w:p>
        </w:tc>
        <w:tc>
          <w:tcPr>
            <w:tcW w:w="25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18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Theme Parks</w:t>
            </w:r>
          </w:p>
        </w:tc>
        <w:tc>
          <w:tcPr>
            <w:tcW w:w="2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8,947</w:t>
            </w:r>
          </w:p>
        </w:tc>
        <w:tc>
          <w:tcPr>
            <w:tcW w:w="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7,541</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5,051</w:t>
            </w:r>
          </w:p>
        </w:tc>
      </w:tr>
      <w:tr>
        <w:trPr>
          <w:trHeight w:val="85"/>
        </w:trPr>
        <w:tc>
          <w:tcPr>
            <w:tcW w:w="4560" w:type="dxa"/>
            <w:vAlign w:val="bottom"/>
            <w:shd w:val="clear" w:color="auto" w:fill="CCEEFF"/>
          </w:tcPr>
          <w:p>
            <w:pPr>
              <w:spacing w:after="0"/>
              <w:rPr>
                <w:sz w:val="7"/>
                <w:szCs w:val="7"/>
                <w:color w:val="auto"/>
              </w:rPr>
            </w:pPr>
          </w:p>
        </w:tc>
        <w:tc>
          <w:tcPr>
            <w:tcW w:w="25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18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Headquarters and Other</w:t>
            </w:r>
          </w:p>
        </w:tc>
        <w:tc>
          <w:tcPr>
            <w:tcW w:w="2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64</w:t>
            </w:r>
          </w:p>
        </w:tc>
        <w:tc>
          <w:tcPr>
            <w:tcW w:w="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75</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0"/>
        </w:trPr>
        <w:tc>
          <w:tcPr>
            <w:tcW w:w="4560" w:type="dxa"/>
            <w:vAlign w:val="bottom"/>
            <w:tcBorders>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Eliminations</w:t>
            </w:r>
            <w:r>
              <w:rPr>
                <w:rFonts w:ascii="Times New Roman" w:cs="Times New Roman" w:eastAsia="Times New Roman" w:hAnsi="Times New Roman"/>
                <w:sz w:val="18"/>
                <w:szCs w:val="18"/>
                <w:color w:val="auto"/>
                <w:vertAlign w:val="superscript"/>
              </w:rPr>
              <w:t>(a)</w:t>
            </w:r>
          </w:p>
        </w:tc>
        <w:tc>
          <w:tcPr>
            <w:tcW w:w="2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(2,800)</w:t>
            </w: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(3,442)</w:t>
            </w:r>
          </w:p>
        </w:tc>
        <w:tc>
          <w:tcPr>
            <w:tcW w:w="5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w:t>
            </w:r>
          </w:p>
        </w:tc>
      </w:tr>
      <w:tr>
        <w:trPr>
          <w:trHeight w:val="17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Content &amp; Experiences</w:t>
            </w:r>
          </w:p>
        </w:tc>
        <w:tc>
          <w:tcPr>
            <w:tcW w:w="2580" w:type="dxa"/>
            <w:vAlign w:val="bottom"/>
          </w:tcPr>
          <w:p>
            <w:pPr>
              <w:spacing w:after="0"/>
              <w:rPr>
                <w:sz w:val="14"/>
                <w:szCs w:val="1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43,191</w:t>
            </w:r>
          </w:p>
        </w:tc>
        <w:tc>
          <w:tcPr>
            <w:tcW w:w="580" w:type="dxa"/>
            <w:vAlign w:val="bottom"/>
          </w:tcPr>
          <w:p>
            <w:pPr>
              <w:spacing w:after="0"/>
              <w:rPr>
                <w:sz w:val="14"/>
                <w:szCs w:val="1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43,151</w:t>
            </w: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39,574</w:t>
            </w:r>
          </w:p>
        </w:tc>
      </w:tr>
      <w:tr>
        <w:trPr>
          <w:trHeight w:val="85"/>
        </w:trPr>
        <w:tc>
          <w:tcPr>
            <w:tcW w:w="4560" w:type="dxa"/>
            <w:vAlign w:val="bottom"/>
            <w:shd w:val="clear" w:color="auto" w:fill="CCEEFF"/>
          </w:tcPr>
          <w:p>
            <w:pPr>
              <w:spacing w:after="0"/>
              <w:rPr>
                <w:sz w:val="7"/>
                <w:szCs w:val="7"/>
                <w:color w:val="auto"/>
              </w:rPr>
            </w:pPr>
          </w:p>
        </w:tc>
        <w:tc>
          <w:tcPr>
            <w:tcW w:w="25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18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2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2,763</w:t>
            </w:r>
          </w:p>
        </w:tc>
        <w:tc>
          <w:tcPr>
            <w:tcW w:w="58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2,662</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r>
      <w:tr>
        <w:trPr>
          <w:trHeight w:val="180"/>
        </w:trPr>
        <w:tc>
          <w:tcPr>
            <w:tcW w:w="4560" w:type="dxa"/>
            <w:vAlign w:val="bottom"/>
            <w:tcBorders>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Eliminations</w:t>
            </w:r>
            <w:r>
              <w:rPr>
                <w:rFonts w:ascii="Times New Roman" w:cs="Times New Roman" w:eastAsia="Times New Roman" w:hAnsi="Times New Roman"/>
                <w:sz w:val="18"/>
                <w:szCs w:val="18"/>
                <w:color w:val="auto"/>
                <w:vertAlign w:val="superscript"/>
              </w:rPr>
              <w:t>(a)</w:t>
            </w:r>
          </w:p>
        </w:tc>
        <w:tc>
          <w:tcPr>
            <w:tcW w:w="2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(5,583)</w:t>
            </w: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(5,590)</w:t>
            </w:r>
          </w:p>
        </w:tc>
        <w:tc>
          <w:tcPr>
            <w:tcW w:w="5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(6,783)</w:t>
            </w:r>
          </w:p>
        </w:tc>
      </w:tr>
      <w:tr>
        <w:trPr>
          <w:trHeight w:val="171"/>
        </w:trPr>
        <w:tc>
          <w:tcPr>
            <w:tcW w:w="45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580" w:type="dxa"/>
            <w:vAlign w:val="bottom"/>
            <w:tcBorders>
              <w:bottom w:val="single" w:sz="8" w:color="0C6DFF"/>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0C6DFF"/>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121,572</w:t>
            </w:r>
          </w:p>
        </w:tc>
        <w:tc>
          <w:tcPr>
            <w:tcW w:w="580" w:type="dxa"/>
            <w:vAlign w:val="bottom"/>
            <w:tcBorders>
              <w:bottom w:val="single" w:sz="8" w:color="0C6DFF"/>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0C6DFF"/>
            </w:tcBorders>
          </w:tcPr>
          <w:p>
            <w:pPr>
              <w:jc w:val="right"/>
              <w:ind w:right="90"/>
              <w:spacing w:after="0"/>
              <w:rPr>
                <w:sz w:val="20"/>
                <w:szCs w:val="20"/>
                <w:color w:val="auto"/>
              </w:rPr>
            </w:pPr>
            <w:r>
              <w:rPr>
                <w:rFonts w:ascii="Times New Roman" w:cs="Times New Roman" w:eastAsia="Times New Roman" w:hAnsi="Times New Roman"/>
                <w:sz w:val="14"/>
                <w:szCs w:val="14"/>
                <w:color w:val="auto"/>
              </w:rPr>
              <w:t>121,427</w:t>
            </w:r>
          </w:p>
        </w:tc>
        <w:tc>
          <w:tcPr>
            <w:tcW w:w="580" w:type="dxa"/>
            <w:vAlign w:val="bottom"/>
            <w:tcBorders>
              <w:bottom w:val="single" w:sz="8" w:color="0C6DFF"/>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116,385</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Included in Eliminations are transactions that our segments enter into with one another. See Note 2 for a description of these transactions.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primarily in the United States but also in select international markets. The table below summarizes our consolidated revenue from customers in certain geographic locations.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29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color w:val="auto"/>
              </w:rPr>
              <w:t>2022</w:t>
            </w: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9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94,375</w:t>
            </w:r>
          </w:p>
        </w:tc>
        <w:tc>
          <w:tcPr>
            <w:tcW w:w="5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96,441</w:t>
            </w:r>
          </w:p>
        </w:tc>
        <w:tc>
          <w:tcPr>
            <w:tcW w:w="5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90,926</w:t>
            </w:r>
          </w:p>
        </w:tc>
      </w:tr>
      <w:tr>
        <w:trPr>
          <w:trHeight w:val="18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298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13,364</w:t>
            </w:r>
          </w:p>
        </w:tc>
        <w:tc>
          <w:tcPr>
            <w:tcW w:w="58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13,380</w:t>
            </w: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13,999</w:t>
            </w:r>
          </w:p>
        </w:tc>
      </w:tr>
      <w:tr>
        <w:trPr>
          <w:trHeight w:val="180"/>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9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13,833</w:t>
            </w: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11,606</w:t>
            </w:r>
          </w:p>
        </w:tc>
        <w:tc>
          <w:tcPr>
            <w:tcW w:w="5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11,460</w:t>
            </w:r>
          </w:p>
        </w:tc>
      </w:tr>
      <w:tr>
        <w:trPr>
          <w:trHeight w:val="171"/>
        </w:trPr>
        <w:tc>
          <w:tcPr>
            <w:tcW w:w="42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980" w:type="dxa"/>
            <w:vAlign w:val="bottom"/>
            <w:tcBorders>
              <w:bottom w:val="single" w:sz="8" w:color="0C6DFF"/>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C6DFF"/>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121,572</w:t>
            </w:r>
          </w:p>
        </w:tc>
        <w:tc>
          <w:tcPr>
            <w:tcW w:w="580" w:type="dxa"/>
            <w:vAlign w:val="bottom"/>
            <w:tcBorders>
              <w:bottom w:val="single" w:sz="8" w:color="0C6DFF"/>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0C6DFF"/>
            </w:tcBorders>
          </w:tcPr>
          <w:p>
            <w:pPr>
              <w:jc w:val="right"/>
              <w:ind w:right="72"/>
              <w:spacing w:after="0"/>
              <w:rPr>
                <w:sz w:val="20"/>
                <w:szCs w:val="20"/>
                <w:color w:val="auto"/>
              </w:rPr>
            </w:pPr>
            <w:r>
              <w:rPr>
                <w:rFonts w:ascii="Times New Roman" w:cs="Times New Roman" w:eastAsia="Times New Roman" w:hAnsi="Times New Roman"/>
                <w:sz w:val="14"/>
                <w:szCs w:val="14"/>
                <w:color w:val="auto"/>
              </w:rPr>
              <w:t>121,427</w:t>
            </w:r>
          </w:p>
        </w:tc>
        <w:tc>
          <w:tcPr>
            <w:tcW w:w="580" w:type="dxa"/>
            <w:vAlign w:val="bottom"/>
            <w:tcBorders>
              <w:bottom w:val="single" w:sz="8" w:color="0C6DFF"/>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116,385</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Connectivity &amp; Platforms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06EBF"/>
        </w:rPr>
        <w:t>Residential Connectivity &amp; Platforms Segment</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Residential Connectivity &amp; Platforms generates revenue from customers that subscribe to our residential broadband and wireless connectivity services, residential and business video services and residential wireline voice services in the United States, the United Kingdom and Italy. We offer these services individually and as bundled services at a discounted rate.</w:t>
      </w:r>
    </w:p>
    <w:p>
      <w:pPr>
        <w:spacing w:after="0" w:line="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Subscription rates and related charges vary according to the services and features customers receive, and customers are typically billed in advance and pay on a monthly basis. Revenue from customers that purchase bundled services at a discounted rate is allocated between the separate services based on the respective stand-alone selling prices. The stand-alone selling prices are determined based on the current prices at which we separately sell the services. Significant judgment is used to determine performance obligations that should be accounted for separately and the allocation of revenue when services are combined in a bundle.</w:t>
      </w:r>
    </w:p>
    <w:p>
      <w:pPr>
        <w:spacing w:after="0" w:line="388"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71</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2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While a portion of our customers are subject to contracts for their services, which are typically 1 month to 2 years in length, based on our evaluation of the terms of these contracts, we recognize revenue for these services primarily on a basis that is consistent with our customers that are not subject to contracts and recognize revenue as the services are provided on a monthly basis. Installation fees for these customers are deferred and recognized as revenue over the period of benefit to the customer, which is less than a year. Certain international customers are under contracts, with terms typically ranging from rolling monthly to 18 months, depending on the service, and may only discontinue service in accordance with the terms of their contracts. We recognize revenue for these customers as the services are provided over the contract period. At any given time, the amount of future revenue to be earned from these customers related to existing agreements is equal to less than 10% of our annual Residential Connectivity &amp; Platforms revenue and will generally be recognized within 18 months. Sales commissions are generally expensed as incurred, as the related period of benefit is less than a year. Sales commissions for the international customers under contract are generally deferred and recognized over the respective contract terms.</w:t>
      </w:r>
    </w:p>
    <w:p>
      <w:pPr>
        <w:spacing w:after="0" w:line="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services generally involve customer premise equipment, such as wireless gateways, internet modems and set-top boxes, that are generally considered part of our services for revenue recognition. We recognize revenue from the sale of devices, including wireless devices and Sky Glass smart televisions, when they are transferred to the customer. Under an equipment installment plan, customers typically have the option to finance wireless devices and Sky Glass smart televisions interest-free over 24 months, and up to 48 months for international customers. Equipment installment plan receivables under these arrangements are recorded net of imputed interest when the devices are transferred to the customer.</w:t>
      </w:r>
    </w:p>
    <w:p>
      <w:pPr>
        <w:spacing w:after="0" w:line="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also have arrangements to sell certain DTC streaming services to our customers. We have concluded we are the sales agent in these arrangements, and we record net commission revenue as earned, which is generally as customers are billed on a monthly basis, within domestic broadband and international connectivity revenue.</w:t>
      </w:r>
    </w:p>
    <w:p>
      <w:pPr>
        <w:spacing w:after="0" w:line="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terms of our domestic cable franchise agreements, we are generally required to pay the cable franchising authority an amount based on gross video revenue. We generally pass these and other similar fees through to our domestic customers and classify these fees in the respective Residential Connectivity &amp; Platforms services revenue, with the corresponding costs included in other operating and administrative expenses.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Advertising</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Revenue is generated from the sale of advertising and technology, tools and solutions relating to advertising businesses. As part of distribution agreements with domestic cable networks, we generally receive an allocation of scheduled advertising time that we sell to advertisers. In addition, we generate revenue from the sale of advertising on our owned Sky-branded entertainment television networks and our digital platforms. In most cases, the available advertising units are sold by our sales force. We also represent the advertising sales efforts of certain third parties. Since we are acting as the principal in these arrangements, we record the advertising that is sold in advertising revenue and the fees paid to the third parties in other operating and administrative expenses. In some cases, we work with representation firms as an extension of our sales force to sell a portion of the advertising units allocated to us and record the revenue net of agency commissions.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determined that a contract exists for our advertising sales arrangements once all terms and conditions are agreed upon, typically when the number of advertising units is specifically identified and scheduled. Advertisements are generally aired or delivered within one year once all terms and conditions are agreed upon. Revenue from these arrangements is recognized in the period in which advertisements are aired or delivered. Payment terms vary by contract, although terms generally require payment within 30 to 60 days from when advertisements are aired or delivered. We also provide technology, tools, data-driven services and marketplace solutions to customers in the media industry to facilitate the more effective engagement of advertisers with their target audiences and recognize revenue when these services are provided.</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6EBF"/>
        </w:rPr>
        <w:t>Business Services Connectivity Segment</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Business Services Connectivity generates revenue from subscribers to a variety of our products and services which are offered to businesses. Our connectivity service offerings for small business locations in the United States primarily include broadband, wireline voice and wireless services that are similar to those provided to our residential customers and include certain other features specific to businesses. Our medium-sized and enterprise customer offerings also include ethernet network services, advanced voice services and a software-defined networking product. We have also launched small business connectivity service offerings in the United Kingdom.</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recognize revenue as the services are provided over the contract period. Substantially all of our customers are initially under contracts, with terms typically ranging from 2 years for small and medium-sized businesses to up to 5 years for larger enterprises. Customers with contracts may only discontinue service in accordance with the terms of their contracts. At any given time, the amount of future revenue to be earned related to fixed pricing under existing agreements is equal to approximately half of our annual Business Services Connectivity segment revenue, of which the substantial majority will be recognized within 2 years. Customers under contract typically pay on a monthly basis. Installation revenue and sales commissions are generally deferred and recognized over the respective contract terms.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72</w:t>
            </w:r>
          </w:p>
        </w:tc>
      </w:tr>
      <w:tr>
        <w:trPr>
          <w:trHeight w:val="25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Content &amp; Experiences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006EBF"/>
        </w:rPr>
        <w:t>Media Segment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Advertising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Media generates revenue from the sale of advertising on our linear television networks, Peacock and other digital properties.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determined that a contract exists for our advertising sales once all terms and conditions are agreed upon, typically when the number of advertising units is specifically identified and scheduled. Advertisements are generally aired or delivered within one year once all terms and conditions are agreed upon. Revenue is recognized, net of agency commissions, in the period in which advertisements are aired or delivered and payment occurs thereafter, with payment generally required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Distribution</w:t>
      </w:r>
    </w:p>
    <w:p>
      <w:pPr>
        <w:spacing w:after="0" w:line="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Media generates revenue from the distribution of television programming in the United States and internationally to traditional multichannel video providers, such as our Residential Connectivity &amp; Platforms segment, and to virtual multichannel video providers that offer streamed linear television networks. This revenue includes amounts under NBC and Telemundo retransmission consent agreements and we also receive associated fees from NBC-affiliated and Telemundo-affiliated local broadcast television stations. Additionally, we receive monthly retail or wholesale subscription fees for our Peacock service.</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Monthly fees received under distribution agreements with multichannel video providers are generally under multiyear agreements with revenue based on the number of subscribers receiving the programming on our television networks and a per subscriber fee, although revenue for certain of our television networks is based on a fixed fee. Payment terms and conditions vary by contract type, although terms generally include payment within 60 days. These arrangements are accounted for as licenses of functional intellectual property and revenue is recognized as programming is provided.</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006EBF"/>
        </w:rPr>
        <w:t>Studios Segment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Content Licensing</w:t>
      </w:r>
    </w:p>
    <w:p>
      <w:pPr>
        <w:spacing w:after="0" w:line="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Studios generates revenue from the licensing of our owned film and television content in the United States and internationally to television networks and DTC streaming service providers, as well as through video on demand and pay-per-view services provided by multichannel video providers. Our agreements generally include fixed pricing and span multiple years. For example, following a film’s theatrical release, Studios may license the exhibition rights of a film to different customers over multiple successive distribution windows.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recognize revenue when the content is delivered and available for use by the licensee. When the term of an existing agreement is renewed or extended, we recognize revenue when the licensed content becomes available under the renewal or extension. Payment terms and conditions vary by contract type, although payments are generally collected over the license term. The amount of future revenue to be earned related to fixed pricing under existing third-party agreements at any given time equals approximately one-half year to 1 year of annual Studios content licensing revenue, which is the segment with the largest portion of this future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 or optional purchases under existing agreements.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our agreements that include variable pricing, such as pricing based on the number of subscribers to a DTC streaming service sold by our customers, we generally recognize revenue as our customers sell to their subscribers.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Theatrical</w:t>
      </w:r>
    </w:p>
    <w:p>
      <w:pPr>
        <w:spacing w:after="0" w:line="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Studios generates revenue from the worldwide distribution of our produced and acquired films for exhibition in movie theaters. Our arrangements with exhibitors generally entitle us to a percentage of ticket sales. We recognize revenue as the films are viewed and exhibited in theaters and payment generally occurs within 30 days after exhibition.</w:t>
      </w:r>
    </w:p>
    <w:p>
      <w:pPr>
        <w:spacing w:after="0" w:line="364"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73</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006EBF"/>
        </w:rPr>
        <w:t>Theme Parks Segment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Theme Parks generates revenue primarily from guest spending at our Universal theme parks in Orlando, Florida; Hollywood, California; Osaka, Japan; and Beijing, China. Guest spending includes ticket sales and in-park spending on food, beverages and merchandise. We also generate revenue from our consumer products business. Additionally, we license the right to use the Universal Studios brand name and other intellectual property and provide other services to third parties, including the party that owns and operates the Universal Studios Singapore theme park on Sentosa Island, Singapore. We recognize revenue from ticket sales when the tickets are used, generally within a year from the date of purchase. For annual passes, we generally recognize revenue on a straight-line basis over the period the pass is available to be used. We recognize revenue from in-park spending and consumer products at the point of sale.</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summarizes our accounts receivable.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millions)</w:t>
            </w:r>
          </w:p>
        </w:tc>
        <w:tc>
          <w:tcPr>
            <w:tcW w:w="19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Receivables, gross</w:t>
            </w:r>
          </w:p>
        </w:tc>
        <w:tc>
          <w:tcPr>
            <w:tcW w:w="1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14,511</w:t>
            </w:r>
          </w:p>
        </w:tc>
        <w:tc>
          <w:tcPr>
            <w:tcW w:w="6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13,407</w:t>
            </w:r>
          </w:p>
        </w:tc>
      </w:tr>
      <w:tr>
        <w:trPr>
          <w:trHeight w:val="180"/>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19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698</w:t>
            </w: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171"/>
        </w:trPr>
        <w:tc>
          <w:tcPr>
            <w:tcW w:w="52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Receivables, net</w:t>
            </w:r>
          </w:p>
        </w:tc>
        <w:tc>
          <w:tcPr>
            <w:tcW w:w="1940" w:type="dxa"/>
            <w:vAlign w:val="bottom"/>
            <w:tcBorders>
              <w:bottom w:val="single" w:sz="8" w:color="0C6DFF"/>
            </w:tcBorders>
            <w:shd w:val="clear" w:color="auto" w:fill="CCEEFF"/>
          </w:tcPr>
          <w:p>
            <w:pPr>
              <w:spacing w:after="0"/>
              <w:rPr>
                <w:sz w:val="14"/>
                <w:szCs w:val="14"/>
                <w:color w:val="auto"/>
              </w:rPr>
            </w:pPr>
          </w:p>
        </w:tc>
        <w:tc>
          <w:tcPr>
            <w:tcW w:w="940" w:type="dxa"/>
            <w:vAlign w:val="bottom"/>
            <w:tcBorders>
              <w:bottom w:val="single" w:sz="8" w:color="0C6DFF"/>
            </w:tcBorders>
            <w:shd w:val="clear" w:color="auto" w:fill="CCEEFF"/>
          </w:tcPr>
          <w:p>
            <w:pPr>
              <w:spacing w:after="0"/>
              <w:rPr>
                <w:sz w:val="14"/>
                <w:szCs w:val="14"/>
                <w:color w:val="auto"/>
              </w:rPr>
            </w:pPr>
          </w:p>
        </w:tc>
        <w:tc>
          <w:tcPr>
            <w:tcW w:w="680" w:type="dxa"/>
            <w:vAlign w:val="bottom"/>
            <w:tcBorders>
              <w:bottom w:val="single" w:sz="8" w:color="0C6D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C6D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13,813</w:t>
            </w:r>
          </w:p>
        </w:tc>
        <w:tc>
          <w:tcPr>
            <w:tcW w:w="620" w:type="dxa"/>
            <w:vAlign w:val="bottom"/>
            <w:tcBorders>
              <w:bottom w:val="single" w:sz="8" w:color="0C6D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12,672</w:t>
            </w:r>
          </w:p>
        </w:tc>
      </w:tr>
      <w:tr>
        <w:trPr>
          <w:trHeight w:val="298"/>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The table below presents changes in our allowance for credit losses.</w:t>
            </w: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1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color w:val="auto"/>
              </w:rPr>
              <w:t>2022</w:t>
            </w: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94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rPr>
              <w:t>736</w:t>
            </w:r>
          </w:p>
        </w:tc>
        <w:tc>
          <w:tcPr>
            <w:tcW w:w="6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658</w:t>
            </w:r>
          </w:p>
        </w:tc>
        <w:tc>
          <w:tcPr>
            <w:tcW w:w="62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Current-period provision for expected credit losses</w:t>
            </w:r>
          </w:p>
        </w:tc>
        <w:tc>
          <w:tcPr>
            <w:tcW w:w="1940" w:type="dxa"/>
            <w:vAlign w:val="bottom"/>
          </w:tcPr>
          <w:p>
            <w:pPr>
              <w:spacing w:after="0"/>
              <w:rPr>
                <w:sz w:val="15"/>
                <w:szCs w:val="15"/>
                <w:color w:val="auto"/>
              </w:rPr>
            </w:pPr>
          </w:p>
        </w:tc>
        <w:tc>
          <w:tcPr>
            <w:tcW w:w="940" w:type="dxa"/>
            <w:vAlign w:val="bottom"/>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rPr>
              <w:t>775</w:t>
            </w:r>
          </w:p>
        </w:tc>
        <w:tc>
          <w:tcPr>
            <w:tcW w:w="680" w:type="dxa"/>
            <w:vAlign w:val="bottom"/>
          </w:tcPr>
          <w:p>
            <w:pPr>
              <w:spacing w:after="0"/>
              <w:rPr>
                <w:sz w:val="15"/>
                <w:szCs w:val="15"/>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758</w:t>
            </w: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8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 charged against the allowance, net of recoveries and other</w:t>
            </w:r>
          </w:p>
        </w:tc>
        <w:tc>
          <w:tcPr>
            <w:tcW w:w="19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(812)</w:t>
            </w:r>
          </w:p>
        </w:tc>
        <w:tc>
          <w:tcPr>
            <w:tcW w:w="6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(680)</w:t>
            </w:r>
          </w:p>
        </w:tc>
        <w:tc>
          <w:tcPr>
            <w:tcW w:w="6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r>
      <w:tr>
        <w:trPr>
          <w:trHeight w:val="171"/>
        </w:trPr>
        <w:tc>
          <w:tcPr>
            <w:tcW w:w="52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940" w:type="dxa"/>
            <w:vAlign w:val="bottom"/>
            <w:tcBorders>
              <w:bottom w:val="single" w:sz="8" w:color="0C6DFF"/>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0C6DFF"/>
            </w:tcBorders>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rPr>
              <w:t>698</w:t>
            </w:r>
          </w:p>
        </w:tc>
        <w:tc>
          <w:tcPr>
            <w:tcW w:w="680" w:type="dxa"/>
            <w:vAlign w:val="bottom"/>
            <w:tcBorders>
              <w:bottom w:val="single" w:sz="8" w:color="0C6DFF"/>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0C6DFF"/>
            </w:tcBorders>
          </w:tcPr>
          <w:p>
            <w:pPr>
              <w:jc w:val="right"/>
              <w:ind w:right="112"/>
              <w:spacing w:after="0"/>
              <w:rPr>
                <w:sz w:val="20"/>
                <w:szCs w:val="20"/>
                <w:color w:val="auto"/>
              </w:rPr>
            </w:pPr>
            <w:r>
              <w:rPr>
                <w:rFonts w:ascii="Times New Roman" w:cs="Times New Roman" w:eastAsia="Times New Roman" w:hAnsi="Times New Roman"/>
                <w:sz w:val="14"/>
                <w:szCs w:val="14"/>
                <w:color w:val="auto"/>
              </w:rPr>
              <w:t>736</w:t>
            </w:r>
          </w:p>
        </w:tc>
        <w:tc>
          <w:tcPr>
            <w:tcW w:w="620" w:type="dxa"/>
            <w:vAlign w:val="bottom"/>
            <w:tcBorders>
              <w:bottom w:val="single" w:sz="8" w:color="0C6DFF"/>
            </w:tcBorders>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658</w:t>
            </w: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table below summarizes our other balances that are not separately presented in our consolidated balance sheets that relate to the recognition of revenue and collection of the related cash, as well as the deferred costs associated with our contracts with customers.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millions)</w:t>
            </w:r>
          </w:p>
        </w:tc>
        <w:tc>
          <w:tcPr>
            <w:tcW w:w="2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8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receivables, net (included in other noncurrent assets, net)</w:t>
            </w:r>
          </w:p>
        </w:tc>
        <w:tc>
          <w:tcPr>
            <w:tcW w:w="228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1,914</w:t>
            </w:r>
          </w:p>
        </w:tc>
        <w:tc>
          <w:tcPr>
            <w:tcW w:w="6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w:t>
            </w:r>
          </w:p>
        </w:tc>
      </w:tr>
      <w:tr>
        <w:trPr>
          <w:trHeight w:val="180"/>
        </w:trPr>
        <w:tc>
          <w:tcPr>
            <w:tcW w:w="65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Contract acquisition and fulfillment costs (included in other noncurrent assets, net)</w:t>
            </w:r>
            <w:r>
              <w:rPr>
                <w:rFonts w:ascii="Times New Roman" w:cs="Times New Roman" w:eastAsia="Times New Roman" w:hAnsi="Times New Roman"/>
                <w:sz w:val="18"/>
                <w:szCs w:val="18"/>
                <w:color w:val="auto"/>
                <w:vertAlign w:val="superscript"/>
              </w:rPr>
              <w:t>(a)</w:t>
            </w:r>
          </w:p>
        </w:tc>
        <w:tc>
          <w:tcPr>
            <w:tcW w:w="22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1,088</w:t>
            </w:r>
          </w:p>
        </w:tc>
        <w:tc>
          <w:tcPr>
            <w:tcW w:w="6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r>
      <w:tr>
        <w:trPr>
          <w:trHeight w:val="180"/>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deferred revenue (included in other noncurrent liabilities)</w:t>
            </w:r>
          </w:p>
        </w:tc>
        <w:tc>
          <w:tcPr>
            <w:tcW w:w="228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618</w:t>
            </w:r>
          </w:p>
        </w:tc>
        <w:tc>
          <w:tcPr>
            <w:tcW w:w="6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Amortization of contract acquisition and fulfillment costs totaled $692 million, $707 million and $654 million in 2023, 2022 and 2021, respectively, included in marketing and promotion and other operating and administrative expenses.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accounts receivables include amounts not yet billed related to equipment installment plans, as summarized in the table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millions)</w:t>
            </w:r>
          </w:p>
        </w:tc>
        <w:tc>
          <w:tcPr>
            <w:tcW w:w="19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8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Receivables, net</w:t>
            </w:r>
          </w:p>
        </w:tc>
        <w:tc>
          <w:tcPr>
            <w:tcW w:w="1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1,695</w:t>
            </w:r>
          </w:p>
        </w:tc>
        <w:tc>
          <w:tcPr>
            <w:tcW w:w="58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r>
      <w:tr>
        <w:trPr>
          <w:trHeight w:val="18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Noncurrent receivables, net (included in other noncurrent assets, net)</w:t>
            </w:r>
          </w:p>
        </w:tc>
        <w:tc>
          <w:tcPr>
            <w:tcW w:w="19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1,223</w:t>
            </w: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w:t>
            </w:r>
          </w:p>
        </w:tc>
      </w:tr>
      <w:tr>
        <w:trPr>
          <w:trHeight w:val="171"/>
        </w:trPr>
        <w:tc>
          <w:tcPr>
            <w:tcW w:w="53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940" w:type="dxa"/>
            <w:vAlign w:val="bottom"/>
            <w:tcBorders>
              <w:bottom w:val="single" w:sz="8" w:color="0C6DFF"/>
            </w:tcBorders>
            <w:shd w:val="clear" w:color="auto" w:fill="CCEEFF"/>
          </w:tcPr>
          <w:p>
            <w:pPr>
              <w:spacing w:after="0"/>
              <w:rPr>
                <w:sz w:val="14"/>
                <w:szCs w:val="14"/>
                <w:color w:val="auto"/>
              </w:rPr>
            </w:pPr>
          </w:p>
        </w:tc>
        <w:tc>
          <w:tcPr>
            <w:tcW w:w="920" w:type="dxa"/>
            <w:vAlign w:val="bottom"/>
            <w:tcBorders>
              <w:bottom w:val="single" w:sz="8" w:color="0C6DFF"/>
            </w:tcBorders>
            <w:shd w:val="clear" w:color="auto" w:fill="CCEEFF"/>
          </w:tcPr>
          <w:p>
            <w:pPr>
              <w:spacing w:after="0"/>
              <w:rPr>
                <w:sz w:val="14"/>
                <w:szCs w:val="14"/>
                <w:color w:val="auto"/>
              </w:rPr>
            </w:pPr>
          </w:p>
        </w:tc>
        <w:tc>
          <w:tcPr>
            <w:tcW w:w="640" w:type="dxa"/>
            <w:vAlign w:val="bottom"/>
            <w:tcBorders>
              <w:bottom w:val="single" w:sz="8" w:color="0C6D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0C6D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2,918</w:t>
            </w:r>
          </w:p>
        </w:tc>
        <w:tc>
          <w:tcPr>
            <w:tcW w:w="580" w:type="dxa"/>
            <w:vAlign w:val="bottom"/>
            <w:tcBorders>
              <w:bottom w:val="single" w:sz="8" w:color="0C6D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w:t>
            </w:r>
          </w:p>
        </w:tc>
      </w:tr>
      <w:tr>
        <w:trPr>
          <w:trHeight w:val="413"/>
        </w:trPr>
        <w:tc>
          <w:tcPr>
            <w:tcW w:w="5380" w:type="dxa"/>
            <w:vAlign w:val="bottom"/>
          </w:tcPr>
          <w:p>
            <w:pPr>
              <w:ind w:left="20"/>
              <w:spacing w:after="0"/>
              <w:rPr>
                <w:sz w:val="20"/>
                <w:szCs w:val="20"/>
                <w:color w:val="auto"/>
              </w:rPr>
            </w:pPr>
            <w:r>
              <w:rPr>
                <w:rFonts w:ascii="Arial" w:cs="Arial" w:eastAsia="Arial" w:hAnsi="Arial"/>
                <w:sz w:val="17"/>
                <w:szCs w:val="17"/>
                <w:b w:val="1"/>
                <w:bCs w:val="1"/>
                <w:color w:val="006EBF"/>
              </w:rPr>
              <w:t>Note 4: Programming and Production Costs</w:t>
            </w:r>
          </w:p>
        </w:tc>
        <w:tc>
          <w:tcPr>
            <w:tcW w:w="1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87"/>
        </w:trPr>
        <w:tc>
          <w:tcPr>
            <w:tcW w:w="5380" w:type="dxa"/>
            <w:vAlign w:val="bottom"/>
            <w:tcBorders>
              <w:bottom w:val="single" w:sz="8" w:color="0C6DFF"/>
            </w:tcBorders>
          </w:tcPr>
          <w:p>
            <w:pPr>
              <w:spacing w:after="0"/>
              <w:rPr>
                <w:sz w:val="7"/>
                <w:szCs w:val="7"/>
                <w:color w:val="auto"/>
              </w:rPr>
            </w:pPr>
          </w:p>
        </w:tc>
        <w:tc>
          <w:tcPr>
            <w:tcW w:w="1940" w:type="dxa"/>
            <w:vAlign w:val="bottom"/>
            <w:tcBorders>
              <w:bottom w:val="single" w:sz="8" w:color="0C6DFF"/>
            </w:tcBorders>
          </w:tcPr>
          <w:p>
            <w:pPr>
              <w:spacing w:after="0"/>
              <w:rPr>
                <w:sz w:val="7"/>
                <w:szCs w:val="7"/>
                <w:color w:val="auto"/>
              </w:rPr>
            </w:pPr>
          </w:p>
        </w:tc>
        <w:tc>
          <w:tcPr>
            <w:tcW w:w="920" w:type="dxa"/>
            <w:vAlign w:val="bottom"/>
            <w:tcBorders>
              <w:bottom w:val="single" w:sz="8" w:color="0C6DFF"/>
            </w:tcBorders>
          </w:tcPr>
          <w:p>
            <w:pPr>
              <w:spacing w:after="0"/>
              <w:rPr>
                <w:sz w:val="7"/>
                <w:szCs w:val="7"/>
                <w:color w:val="auto"/>
              </w:rPr>
            </w:pPr>
          </w:p>
        </w:tc>
        <w:tc>
          <w:tcPr>
            <w:tcW w:w="640" w:type="dxa"/>
            <w:vAlign w:val="bottom"/>
            <w:tcBorders>
              <w:bottom w:val="single" w:sz="8" w:color="0C6DFF"/>
            </w:tcBorders>
          </w:tcPr>
          <w:p>
            <w:pPr>
              <w:spacing w:after="0"/>
              <w:rPr>
                <w:sz w:val="7"/>
                <w:szCs w:val="7"/>
                <w:color w:val="auto"/>
              </w:rPr>
            </w:pPr>
          </w:p>
        </w:tc>
        <w:tc>
          <w:tcPr>
            <w:tcW w:w="940" w:type="dxa"/>
            <w:vAlign w:val="bottom"/>
            <w:tcBorders>
              <w:bottom w:val="single" w:sz="8" w:color="0C6DFF"/>
            </w:tcBorders>
          </w:tcPr>
          <w:p>
            <w:pPr>
              <w:spacing w:after="0"/>
              <w:rPr>
                <w:sz w:val="7"/>
                <w:szCs w:val="7"/>
                <w:color w:val="auto"/>
              </w:rPr>
            </w:pPr>
          </w:p>
        </w:tc>
        <w:tc>
          <w:tcPr>
            <w:tcW w:w="580" w:type="dxa"/>
            <w:vAlign w:val="bottom"/>
            <w:tcBorders>
              <w:bottom w:val="single" w:sz="8" w:color="0C6DFF"/>
            </w:tcBorders>
          </w:tcPr>
          <w:p>
            <w:pPr>
              <w:spacing w:after="0"/>
              <w:rPr>
                <w:sz w:val="7"/>
                <w:szCs w:val="7"/>
                <w:color w:val="auto"/>
              </w:rPr>
            </w:pPr>
          </w:p>
        </w:tc>
        <w:tc>
          <w:tcPr>
            <w:tcW w:w="880" w:type="dxa"/>
            <w:vAlign w:val="bottom"/>
            <w:tcBorders>
              <w:bottom w:val="single" w:sz="8" w:color="0C6DFF"/>
            </w:tcBorders>
          </w:tcPr>
          <w:p>
            <w:pPr>
              <w:spacing w:after="0"/>
              <w:rPr>
                <w:sz w:val="7"/>
                <w:szCs w:val="7"/>
                <w:color w:val="auto"/>
              </w:rPr>
            </w:pPr>
          </w:p>
        </w:tc>
      </w:tr>
      <w:tr>
        <w:trPr>
          <w:trHeight w:val="321"/>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19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color w:val="auto"/>
              </w:rPr>
              <w:t>2022</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Video distribution programming</w:t>
            </w:r>
          </w:p>
        </w:tc>
        <w:tc>
          <w:tcPr>
            <w:tcW w:w="19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12,460</w:t>
            </w:r>
          </w:p>
        </w:tc>
        <w:tc>
          <w:tcPr>
            <w:tcW w:w="6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13,013</w:t>
            </w:r>
          </w:p>
        </w:tc>
        <w:tc>
          <w:tcPr>
            <w:tcW w:w="58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13,550</w:t>
            </w:r>
          </w:p>
        </w:tc>
      </w:tr>
      <w:tr>
        <w:trPr>
          <w:trHeight w:val="180"/>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Film and television content:</w:t>
            </w:r>
          </w:p>
        </w:tc>
        <w:tc>
          <w:tcPr>
            <w:tcW w:w="1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53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Owned</w:t>
            </w:r>
            <w:r>
              <w:rPr>
                <w:rFonts w:ascii="Times New Roman" w:cs="Times New Roman" w:eastAsia="Times New Roman" w:hAnsi="Times New Roman"/>
                <w:sz w:val="18"/>
                <w:szCs w:val="18"/>
                <w:color w:val="auto"/>
                <w:vertAlign w:val="superscript"/>
              </w:rPr>
              <w:t>(a)</w:t>
            </w:r>
          </w:p>
        </w:tc>
        <w:tc>
          <w:tcPr>
            <w:tcW w:w="19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10,224</w:t>
            </w: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10,765</w:t>
            </w: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8,957</w:t>
            </w:r>
          </w:p>
        </w:tc>
      </w:tr>
      <w:tr>
        <w:trPr>
          <w:trHeight w:val="180"/>
        </w:trPr>
        <w:tc>
          <w:tcPr>
            <w:tcW w:w="5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Licensed, including sports rights</w:t>
            </w:r>
          </w:p>
        </w:tc>
        <w:tc>
          <w:tcPr>
            <w:tcW w:w="194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12,619</w:t>
            </w:r>
          </w:p>
        </w:tc>
        <w:tc>
          <w:tcPr>
            <w:tcW w:w="6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13,151</w:t>
            </w:r>
          </w:p>
        </w:tc>
        <w:tc>
          <w:tcPr>
            <w:tcW w:w="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14,733</w:t>
            </w:r>
          </w:p>
        </w:tc>
      </w:tr>
      <w:tr>
        <w:trPr>
          <w:trHeight w:val="180"/>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9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1,459</w:t>
            </w:r>
          </w:p>
        </w:tc>
        <w:tc>
          <w:tcPr>
            <w:tcW w:w="6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1,283</w:t>
            </w:r>
          </w:p>
        </w:tc>
        <w:tc>
          <w:tcPr>
            <w:tcW w:w="5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r>
      <w:tr>
        <w:trPr>
          <w:trHeight w:val="171"/>
        </w:trPr>
        <w:tc>
          <w:tcPr>
            <w:tcW w:w="53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programming and production costs</w:t>
            </w:r>
          </w:p>
        </w:tc>
        <w:tc>
          <w:tcPr>
            <w:tcW w:w="1940" w:type="dxa"/>
            <w:vAlign w:val="bottom"/>
            <w:tcBorders>
              <w:bottom w:val="single" w:sz="8" w:color="0C6DFF"/>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0C6DFF"/>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36,762</w:t>
            </w:r>
          </w:p>
        </w:tc>
        <w:tc>
          <w:tcPr>
            <w:tcW w:w="640" w:type="dxa"/>
            <w:vAlign w:val="bottom"/>
            <w:tcBorders>
              <w:bottom w:val="single" w:sz="8" w:color="0C6DFF"/>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0C6DFF"/>
            </w:tcBorders>
          </w:tcPr>
          <w:p>
            <w:pPr>
              <w:jc w:val="right"/>
              <w:ind w:right="52"/>
              <w:spacing w:after="0"/>
              <w:rPr>
                <w:sz w:val="20"/>
                <w:szCs w:val="20"/>
                <w:color w:val="auto"/>
              </w:rPr>
            </w:pPr>
            <w:r>
              <w:rPr>
                <w:rFonts w:ascii="Times New Roman" w:cs="Times New Roman" w:eastAsia="Times New Roman" w:hAnsi="Times New Roman"/>
                <w:sz w:val="14"/>
                <w:szCs w:val="14"/>
                <w:color w:val="auto"/>
              </w:rPr>
              <w:t>38,213</w:t>
            </w:r>
          </w:p>
        </w:tc>
        <w:tc>
          <w:tcPr>
            <w:tcW w:w="580" w:type="dxa"/>
            <w:vAlign w:val="bottom"/>
            <w:tcBorders>
              <w:bottom w:val="single" w:sz="8" w:color="0C6DFF"/>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38,450</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Amount includes amortization of owned content of $7.8 billion, $8.6 billion and $7.3 billion for the year ended December 31, 2023, 2022 and 2021, respectively, as well as participations and residuals expenses.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74</w:t>
            </w:r>
          </w:p>
        </w:tc>
      </w:tr>
      <w:tr>
        <w:trPr>
          <w:trHeight w:val="25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Video Distribution Programming Expenses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incur programming expenses related to the license of the rights to distribute or integrate third-party programmed television networks, platforms and related content included in video services we sell to end consumers. Programming is generally acquired under multiyear distribution agreements, with fees typically based on the number of customers receiving the television network programming and a per subscriber fee. Programming distribution arrangements are accounted for as executory contracts with expenses generally recognized based on the rates in the agreements, and the arrangements are not subject to impairment.</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Film and Television Content</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incur costs related to the production of owned content and the license of the rights to use content owned by third parties and sports rights on our owned television networks and digital properties, which are described as owned and licensed content, respectively. We have determined that the predominant monetization strategy for the substantial majority of our content is on an individual basis.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006EBF"/>
        </w:rPr>
        <w:t>Capitalized Film and Television Costs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millions)</w:t>
            </w:r>
          </w:p>
        </w:tc>
        <w:tc>
          <w:tcPr>
            <w:tcW w:w="3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Owned:</w:t>
            </w:r>
          </w:p>
        </w:tc>
        <w:tc>
          <w:tcPr>
            <w:tcW w:w="3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5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 production and in development</w:t>
            </w:r>
          </w:p>
        </w:tc>
        <w:tc>
          <w:tcPr>
            <w:tcW w:w="36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2,893</w:t>
            </w:r>
          </w:p>
        </w:tc>
        <w:tc>
          <w:tcPr>
            <w:tcW w:w="6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w:t>
            </w:r>
          </w:p>
        </w:tc>
      </w:tr>
      <w:tr>
        <w:trPr>
          <w:trHeight w:val="18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Completed, not released</w:t>
            </w:r>
          </w:p>
        </w:tc>
        <w:tc>
          <w:tcPr>
            <w:tcW w:w="36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317</w:t>
            </w: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80"/>
        </w:trPr>
        <w:tc>
          <w:tcPr>
            <w:tcW w:w="5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Released, less amortization</w:t>
            </w:r>
          </w:p>
        </w:tc>
        <w:tc>
          <w:tcPr>
            <w:tcW w:w="3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4,340</w:t>
            </w: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4,634</w:t>
            </w:r>
          </w:p>
        </w:tc>
      </w:tr>
      <w:tr>
        <w:trPr>
          <w:trHeight w:val="171"/>
        </w:trPr>
        <w:tc>
          <w:tcPr>
            <w:tcW w:w="5200" w:type="dxa"/>
            <w:vAlign w:val="bottom"/>
            <w:shd w:val="clear" w:color="auto" w:fill="CCEEFF"/>
          </w:tcPr>
          <w:p>
            <w:pPr>
              <w:spacing w:after="0"/>
              <w:rPr>
                <w:sz w:val="14"/>
                <w:szCs w:val="14"/>
                <w:color w:val="auto"/>
              </w:rPr>
            </w:pPr>
          </w:p>
        </w:tc>
        <w:tc>
          <w:tcPr>
            <w:tcW w:w="36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7,551</w:t>
            </w: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7,974</w:t>
            </w:r>
          </w:p>
        </w:tc>
      </w:tr>
      <w:tr>
        <w:trPr>
          <w:trHeight w:val="180"/>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Licensed, including sports advances</w:t>
            </w:r>
          </w:p>
        </w:tc>
        <w:tc>
          <w:tcPr>
            <w:tcW w:w="3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5,369</w:t>
            </w: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4,586</w:t>
            </w:r>
          </w:p>
        </w:tc>
      </w:tr>
      <w:tr>
        <w:trPr>
          <w:trHeight w:val="171"/>
        </w:trPr>
        <w:tc>
          <w:tcPr>
            <w:tcW w:w="520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Film and television costs</w:t>
            </w:r>
          </w:p>
        </w:tc>
        <w:tc>
          <w:tcPr>
            <w:tcW w:w="3620" w:type="dxa"/>
            <w:vAlign w:val="bottom"/>
            <w:tcBorders>
              <w:bottom w:val="single" w:sz="8" w:color="0C6D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C6D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12,920</w:t>
            </w:r>
          </w:p>
        </w:tc>
        <w:tc>
          <w:tcPr>
            <w:tcW w:w="620" w:type="dxa"/>
            <w:vAlign w:val="bottom"/>
            <w:tcBorders>
              <w:bottom w:val="single" w:sz="8" w:color="0C6D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w:t>
            </w:r>
          </w:p>
        </w:tc>
      </w:tr>
    </w:tbl>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Production tax incentives reduced capitalized owned film and television costs by $418 million and $400 million as of December 31, 2023 and 2022, respectively, and resulted in a reduction of programming and production costs of $578 million and $733 million in 2023 and 2022, respectively. We have receivables related to our production tax incentives of $1.9 billion and $1.5 billion as of December 31, 2023 and 2022, respectively, a substantial majority of which are reflected in other noncurrent assets in our consolidated balance sheets.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summarizes estimated future amortization expense for the capitalized film and television costs recorded in our consolidated balance sheets as of December 31,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38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color w:val="auto"/>
              </w:rPr>
              <w:t>Owned</w:t>
            </w:r>
          </w:p>
        </w:tc>
        <w:tc>
          <w:tcPr>
            <w:tcW w:w="5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Licensed</w:t>
            </w:r>
          </w:p>
        </w:tc>
      </w:tr>
      <w:tr>
        <w:trPr>
          <w:trHeight w:val="18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Completed, not released:</w:t>
            </w:r>
          </w:p>
        </w:tc>
        <w:tc>
          <w:tcPr>
            <w:tcW w:w="38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5160" w:type="dxa"/>
            <w:vAlign w:val="bottom"/>
          </w:tcPr>
          <w:p>
            <w:pPr>
              <w:jc w:val="right"/>
              <w:ind w:right="4691"/>
              <w:spacing w:after="0"/>
              <w:rPr>
                <w:sz w:val="20"/>
                <w:szCs w:val="20"/>
                <w:color w:val="auto"/>
              </w:rPr>
            </w:pPr>
            <w:r>
              <w:rPr>
                <w:rFonts w:ascii="Times New Roman" w:cs="Times New Roman" w:eastAsia="Times New Roman" w:hAnsi="Times New Roman"/>
                <w:sz w:val="14"/>
                <w:szCs w:val="14"/>
                <w:color w:val="auto"/>
              </w:rPr>
              <w:t>2024</w:t>
            </w:r>
          </w:p>
        </w:tc>
        <w:tc>
          <w:tcPr>
            <w:tcW w:w="38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192</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0"/>
        </w:trPr>
        <w:tc>
          <w:tcPr>
            <w:tcW w:w="516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Released and licensed content:</w:t>
            </w:r>
          </w:p>
        </w:tc>
        <w:tc>
          <w:tcPr>
            <w:tcW w:w="3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160" w:type="dxa"/>
            <w:vAlign w:val="bottom"/>
            <w:shd w:val="clear" w:color="auto" w:fill="CCEEFF"/>
          </w:tcPr>
          <w:p>
            <w:pPr>
              <w:jc w:val="right"/>
              <w:ind w:right="4691"/>
              <w:spacing w:after="0"/>
              <w:rPr>
                <w:sz w:val="20"/>
                <w:szCs w:val="20"/>
                <w:color w:val="auto"/>
              </w:rPr>
            </w:pPr>
            <w:r>
              <w:rPr>
                <w:rFonts w:ascii="Times New Roman" w:cs="Times New Roman" w:eastAsia="Times New Roman" w:hAnsi="Times New Roman"/>
                <w:sz w:val="14"/>
                <w:szCs w:val="14"/>
                <w:color w:val="auto"/>
              </w:rPr>
              <w:t>2024</w:t>
            </w:r>
          </w:p>
        </w:tc>
        <w:tc>
          <w:tcPr>
            <w:tcW w:w="38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2,258</w:t>
            </w:r>
          </w:p>
        </w:tc>
        <w:tc>
          <w:tcPr>
            <w:tcW w:w="5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3,627</w:t>
            </w:r>
          </w:p>
        </w:tc>
      </w:tr>
      <w:tr>
        <w:trPr>
          <w:trHeight w:val="180"/>
        </w:trPr>
        <w:tc>
          <w:tcPr>
            <w:tcW w:w="5160" w:type="dxa"/>
            <w:vAlign w:val="bottom"/>
          </w:tcPr>
          <w:p>
            <w:pPr>
              <w:jc w:val="right"/>
              <w:ind w:right="4691"/>
              <w:spacing w:after="0"/>
              <w:rPr>
                <w:sz w:val="20"/>
                <w:szCs w:val="20"/>
                <w:color w:val="auto"/>
              </w:rPr>
            </w:pPr>
            <w:r>
              <w:rPr>
                <w:rFonts w:ascii="Times New Roman" w:cs="Times New Roman" w:eastAsia="Times New Roman" w:hAnsi="Times New Roman"/>
                <w:sz w:val="14"/>
                <w:szCs w:val="14"/>
                <w:color w:val="auto"/>
              </w:rPr>
              <w:t>2025</w:t>
            </w:r>
          </w:p>
        </w:tc>
        <w:tc>
          <w:tcPr>
            <w:tcW w:w="38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779</w:t>
            </w:r>
          </w:p>
        </w:tc>
        <w:tc>
          <w:tcPr>
            <w:tcW w:w="5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1,002</w:t>
            </w:r>
          </w:p>
        </w:tc>
      </w:tr>
      <w:tr>
        <w:trPr>
          <w:trHeight w:val="180"/>
        </w:trPr>
        <w:tc>
          <w:tcPr>
            <w:tcW w:w="5160" w:type="dxa"/>
            <w:vAlign w:val="bottom"/>
            <w:tcBorders>
              <w:bottom w:val="single" w:sz="8" w:color="auto"/>
            </w:tcBorders>
            <w:shd w:val="clear" w:color="auto" w:fill="CCEEFF"/>
          </w:tcPr>
          <w:p>
            <w:pPr>
              <w:jc w:val="right"/>
              <w:ind w:right="4691"/>
              <w:spacing w:after="0"/>
              <w:rPr>
                <w:sz w:val="20"/>
                <w:szCs w:val="20"/>
                <w:color w:val="auto"/>
              </w:rPr>
            </w:pPr>
            <w:r>
              <w:rPr>
                <w:rFonts w:ascii="Times New Roman" w:cs="Times New Roman" w:eastAsia="Times New Roman" w:hAnsi="Times New Roman"/>
                <w:sz w:val="14"/>
                <w:szCs w:val="14"/>
                <w:color w:val="auto"/>
              </w:rPr>
              <w:t>2026</w:t>
            </w:r>
          </w:p>
        </w:tc>
        <w:tc>
          <w:tcPr>
            <w:tcW w:w="38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421</w:t>
            </w:r>
          </w:p>
        </w:tc>
        <w:tc>
          <w:tcPr>
            <w:tcW w:w="5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461</w:t>
            </w:r>
          </w:p>
        </w:tc>
      </w:tr>
    </w:tbl>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future minimum commitments for sports rights and for licensed content that are not recognized in our consolidated balance sheets as of December 31, 2023 totaling $64.6 billion and $3.3 billion,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006EBF"/>
        </w:rPr>
        <w:t>Capitalization and Recognition of Film and Television Content</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capitalize costs for owned film and television content, including direct costs, production overhead, print costs, development costs and interest, as well as acquired libraries.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release patterns and distribution strategies, public acceptance and historical results for similar productions. Amortization for content predominantly monetized with other owned or licensed content is recorded based on estimated usage. In determining the method of amortization and estimated life of an acquired film or television library, we generally use the method and the life that most closely follow the undiscounted cash flows over the estimated life of the asset. We do not capitalize costs related to the distribution of a film in movie theaters or the licensing or sale of a film or television production, which primarily include costs associated with marketing and distribution.</w:t>
      </w:r>
    </w:p>
    <w:p>
      <w:pPr>
        <w:spacing w:after="0" w:line="386"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75</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Owned and licensed content are presented as noncurrent assets in film and television costs. We present amortization of owned and licensed content and accrued costs associated with participations and residuals payments in programming and production costs.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Film and television productions may be eligible for tax incentives from certain state, local or foreign jurisdictions. These incentives generally provide for transferable or redeemable tax credits upon meeting established levels of qualified production spending within a participating jurisdiction. We record a receivable for a production tax incentive program when there is a reasonable assurance of collection with a corresponding reduction of capitalized film and television costs, and the related amortization.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may enter into co-financing arrangements with third parties to jointly finance or distribute certain of our film productions. These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of ownership proportionate to their ownership in the film. We account for the proceeds received from the investor under these arrangements as a reduction of our capitalized film costs and the investor’s interest in the profit or loss of the film is recorded as either a charge or a benefit, respectively, in programming and production costs. The investor’s interest in the profit or loss of a film is recorded each period using the individual film forecast computation method.</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When an event or a change in circumstance occurs that was known or knowable as of the balance sheet date and that indicates the fair value of either owned or licensed content is less than the unamortized costs in the balance sheet, we determine the fair value and record an impairment charge to the extent the unamortized costs exceed the fair value. Owned content is assessed either individually or in identified film groups, for content predominantly monetized on an individual basis or with other content, respectively. The substantial majority of our owned content is evaluated for impairment on an individual title basis. Licensed content that is not part of a film group is generally assessed in packages, channels or dayparts. A daypart is an aggregation of programs broadcast during a particular time of day or programs of a similar type. Licensed content is tested for impairment primarily on a channel, network or platform basis, with the exception of our broadcast networks and owned local broadcast television stations, which are tested on a daypart basis. Estimated fair values of owned and licensed content are generally based on Level 3 inputs including analysis of market participant estimates of future cash flows. We record charges related to impairments or content that is substantively abandoned to programming and production costs.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i w:val="1"/>
          <w:iCs w:val="1"/>
          <w:color w:val="006EBF"/>
        </w:rPr>
        <w:t>Sports Rights</w:t>
      </w:r>
    </w:p>
    <w:p>
      <w:pPr>
        <w:spacing w:after="0" w:line="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recognize the costs of multiyear, live-event sports rights as the rights are used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Production costs incurred in advance of airing are also presented in licensed content.</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Income (Loss) Before Income Taxes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33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color w:val="auto"/>
              </w:rPr>
              <w:t>2022</w:t>
            </w:r>
          </w:p>
        </w:tc>
        <w:tc>
          <w:tcPr>
            <w:tcW w:w="6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71"/>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Domestic</w:t>
            </w:r>
          </w:p>
        </w:tc>
        <w:tc>
          <w:tcPr>
            <w:tcW w:w="33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22,164</w:t>
            </w:r>
          </w:p>
        </w:tc>
        <w:tc>
          <w:tcPr>
            <w:tcW w:w="6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19,329</w:t>
            </w:r>
          </w:p>
        </w:tc>
        <w:tc>
          <w:tcPr>
            <w:tcW w:w="6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21,243</w:t>
            </w:r>
          </w:p>
        </w:tc>
      </w:tr>
      <w:tr>
        <w:trPr>
          <w:trHeight w:val="180"/>
        </w:trPr>
        <w:tc>
          <w:tcPr>
            <w:tcW w:w="3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Foreign</w:t>
            </w:r>
          </w:p>
        </w:tc>
        <w:tc>
          <w:tcPr>
            <w:tcW w:w="3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(1,686)</w:t>
            </w: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(10,045)</w:t>
            </w: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(2,150)</w:t>
            </w:r>
          </w:p>
        </w:tc>
      </w:tr>
      <w:tr>
        <w:trPr>
          <w:trHeight w:val="171"/>
        </w:trPr>
        <w:tc>
          <w:tcPr>
            <w:tcW w:w="3800" w:type="dxa"/>
            <w:vAlign w:val="bottom"/>
            <w:tcBorders>
              <w:bottom w:val="single" w:sz="8" w:color="0C6DFF"/>
            </w:tcBorders>
            <w:shd w:val="clear" w:color="auto" w:fill="CCEEFF"/>
          </w:tcPr>
          <w:p>
            <w:pPr>
              <w:spacing w:after="0"/>
              <w:rPr>
                <w:sz w:val="14"/>
                <w:szCs w:val="14"/>
                <w:color w:val="auto"/>
              </w:rPr>
            </w:pPr>
          </w:p>
        </w:tc>
        <w:tc>
          <w:tcPr>
            <w:tcW w:w="3360" w:type="dxa"/>
            <w:vAlign w:val="bottom"/>
            <w:tcBorders>
              <w:bottom w:val="single" w:sz="8" w:color="0C6D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0C6D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20,478</w:t>
            </w:r>
          </w:p>
        </w:tc>
        <w:tc>
          <w:tcPr>
            <w:tcW w:w="600" w:type="dxa"/>
            <w:vAlign w:val="bottom"/>
            <w:tcBorders>
              <w:bottom w:val="single" w:sz="8" w:color="0C6D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0C6D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9,284</w:t>
            </w:r>
          </w:p>
        </w:tc>
        <w:tc>
          <w:tcPr>
            <w:tcW w:w="620" w:type="dxa"/>
            <w:vAlign w:val="bottom"/>
            <w:tcBorders>
              <w:bottom w:val="single" w:sz="8" w:color="0C6D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0C6D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19,093</w:t>
            </w:r>
          </w:p>
        </w:tc>
      </w:tr>
      <w:tr>
        <w:trPr>
          <w:trHeight w:val="523"/>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3360" w:type="dxa"/>
            <w:vAlign w:val="bottom"/>
          </w:tcPr>
          <w:p>
            <w:pPr>
              <w:jc w:val="right"/>
              <w:ind w:right="1434"/>
              <w:spacing w:after="0"/>
              <w:rPr>
                <w:sz w:val="20"/>
                <w:szCs w:val="20"/>
                <w:color w:val="auto"/>
              </w:rPr>
            </w:pPr>
            <w:r>
              <w:rPr>
                <w:rFonts w:ascii="Times New Roman" w:cs="Times New Roman" w:eastAsia="Times New Roman" w:hAnsi="Times New Roman"/>
                <w:sz w:val="11"/>
                <w:szCs w:val="11"/>
                <w:b w:val="1"/>
                <w:bCs w:val="1"/>
                <w:color w:val="auto"/>
              </w:rPr>
              <w:t>76</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4"/>
        </w:trPr>
        <w:tc>
          <w:tcPr>
            <w:tcW w:w="3800" w:type="dxa"/>
            <w:vAlign w:val="bottom"/>
            <w:tcBorders>
              <w:bottom w:val="single" w:sz="8" w:color="9A9A9A"/>
            </w:tcBorders>
          </w:tcPr>
          <w:p>
            <w:pPr>
              <w:spacing w:after="0"/>
              <w:rPr>
                <w:sz w:val="22"/>
                <w:szCs w:val="22"/>
                <w:color w:val="auto"/>
              </w:rPr>
            </w:pPr>
          </w:p>
        </w:tc>
        <w:tc>
          <w:tcPr>
            <w:tcW w:w="3360" w:type="dxa"/>
            <w:vAlign w:val="bottom"/>
            <w:tcBorders>
              <w:bottom w:val="single" w:sz="8" w:color="9A9A9A"/>
            </w:tcBorders>
          </w:tcPr>
          <w:p>
            <w:pPr>
              <w:spacing w:after="0"/>
              <w:rPr>
                <w:sz w:val="22"/>
                <w:szCs w:val="22"/>
                <w:color w:val="auto"/>
              </w:rPr>
            </w:pPr>
          </w:p>
        </w:tc>
        <w:tc>
          <w:tcPr>
            <w:tcW w:w="98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1020" w:type="dxa"/>
            <w:vAlign w:val="bottom"/>
            <w:tcBorders>
              <w:bottom w:val="single" w:sz="8" w:color="9A9A9A"/>
            </w:tcBorders>
          </w:tcPr>
          <w:p>
            <w:pPr>
              <w:spacing w:after="0"/>
              <w:rPr>
                <w:sz w:val="22"/>
                <w:szCs w:val="22"/>
                <w:color w:val="auto"/>
              </w:rPr>
            </w:pPr>
          </w:p>
        </w:tc>
        <w:tc>
          <w:tcPr>
            <w:tcW w:w="620" w:type="dxa"/>
            <w:vAlign w:val="bottom"/>
            <w:tcBorders>
              <w:bottom w:val="single" w:sz="8" w:color="9A9A9A"/>
            </w:tcBorders>
          </w:tcPr>
          <w:p>
            <w:pPr>
              <w:spacing w:after="0"/>
              <w:rPr>
                <w:sz w:val="22"/>
                <w:szCs w:val="22"/>
                <w:color w:val="auto"/>
              </w:rPr>
            </w:pPr>
          </w:p>
        </w:tc>
        <w:tc>
          <w:tcPr>
            <w:tcW w:w="9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Components of Income Tax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19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color w:val="auto"/>
              </w:rPr>
              <w:t>2022</w:t>
            </w:r>
          </w:p>
        </w:tc>
        <w:tc>
          <w:tcPr>
            <w:tcW w:w="6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7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Expense (Benefit):</w:t>
            </w:r>
          </w:p>
        </w:tc>
        <w:tc>
          <w:tcPr>
            <w:tcW w:w="1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19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6,270</w:t>
            </w:r>
          </w:p>
        </w:tc>
        <w:tc>
          <w:tcPr>
            <w:tcW w:w="6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4,025</w:t>
            </w:r>
          </w:p>
        </w:tc>
        <w:tc>
          <w:tcPr>
            <w:tcW w:w="6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w:t>
            </w:r>
          </w:p>
        </w:tc>
      </w:tr>
      <w:tr>
        <w:trPr>
          <w:trHeight w:val="18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19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1,591</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961</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r>
      <w:tr>
        <w:trPr>
          <w:trHeight w:val="180"/>
        </w:trPr>
        <w:tc>
          <w:tcPr>
            <w:tcW w:w="5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Foreign</w:t>
            </w:r>
          </w:p>
        </w:tc>
        <w:tc>
          <w:tcPr>
            <w:tcW w:w="19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249</w:t>
            </w:r>
          </w:p>
        </w:tc>
        <w:tc>
          <w:tcPr>
            <w:tcW w:w="6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207</w:t>
            </w: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r>
      <w:tr>
        <w:trPr>
          <w:trHeight w:val="171"/>
        </w:trPr>
        <w:tc>
          <w:tcPr>
            <w:tcW w:w="516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8,110</w:t>
            </w:r>
          </w:p>
        </w:tc>
        <w:tc>
          <w:tcPr>
            <w:tcW w:w="6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5,193</w:t>
            </w:r>
          </w:p>
        </w:tc>
        <w:tc>
          <w:tcPr>
            <w:tcW w:w="6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w:t>
            </w:r>
          </w:p>
        </w:tc>
      </w:tr>
      <w:tr>
        <w:trPr>
          <w:trHeight w:val="17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Expense (Benefit):</w:t>
            </w:r>
          </w:p>
        </w:tc>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19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(2,126)</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(281)</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r>
      <w:tr>
        <w:trPr>
          <w:trHeight w:val="180"/>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1980" w:type="dxa"/>
            <w:vAlign w:val="bottom"/>
          </w:tcPr>
          <w:p>
            <w:pPr>
              <w:spacing w:after="0"/>
              <w:rPr>
                <w:sz w:val="15"/>
                <w:szCs w:val="15"/>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(468)</w:t>
            </w:r>
          </w:p>
        </w:tc>
        <w:tc>
          <w:tcPr>
            <w:tcW w:w="66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(483)</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80"/>
        </w:trPr>
        <w:tc>
          <w:tcPr>
            <w:tcW w:w="51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w:t>
            </w:r>
          </w:p>
        </w:tc>
        <w:tc>
          <w:tcPr>
            <w:tcW w:w="19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(145)</w:t>
            </w:r>
          </w:p>
        </w:tc>
        <w:tc>
          <w:tcPr>
            <w:tcW w:w="6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(70)</w:t>
            </w:r>
          </w:p>
        </w:tc>
        <w:tc>
          <w:tcPr>
            <w:tcW w:w="6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71"/>
        </w:trPr>
        <w:tc>
          <w:tcPr>
            <w:tcW w:w="5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(2,739)</w:t>
            </w: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(834)</w:t>
            </w: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w:t>
            </w:r>
          </w:p>
        </w:tc>
      </w:tr>
      <w:tr>
        <w:trPr>
          <w:trHeight w:val="171"/>
        </w:trPr>
        <w:tc>
          <w:tcPr>
            <w:tcW w:w="516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980" w:type="dxa"/>
            <w:vAlign w:val="bottom"/>
            <w:tcBorders>
              <w:bottom w:val="single" w:sz="8" w:color="0C6D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C6D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5,371</w:t>
            </w:r>
          </w:p>
        </w:tc>
        <w:tc>
          <w:tcPr>
            <w:tcW w:w="660" w:type="dxa"/>
            <w:vAlign w:val="bottom"/>
            <w:tcBorders>
              <w:bottom w:val="single" w:sz="8" w:color="0C6D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0C6D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4,359</w:t>
            </w:r>
          </w:p>
        </w:tc>
        <w:tc>
          <w:tcPr>
            <w:tcW w:w="660" w:type="dxa"/>
            <w:vAlign w:val="bottom"/>
            <w:tcBorders>
              <w:bottom w:val="single" w:sz="8" w:color="0C6D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5,259</w:t>
            </w:r>
          </w:p>
        </w:tc>
      </w:tr>
      <w:tr>
        <w:trPr>
          <w:trHeight w:val="266"/>
        </w:trPr>
        <w:tc>
          <w:tcPr>
            <w:tcW w:w="8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Our income tax expense (benefit) differs from the federal statutory amount because of the effect of the items detailed in the table below.</w:t>
            </w:r>
          </w:p>
        </w:tc>
        <w:tc>
          <w:tcPr>
            <w:tcW w:w="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341"/>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19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color w:val="auto"/>
              </w:rPr>
              <w:t>2022</w:t>
            </w:r>
          </w:p>
        </w:tc>
        <w:tc>
          <w:tcPr>
            <w:tcW w:w="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tax at statutory rate</w:t>
            </w:r>
          </w:p>
        </w:tc>
        <w:tc>
          <w:tcPr>
            <w:tcW w:w="198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4,300</w:t>
            </w:r>
          </w:p>
        </w:tc>
        <w:tc>
          <w:tcPr>
            <w:tcW w:w="6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1,950</w:t>
            </w:r>
          </w:p>
        </w:tc>
        <w:tc>
          <w:tcPr>
            <w:tcW w:w="6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w:t>
            </w:r>
          </w:p>
        </w:tc>
      </w:tr>
      <w:tr>
        <w:trPr>
          <w:trHeight w:val="18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1980" w:type="dxa"/>
            <w:vAlign w:val="bottom"/>
          </w:tcPr>
          <w:p>
            <w:pPr>
              <w:spacing w:after="0"/>
              <w:rPr>
                <w:sz w:val="15"/>
                <w:szCs w:val="15"/>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418</w:t>
            </w:r>
          </w:p>
        </w:tc>
        <w:tc>
          <w:tcPr>
            <w:tcW w:w="66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454</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r>
      <w:tr>
        <w:trPr>
          <w:trHeight w:val="18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income taxed at different rates</w:t>
            </w:r>
          </w:p>
        </w:tc>
        <w:tc>
          <w:tcPr>
            <w:tcW w:w="19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306</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519</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r>
      <w:tr>
        <w:trPr>
          <w:trHeight w:val="18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uncertain and effectively settled tax positions, net</w:t>
            </w:r>
          </w:p>
        </w:tc>
        <w:tc>
          <w:tcPr>
            <w:tcW w:w="1980" w:type="dxa"/>
            <w:vAlign w:val="bottom"/>
          </w:tcPr>
          <w:p>
            <w:pPr>
              <w:spacing w:after="0"/>
              <w:rPr>
                <w:sz w:val="15"/>
                <w:szCs w:val="15"/>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353</w:t>
            </w:r>
          </w:p>
        </w:tc>
        <w:tc>
          <w:tcPr>
            <w:tcW w:w="66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179</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18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research and development credits</w:t>
            </w:r>
          </w:p>
        </w:tc>
        <w:tc>
          <w:tcPr>
            <w:tcW w:w="19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(131)</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(104)</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Excess tax benefits recognized on share-based compensation</w:t>
            </w:r>
          </w:p>
        </w:tc>
        <w:tc>
          <w:tcPr>
            <w:tcW w:w="1980" w:type="dxa"/>
            <w:vAlign w:val="bottom"/>
          </w:tcPr>
          <w:p>
            <w:pPr>
              <w:spacing w:after="0"/>
              <w:rPr>
                <w:sz w:val="15"/>
                <w:szCs w:val="15"/>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4</w:t>
            </w:r>
          </w:p>
        </w:tc>
        <w:tc>
          <w:tcPr>
            <w:tcW w:w="66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8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legislation</w:t>
            </w:r>
          </w:p>
        </w:tc>
        <w:tc>
          <w:tcPr>
            <w:tcW w:w="19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8</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(287)</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r>
      <w:tr>
        <w:trPr>
          <w:trHeight w:val="18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impairment</w:t>
            </w:r>
          </w:p>
        </w:tc>
        <w:tc>
          <w:tcPr>
            <w:tcW w:w="1980" w:type="dxa"/>
            <w:vAlign w:val="bottom"/>
          </w:tcPr>
          <w:p>
            <w:pPr>
              <w:spacing w:after="0"/>
              <w:rPr>
                <w:sz w:val="15"/>
                <w:szCs w:val="15"/>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1,666</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9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113</w:t>
            </w:r>
          </w:p>
        </w:tc>
        <w:tc>
          <w:tcPr>
            <w:tcW w:w="6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12</w:t>
            </w:r>
          </w:p>
        </w:tc>
        <w:tc>
          <w:tcPr>
            <w:tcW w:w="6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1"/>
        </w:trPr>
        <w:tc>
          <w:tcPr>
            <w:tcW w:w="51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980" w:type="dxa"/>
            <w:vAlign w:val="bottom"/>
            <w:tcBorders>
              <w:bottom w:val="single" w:sz="8" w:color="0C6DFF"/>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C6DFF"/>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5,371</w:t>
            </w:r>
          </w:p>
        </w:tc>
        <w:tc>
          <w:tcPr>
            <w:tcW w:w="660" w:type="dxa"/>
            <w:vAlign w:val="bottom"/>
            <w:tcBorders>
              <w:bottom w:val="single" w:sz="8" w:color="0C6DFF"/>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0C6DFF"/>
            </w:tcBorders>
          </w:tcPr>
          <w:p>
            <w:pPr>
              <w:jc w:val="right"/>
              <w:ind w:right="91"/>
              <w:spacing w:after="0"/>
              <w:rPr>
                <w:sz w:val="20"/>
                <w:szCs w:val="20"/>
                <w:color w:val="auto"/>
              </w:rPr>
            </w:pPr>
            <w:r>
              <w:rPr>
                <w:rFonts w:ascii="Times New Roman" w:cs="Times New Roman" w:eastAsia="Times New Roman" w:hAnsi="Times New Roman"/>
                <w:sz w:val="14"/>
                <w:szCs w:val="14"/>
                <w:color w:val="auto"/>
              </w:rPr>
              <w:t>4,359</w:t>
            </w:r>
          </w:p>
        </w:tc>
        <w:tc>
          <w:tcPr>
            <w:tcW w:w="660" w:type="dxa"/>
            <w:vAlign w:val="bottom"/>
            <w:tcBorders>
              <w:bottom w:val="single" w:sz="8" w:color="0C6DFF"/>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5,259</w:t>
            </w:r>
          </w:p>
        </w:tc>
      </w:tr>
    </w:tbl>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 statements of income.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determination of the income tax consequences of a business combination includes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 authorities. The effects of these adjustments are recorded to income tax expense.</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certain financing transactions, and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consolidated financial statements. We classify interest and penalties, if any, associated with our uncertain tax positions as a component of income tax expense (benefit).</w:t>
      </w:r>
    </w:p>
    <w:p>
      <w:pPr>
        <w:spacing w:after="0" w:line="200" w:lineRule="exact"/>
        <w:rPr>
          <w:sz w:val="20"/>
          <w:szCs w:val="20"/>
          <w:color w:val="auto"/>
        </w:rPr>
      </w:pPr>
    </w:p>
    <w:p>
      <w:pPr>
        <w:spacing w:after="0" w:line="355"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77</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Components of Net Deferred Tax Liability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millions)</w:t>
            </w:r>
          </w:p>
        </w:tc>
        <w:tc>
          <w:tcPr>
            <w:tcW w:w="15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operating loss and other loss carryforwards</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3,530</w:t>
            </w:r>
          </w:p>
        </w:tc>
        <w:tc>
          <w:tcPr>
            <w:tcW w:w="62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w:t>
            </w:r>
          </w:p>
        </w:tc>
      </w:tr>
      <w:tr>
        <w:trPr>
          <w:trHeight w:val="18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Advance on sale of investment (see Note 8)</w:t>
            </w:r>
          </w:p>
        </w:tc>
        <w:tc>
          <w:tcPr>
            <w:tcW w:w="1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2,367</w:t>
            </w: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Nondeductible accruals and other</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4,100</w:t>
            </w: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w:t>
            </w:r>
          </w:p>
        </w:tc>
      </w:tr>
      <w:tr>
        <w:trPr>
          <w:trHeight w:val="180"/>
        </w:trPr>
        <w:tc>
          <w:tcPr>
            <w:tcW w:w="57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15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3,679</w:t>
            </w:r>
          </w:p>
        </w:tc>
        <w:tc>
          <w:tcPr>
            <w:tcW w:w="6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w:t>
            </w:r>
          </w:p>
        </w:tc>
      </w:tr>
      <w:tr>
        <w:trPr>
          <w:trHeight w:val="171"/>
        </w:trPr>
        <w:tc>
          <w:tcPr>
            <w:tcW w:w="57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6,318</w:t>
            </w: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3,240</w:t>
            </w: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and intangible assets</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29,337</w:t>
            </w: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29,688</w:t>
            </w:r>
          </w:p>
        </w:tc>
      </w:tr>
      <w:tr>
        <w:trPr>
          <w:trHeight w:val="18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1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1,002</w:t>
            </w: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80"/>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debt</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1,814</w:t>
            </w: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w:t>
            </w:r>
          </w:p>
        </w:tc>
      </w:tr>
      <w:tr>
        <w:trPr>
          <w:trHeight w:val="180"/>
        </w:trPr>
        <w:tc>
          <w:tcPr>
            <w:tcW w:w="57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subsidiaries and undistributed foreign earnings</w:t>
            </w:r>
          </w:p>
        </w:tc>
        <w:tc>
          <w:tcPr>
            <w:tcW w:w="15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59</w:t>
            </w:r>
          </w:p>
        </w:tc>
        <w:tc>
          <w:tcPr>
            <w:tcW w:w="6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71"/>
        </w:trPr>
        <w:tc>
          <w:tcPr>
            <w:tcW w:w="57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32,212</w:t>
            </w: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31,749</w:t>
            </w:r>
          </w:p>
        </w:tc>
      </w:tr>
      <w:tr>
        <w:trPr>
          <w:trHeight w:val="171"/>
        </w:trPr>
        <w:tc>
          <w:tcPr>
            <w:tcW w:w="57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liability</w:t>
            </w:r>
          </w:p>
        </w:tc>
        <w:tc>
          <w:tcPr>
            <w:tcW w:w="1520" w:type="dxa"/>
            <w:vAlign w:val="bottom"/>
            <w:tcBorders>
              <w:bottom w:val="single" w:sz="8" w:color="0C6DFF"/>
            </w:tcBorders>
            <w:shd w:val="clear" w:color="auto" w:fill="CCEEFF"/>
          </w:tcPr>
          <w:p>
            <w:pPr>
              <w:spacing w:after="0"/>
              <w:rPr>
                <w:sz w:val="14"/>
                <w:szCs w:val="14"/>
                <w:color w:val="auto"/>
              </w:rPr>
            </w:pPr>
          </w:p>
        </w:tc>
        <w:tc>
          <w:tcPr>
            <w:tcW w:w="900" w:type="dxa"/>
            <w:vAlign w:val="bottom"/>
            <w:tcBorders>
              <w:bottom w:val="single" w:sz="8" w:color="0C6DFF"/>
            </w:tcBorders>
            <w:shd w:val="clear" w:color="auto" w:fill="CCEEFF"/>
          </w:tcPr>
          <w:p>
            <w:pPr>
              <w:spacing w:after="0"/>
              <w:rPr>
                <w:sz w:val="14"/>
                <w:szCs w:val="14"/>
                <w:color w:val="auto"/>
              </w:rPr>
            </w:pPr>
          </w:p>
        </w:tc>
        <w:tc>
          <w:tcPr>
            <w:tcW w:w="640" w:type="dxa"/>
            <w:vAlign w:val="bottom"/>
            <w:tcBorders>
              <w:bottom w:val="single" w:sz="8" w:color="0C6D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0C6D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25,894</w:t>
            </w:r>
          </w:p>
        </w:tc>
        <w:tc>
          <w:tcPr>
            <w:tcW w:w="620" w:type="dxa"/>
            <w:vAlign w:val="bottom"/>
            <w:tcBorders>
              <w:bottom w:val="single" w:sz="8" w:color="0C6D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28,509</w:t>
            </w:r>
          </w:p>
        </w:tc>
      </w:tr>
      <w:tr>
        <w:trPr>
          <w:trHeight w:val="330"/>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The table below presents changes in our valuation allowance for deferred tax assets.</w:t>
            </w: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1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color w:val="auto"/>
              </w:rPr>
              <w:t>2022</w:t>
            </w: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52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3,295</w:t>
            </w:r>
          </w:p>
        </w:tc>
        <w:tc>
          <w:tcPr>
            <w:tcW w:w="6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2,907</w:t>
            </w:r>
          </w:p>
        </w:tc>
        <w:tc>
          <w:tcPr>
            <w:tcW w:w="6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charged to income tax expense and other accounts</w:t>
            </w:r>
          </w:p>
        </w:tc>
        <w:tc>
          <w:tcPr>
            <w:tcW w:w="152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469</w:t>
            </w:r>
          </w:p>
        </w:tc>
        <w:tc>
          <w:tcPr>
            <w:tcW w:w="640" w:type="dxa"/>
            <w:vAlign w:val="bottom"/>
          </w:tcPr>
          <w:p>
            <w:pPr>
              <w:spacing w:after="0"/>
              <w:rPr>
                <w:sz w:val="15"/>
                <w:szCs w:val="15"/>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433</w:t>
            </w:r>
          </w:p>
        </w:tc>
        <w:tc>
          <w:tcPr>
            <w:tcW w:w="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r>
      <w:tr>
        <w:trPr>
          <w:trHeight w:val="180"/>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Deductions from reserves</w:t>
            </w:r>
          </w:p>
        </w:tc>
        <w:tc>
          <w:tcPr>
            <w:tcW w:w="15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84</w:t>
            </w:r>
          </w:p>
        </w:tc>
        <w:tc>
          <w:tcPr>
            <w:tcW w:w="6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45</w:t>
            </w:r>
          </w:p>
        </w:tc>
        <w:tc>
          <w:tcPr>
            <w:tcW w:w="6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1"/>
        </w:trPr>
        <w:tc>
          <w:tcPr>
            <w:tcW w:w="574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520" w:type="dxa"/>
            <w:vAlign w:val="bottom"/>
            <w:tcBorders>
              <w:bottom w:val="single" w:sz="8" w:color="0C6DFF"/>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0C6DFF"/>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3,679</w:t>
            </w:r>
          </w:p>
        </w:tc>
        <w:tc>
          <w:tcPr>
            <w:tcW w:w="640" w:type="dxa"/>
            <w:vAlign w:val="bottom"/>
            <w:tcBorders>
              <w:bottom w:val="single" w:sz="8" w:color="0C6DFF"/>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0C6DFF"/>
            </w:tcBorders>
          </w:tcPr>
          <w:p>
            <w:pPr>
              <w:jc w:val="right"/>
              <w:ind w:right="71"/>
              <w:spacing w:after="0"/>
              <w:rPr>
                <w:sz w:val="20"/>
                <w:szCs w:val="20"/>
                <w:color w:val="auto"/>
              </w:rPr>
            </w:pPr>
            <w:r>
              <w:rPr>
                <w:rFonts w:ascii="Times New Roman" w:cs="Times New Roman" w:eastAsia="Times New Roman" w:hAnsi="Times New Roman"/>
                <w:sz w:val="14"/>
                <w:szCs w:val="14"/>
                <w:color w:val="auto"/>
              </w:rPr>
              <w:t>3,295</w:t>
            </w:r>
          </w:p>
        </w:tc>
        <w:tc>
          <w:tcPr>
            <w:tcW w:w="620" w:type="dxa"/>
            <w:vAlign w:val="bottom"/>
            <w:tcBorders>
              <w:bottom w:val="single" w:sz="8" w:color="0C6DFF"/>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2,907</w:t>
            </w:r>
          </w:p>
        </w:tc>
      </w:tr>
    </w:tbl>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Changes in our net deferred tax liability in 2023 that were not recorded as deferred income tax expense (benefit) are primarily related to an increase of $107 million associated with items included in other comprehensive income (loss).</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December 31, 2023, we had federal net operating loss carryforwards of $182 million, and various state net operating loss carryforwards, the majority of which expire in periods through 2043. As of December 31, 2023, we also had foreign net operating loss carryforwards of $11.4 billion related to our foreign operations, primarily at Sky and NBCUniversal, the majority of which can be carried forward indefinitely. The determination of the realization of the state and foreign net operating loss carryforwards is dependent on our subsidiaries’ taxable income or loss, apportionment percentages, redetermination from taxing authorities, and state and foreign laws that can change from year to year and impact the amount of such carryforwards. We recognize a valuation allowance if we determine it is more likely than not that some portion, or all, of a deferred tax asset will not be realized. As of December 31, 2023 and 2022, our valuation allowance was primarily related to foreign and state net operating loss carryforwards.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Uncertain Tax Positions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Reconciliation of Unrecognized Tax Benefits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2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color w:val="auto"/>
              </w:rPr>
              <w:t>2022</w:t>
            </w:r>
          </w:p>
        </w:tc>
        <w:tc>
          <w:tcPr>
            <w:tcW w:w="6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7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unrecognized tax benefits, January 1</w:t>
            </w:r>
          </w:p>
        </w:tc>
        <w:tc>
          <w:tcPr>
            <w:tcW w:w="22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2,161</w:t>
            </w:r>
          </w:p>
        </w:tc>
        <w:tc>
          <w:tcPr>
            <w:tcW w:w="6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2,042</w:t>
            </w:r>
          </w:p>
        </w:tc>
        <w:tc>
          <w:tcPr>
            <w:tcW w:w="6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based on tax positions related to the current year</w:t>
            </w:r>
          </w:p>
        </w:tc>
        <w:tc>
          <w:tcPr>
            <w:tcW w:w="22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546</w:t>
            </w:r>
          </w:p>
        </w:tc>
        <w:tc>
          <w:tcPr>
            <w:tcW w:w="66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380</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based on tax positions related to prior years</w:t>
            </w:r>
          </w:p>
        </w:tc>
        <w:tc>
          <w:tcPr>
            <w:tcW w:w="22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1</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56</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Reductions for tax positions of prior years</w:t>
            </w:r>
          </w:p>
        </w:tc>
        <w:tc>
          <w:tcPr>
            <w:tcW w:w="220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(43)</w:t>
            </w:r>
          </w:p>
        </w:tc>
        <w:tc>
          <w:tcPr>
            <w:tcW w:w="66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(145)</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Reductions due to expiration of statutes of limitations</w:t>
            </w:r>
          </w:p>
        </w:tc>
        <w:tc>
          <w:tcPr>
            <w:tcW w:w="22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(56)</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(148)</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80"/>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Settlements with tax authorities and other</w:t>
            </w:r>
          </w:p>
        </w:tc>
        <w:tc>
          <w:tcPr>
            <w:tcW w:w="2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(15)</w:t>
            </w:r>
          </w:p>
        </w:tc>
        <w:tc>
          <w:tcPr>
            <w:tcW w:w="6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(24)</w:t>
            </w: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498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unrecognized tax benefits, December 31</w:t>
            </w:r>
          </w:p>
        </w:tc>
        <w:tc>
          <w:tcPr>
            <w:tcW w:w="2200" w:type="dxa"/>
            <w:vAlign w:val="bottom"/>
            <w:tcBorders>
              <w:bottom w:val="single" w:sz="8" w:color="0C6D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C6D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2,593</w:t>
            </w:r>
          </w:p>
        </w:tc>
        <w:tc>
          <w:tcPr>
            <w:tcW w:w="660" w:type="dxa"/>
            <w:vAlign w:val="bottom"/>
            <w:tcBorders>
              <w:bottom w:val="single" w:sz="8" w:color="0C6D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0C6D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2,161</w:t>
            </w:r>
          </w:p>
        </w:tc>
        <w:tc>
          <w:tcPr>
            <w:tcW w:w="660" w:type="dxa"/>
            <w:vAlign w:val="bottom"/>
            <w:tcBorders>
              <w:bottom w:val="single" w:sz="8" w:color="0C6D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r>
    </w:tbl>
    <w:p>
      <w:pPr>
        <w:spacing w:after="0" w:line="1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gross unrecognized tax benefits include both amounts related to positions for which we have recorded liabilities for potential payment obligations and those for which tax has been assessed and paid. The amounts exclude the federal benefits on state tax positions that were recorded to deferred income taxes. If we were to recognize our gross unrecognized tax benefits in the future, $2.0 billion would impact our effective tax rate and the remaining amount would increase our deferred income tax liability. The amount and timing of the recognition of any such tax benefit is dependent on the completion of examinations of our tax filings by the various tax authorities and the expiration of statutes of limitations. It is reasonably possible that certain tax contests could be resolved within the next 12 months that may result in a decrease in our effective tax rate. Accrued interest and penalties associated with our liability for uncertain tax positions were not material in any period presented.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78</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IRS has completed its examination of our income tax returns for all years through 2021. Various states are examining our state tax returns and the tax years of those tax returns currently under examination vary by state, with most of the periods relating to tax years 2011 and forward. Various foreign jurisdictions are examining our tax returns and the tax years of those tax returns currently under examination vary by country, with most of the periods relating to tax years 2010 and forward.</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6: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Long-Term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206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Weighted-Average Interest Rate as</w:t>
            </w:r>
          </w:p>
        </w:tc>
        <w:tc>
          <w:tcPr>
            <w:tcW w:w="2020" w:type="dxa"/>
            <w:vAlign w:val="bottom"/>
          </w:tcPr>
          <w:p>
            <w:pPr>
              <w:jc w:val="right"/>
              <w:ind w:right="153"/>
              <w:spacing w:after="0"/>
              <w:rPr>
                <w:sz w:val="20"/>
                <w:szCs w:val="20"/>
                <w:color w:val="auto"/>
              </w:rPr>
            </w:pPr>
            <w:r>
              <w:rPr>
                <w:rFonts w:ascii="Times New Roman" w:cs="Times New Roman" w:eastAsia="Times New Roman" w:hAnsi="Times New Roman"/>
                <w:sz w:val="11"/>
                <w:szCs w:val="11"/>
                <w:color w:val="auto"/>
              </w:rPr>
              <w:t>Weighted-Average Interest Rate as of</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billions)</w:t>
            </w:r>
          </w:p>
        </w:tc>
        <w:tc>
          <w:tcPr>
            <w:tcW w:w="20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of December 31, 2023</w:t>
            </w:r>
          </w:p>
        </w:tc>
        <w:tc>
          <w:tcPr>
            <w:tcW w:w="2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color w:val="auto"/>
              </w:rPr>
              <w:t>December 31, 2022</w:t>
            </w: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r>
              <w:rPr>
                <w:rFonts w:ascii="Times New Roman" w:cs="Times New Roman" w:eastAsia="Times New Roman" w:hAnsi="Times New Roman"/>
                <w:sz w:val="14"/>
                <w:szCs w:val="14"/>
                <w:b w:val="1"/>
                <w:bCs w:val="1"/>
                <w:color w:val="auto"/>
                <w:vertAlign w:val="superscript"/>
              </w:rPr>
              <w:t>(b)</w:t>
            </w:r>
          </w:p>
        </w:tc>
        <w:tc>
          <w:tcPr>
            <w:tcW w:w="4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r>
              <w:rPr>
                <w:rFonts w:ascii="Times New Roman" w:cs="Times New Roman" w:eastAsia="Times New Roman" w:hAnsi="Times New Roman"/>
                <w:sz w:val="14"/>
                <w:szCs w:val="14"/>
                <w:color w:val="auto"/>
                <w:vertAlign w:val="superscript"/>
              </w:rPr>
              <w:t>(b)</w:t>
            </w:r>
          </w:p>
        </w:tc>
        <w:tc>
          <w:tcPr>
            <w:tcW w:w="0" w:type="dxa"/>
            <w:vAlign w:val="bottom"/>
          </w:tcPr>
          <w:p>
            <w:pPr>
              <w:spacing w:after="0"/>
              <w:rPr>
                <w:sz w:val="1"/>
                <w:szCs w:val="1"/>
                <w:color w:val="auto"/>
              </w:rPr>
            </w:pPr>
          </w:p>
        </w:tc>
      </w:tr>
      <w:tr>
        <w:trPr>
          <w:trHeight w:val="17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0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4.6 %</w:t>
            </w:r>
          </w:p>
        </w:tc>
        <w:tc>
          <w:tcPr>
            <w:tcW w:w="5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loans</w:t>
            </w:r>
          </w:p>
        </w:tc>
        <w:tc>
          <w:tcPr>
            <w:tcW w:w="20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3.2 %</w:t>
            </w:r>
          </w:p>
        </w:tc>
        <w:tc>
          <w:tcPr>
            <w:tcW w:w="202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4.4 %</w:t>
            </w:r>
          </w:p>
        </w:tc>
        <w:tc>
          <w:tcPr>
            <w:tcW w:w="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with maturities of 5 years or less, at face value</w:t>
            </w:r>
          </w:p>
        </w:tc>
        <w:tc>
          <w:tcPr>
            <w:tcW w:w="20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3.5 %</w:t>
            </w:r>
          </w:p>
        </w:tc>
        <w:tc>
          <w:tcPr>
            <w:tcW w:w="20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3.3 %</w:t>
            </w: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w:t>
            </w: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with maturities between 5 and 10 years, at face value</w:t>
            </w:r>
          </w:p>
        </w:tc>
        <w:tc>
          <w:tcPr>
            <w:tcW w:w="20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3.3 %</w:t>
            </w:r>
          </w:p>
        </w:tc>
        <w:tc>
          <w:tcPr>
            <w:tcW w:w="202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3.2 %</w:t>
            </w:r>
          </w:p>
        </w:tc>
        <w:tc>
          <w:tcPr>
            <w:tcW w:w="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18.8</w:t>
            </w: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with maturities greater than 10 years, at face value</w:t>
            </w:r>
          </w:p>
        </w:tc>
        <w:tc>
          <w:tcPr>
            <w:tcW w:w="20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3.8 %</w:t>
            </w:r>
          </w:p>
        </w:tc>
        <w:tc>
          <w:tcPr>
            <w:tcW w:w="20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3.8 %</w:t>
            </w: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53.4</w:t>
            </w: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obligations and other</w:t>
            </w:r>
          </w:p>
        </w:tc>
        <w:tc>
          <w:tcPr>
            <w:tcW w:w="20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38"/>
        </w:trPr>
        <w:tc>
          <w:tcPr>
            <w:tcW w:w="47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Debt issuance costs, premiums, discounts, fair value adjustments for acquisition</w:t>
            </w:r>
          </w:p>
        </w:tc>
        <w:tc>
          <w:tcPr>
            <w:tcW w:w="206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accounting and hedged positions, net</w:t>
            </w:r>
          </w:p>
        </w:tc>
        <w:tc>
          <w:tcPr>
            <w:tcW w:w="206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7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060" w:type="dxa"/>
            <w:vAlign w:val="bottom"/>
          </w:tcPr>
          <w:p>
            <w:pPr>
              <w:jc w:val="right"/>
              <w:ind w:right="33"/>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4.0 % </w:t>
            </w:r>
            <w:r>
              <w:rPr>
                <w:rFonts w:ascii="Times New Roman" w:cs="Times New Roman" w:eastAsia="Times New Roman" w:hAnsi="Times New Roman"/>
                <w:sz w:val="16"/>
                <w:szCs w:val="16"/>
                <w:color w:val="auto"/>
                <w:vertAlign w:val="superscript"/>
              </w:rPr>
              <w:t>(a)</w:t>
            </w:r>
          </w:p>
        </w:tc>
        <w:tc>
          <w:tcPr>
            <w:tcW w:w="2020" w:type="dxa"/>
            <w:vAlign w:val="bottom"/>
          </w:tcPr>
          <w:p>
            <w:pPr>
              <w:jc w:val="right"/>
              <w:ind w:right="33"/>
              <w:spacing w:after="0" w:line="171" w:lineRule="exact"/>
              <w:rPr>
                <w:sz w:val="20"/>
                <w:szCs w:val="20"/>
                <w:color w:val="auto"/>
              </w:rPr>
            </w:pPr>
            <w:r>
              <w:rPr>
                <w:rFonts w:ascii="Times New Roman" w:cs="Times New Roman" w:eastAsia="Times New Roman" w:hAnsi="Times New Roman"/>
                <w:sz w:val="14"/>
                <w:szCs w:val="14"/>
                <w:color w:val="auto"/>
              </w:rPr>
              <w:t xml:space="preserve">3.9 % </w:t>
            </w:r>
            <w:r>
              <w:rPr>
                <w:rFonts w:ascii="Times New Roman" w:cs="Times New Roman" w:eastAsia="Times New Roman" w:hAnsi="Times New Roman"/>
                <w:sz w:val="16"/>
                <w:szCs w:val="16"/>
                <w:color w:val="auto"/>
                <w:vertAlign w:val="superscript"/>
              </w:rPr>
              <w:t>(a)</w:t>
            </w:r>
          </w:p>
        </w:tc>
        <w:tc>
          <w:tcPr>
            <w:tcW w:w="5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97.1</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0" w:type="dxa"/>
            <w:vAlign w:val="bottom"/>
          </w:tcPr>
          <w:p>
            <w:pPr>
              <w:spacing w:after="0"/>
              <w:rPr>
                <w:sz w:val="1"/>
                <w:szCs w:val="1"/>
                <w:color w:val="auto"/>
              </w:rPr>
            </w:pPr>
          </w:p>
        </w:tc>
      </w:tr>
      <w:tr>
        <w:trPr>
          <w:trHeight w:val="18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206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060" w:type="dxa"/>
            <w:vAlign w:val="bottom"/>
            <w:tcBorders>
              <w:bottom w:val="single" w:sz="8" w:color="0C6DFF"/>
            </w:tcBorders>
          </w:tcPr>
          <w:p>
            <w:pPr>
              <w:spacing w:after="0"/>
              <w:rPr>
                <w:sz w:val="14"/>
                <w:szCs w:val="14"/>
                <w:color w:val="auto"/>
              </w:rPr>
            </w:pPr>
          </w:p>
        </w:tc>
        <w:tc>
          <w:tcPr>
            <w:tcW w:w="2020" w:type="dxa"/>
            <w:vAlign w:val="bottom"/>
            <w:tcBorders>
              <w:bottom w:val="single" w:sz="8" w:color="0C6DFF"/>
            </w:tcBorders>
          </w:tcPr>
          <w:p>
            <w:pPr>
              <w:spacing w:after="0"/>
              <w:rPr>
                <w:sz w:val="14"/>
                <w:szCs w:val="14"/>
                <w:color w:val="auto"/>
              </w:rPr>
            </w:pPr>
          </w:p>
        </w:tc>
        <w:tc>
          <w:tcPr>
            <w:tcW w:w="580" w:type="dxa"/>
            <w:vAlign w:val="bottom"/>
            <w:tcBorders>
              <w:bottom w:val="single" w:sz="8" w:color="0C6DFF"/>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95.0</w:t>
            </w:r>
          </w:p>
        </w:tc>
        <w:tc>
          <w:tcPr>
            <w:tcW w:w="480" w:type="dxa"/>
            <w:vAlign w:val="bottom"/>
            <w:tcBorders>
              <w:bottom w:val="single" w:sz="8" w:color="0C6DFF"/>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00" w:hanging="195"/>
        <w:spacing w:after="0" w:line="300" w:lineRule="auto"/>
        <w:tabs>
          <w:tab w:leader="none" w:pos="198"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Rate represents an effective interest rate and includes the effects of amortization of debt issuance costs, premiums, discounts, fair value adjustments for acquisition accounting and hedged positions, as well as the effects of our derivative financial instruments.</w:t>
      </w:r>
    </w:p>
    <w:p>
      <w:pPr>
        <w:spacing w:after="0" w:line="44" w:lineRule="exact"/>
        <w:rPr>
          <w:rFonts w:ascii="Times New Roman" w:cs="Times New Roman" w:eastAsia="Times New Roman" w:hAnsi="Times New Roman"/>
          <w:sz w:val="11"/>
          <w:szCs w:val="11"/>
          <w:color w:val="auto"/>
        </w:rPr>
      </w:pPr>
    </w:p>
    <w:p>
      <w:pPr>
        <w:ind w:left="200" w:hanging="195"/>
        <w:spacing w:after="0" w:line="300" w:lineRule="auto"/>
        <w:tabs>
          <w:tab w:leader="none" w:pos="194"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2023, included in our outstanding debt were foreign currency denominated senior notes and term loans with principal amounts of £2.6 billion, €6.7 billion and ¥22.1 billion RMB. As of December 31, 2022, included in our outstanding debt were foreign currency denominated senior notes and term loans with principal amounts of £2.6 billion, €7.5 billion and ¥21.6 billion RMB.</w:t>
      </w:r>
    </w:p>
    <w:p>
      <w:pPr>
        <w:spacing w:after="0" w:line="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senior notes are unsubordinated and unsecured obligations and are subject to parent and/or subsidiary guarantees. As of December 31, 2023 and 2022, substantially all of our debt obligations were fixed-rate debt and our debt had an estimated fair value of $92.2 billion and $86.9 billion, respectively.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Principal Maturities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1454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(in billions)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940" w:type="dxa"/>
            <w:vAlign w:val="bottom"/>
            <w:tcBorders>
              <w:top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94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5"/>
                <w:szCs w:val="15"/>
                <w:color w:val="auto"/>
              </w:rPr>
            </w:pP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9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94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9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5"/>
                <w:szCs w:val="15"/>
                <w:color w:val="auto"/>
              </w:rPr>
            </w:pPr>
          </w:p>
        </w:tc>
      </w:tr>
      <w:tr>
        <w:trPr>
          <w:trHeight w:val="180"/>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80" w:type="dxa"/>
            <w:vAlign w:val="bottom"/>
          </w:tcPr>
          <w:p>
            <w:pPr>
              <w:spacing w:after="0"/>
              <w:rPr>
                <w:sz w:val="15"/>
                <w:szCs w:val="15"/>
                <w:color w:val="auto"/>
              </w:rPr>
            </w:pPr>
          </w:p>
        </w:tc>
      </w:tr>
      <w:tr>
        <w:trPr>
          <w:trHeight w:val="523"/>
        </w:trPr>
        <w:tc>
          <w:tcPr>
            <w:tcW w:w="7440" w:type="dxa"/>
            <w:vAlign w:val="bottom"/>
          </w:tcPr>
          <w:p>
            <w:pPr>
              <w:ind w:left="5560"/>
              <w:spacing w:after="0"/>
              <w:rPr>
                <w:sz w:val="20"/>
                <w:szCs w:val="20"/>
                <w:color w:val="auto"/>
              </w:rPr>
            </w:pPr>
            <w:r>
              <w:rPr>
                <w:rFonts w:ascii="Times New Roman" w:cs="Times New Roman" w:eastAsia="Times New Roman" w:hAnsi="Times New Roman"/>
                <w:sz w:val="11"/>
                <w:szCs w:val="11"/>
                <w:b w:val="1"/>
                <w:bCs w:val="1"/>
                <w:color w:val="auto"/>
              </w:rPr>
              <w:t>79</w:t>
            </w:r>
          </w:p>
        </w:tc>
        <w:tc>
          <w:tcPr>
            <w:tcW w:w="3840" w:type="dxa"/>
            <w:vAlign w:val="bottom"/>
            <w:gridSpan w:val="3"/>
          </w:tcPr>
          <w:p>
            <w:pPr>
              <w:ind w:left="1760"/>
              <w:spacing w:after="0"/>
              <w:rPr>
                <w:sz w:val="20"/>
                <w:szCs w:val="20"/>
                <w:color w:val="auto"/>
              </w:rPr>
            </w:pPr>
            <w:r>
              <w:rPr>
                <w:rFonts w:ascii="Times New Roman" w:cs="Times New Roman" w:eastAsia="Times New Roman" w:hAnsi="Times New Roman"/>
                <w:sz w:val="11"/>
                <w:szCs w:val="11"/>
                <w:color w:val="auto"/>
              </w:rPr>
              <w:t>Comcast 2023 Annual Report on Form 10-K</w:t>
            </w:r>
          </w:p>
        </w:tc>
      </w:tr>
      <w:tr>
        <w:trPr>
          <w:trHeight w:val="254"/>
        </w:trPr>
        <w:tc>
          <w:tcPr>
            <w:tcW w:w="7440" w:type="dxa"/>
            <w:vAlign w:val="bottom"/>
            <w:tcBorders>
              <w:bottom w:val="single" w:sz="8" w:color="9A9A9A"/>
            </w:tcBorders>
          </w:tcPr>
          <w:p>
            <w:pPr>
              <w:spacing w:after="0"/>
              <w:rPr>
                <w:sz w:val="22"/>
                <w:szCs w:val="22"/>
                <w:color w:val="auto"/>
              </w:rPr>
            </w:pPr>
          </w:p>
        </w:tc>
        <w:tc>
          <w:tcPr>
            <w:tcW w:w="2940" w:type="dxa"/>
            <w:vAlign w:val="bottom"/>
            <w:tcBorders>
              <w:bottom w:val="single" w:sz="8" w:color="9A9A9A"/>
            </w:tcBorders>
          </w:tcPr>
          <w:p>
            <w:pPr>
              <w:spacing w:after="0"/>
              <w:rPr>
                <w:sz w:val="22"/>
                <w:szCs w:val="22"/>
                <w:color w:val="auto"/>
              </w:rPr>
            </w:pPr>
          </w:p>
        </w:tc>
        <w:tc>
          <w:tcPr>
            <w:tcW w:w="8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use derivative contracts, such as foreign currency forwards and cross-currency swaps, to hedge our exposure to foreign exchange rate fluctuations resulting from certain foreign currency denominated debt obligations and intercompany funding arrangements denominated in a currency other than the functional currency of the transacting entity. As of December 31, 2023 and 2022, we had foreign currency forwards designated as fair value hedges on $2.0 billion and $5.4 billion of our foreign currency intercompany loans receivable, respectively, and the aggregate estimated fair value of these foreign currency forwards was a net liability of $15 million and $56 million, respectively. As of December 31, 2023 and 2022, we had cross-currency swaps designated as cash flow hedges on $797 million and $752 million of our foreign currency denominated debt, respectively, and the aggregate estimated fair value of these cross-currency swaps was a net liability of $211 million and $274 million, respectively. The other income (loss), net component of investment and other income (loss), net included net pre-tax gains (losses) from these derivative contracts of $0.3 billion, $0.6 billion, and $0.3 billion in 2023, 2022 and 2021, respectively. These amounts offset foreign currency remeasurement (losses) gains from foreign currency denominated debt obligations and intercompany funding arrangements denominated in a currency other than the functional currency of the transacting entity $(0.2) billion, $(0.6) billion and $(0.3) billion in 2023, 2022 and 2021, respectively.</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also exposed to foreign exchange risk on the consolidation of our foreign operations. We have foreign currency denominated debt and cross-currency swaps designated as hedges of our net investments in certain of these subsidiaries. As of December 31, 2023 and 2022, the amount of foreign currency denominated debt designated as hedges of our net investment in foreign subsidiaries was $7.4 billion and $7.6 billion, respectively, and the notional amount of cross-currency swaps designated as hedges of our net investment in foreign subsidiaries was $2.8 billion and $2.5 billion, respectively. As of December 31, 2023 and 2022, the aggregate estimated fair value of these cross-currency swaps was a net liability of $3 million and a net asset of $108 million, respectively. The amount of pre-tax gains (losses) related to net investment hedges recognized in the cumulative translation adjustments component of other comprehensive income (loss) were gains of $316 million in 2023, losses of $397 million in 2022 and gains of $760 million in 2021.</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use derivative contracts, such as interest rate swaps, to hedge our exposure to changes in interest rates. As of December 31, 2023 and 2022, we had fixed-to-variable interest rate swaps designated as fair value hedges on $2.5 billion of our fixed rate debt obligations. As of December 31, 2023 and 2022, the aggregate estimated fair value of interest rate swaps designated as fair value hedges was a net liability of $214 million and $282 million,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006EBF"/>
        </w:rPr>
        <w:t>Revolving Credit Facility and Commercial Paper Program</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March 2021, we entered into a new $11 billion revolving credit facility, as it may be amended from time to time, due March 30, 2026 with a syndicate of banks that may be used for general corporate purposes. We may increase the commitments under the revolving credit facility up to a total of $14 billion, as well as extend the expiration date to no later than March 30, 2028, subject to approval of the lenders. The interest rate on the revolving credit facility consists of a benchmark rate plus a borrowing margin that is determined based on Comcast’s credit rating. As of December 31, 2023, the borrowing margin for borrowings based on an Adjusted Term Secured Overnight Financing Rate was 1.00%. Our revolving credit facility requires that we maintain a certain financial ratio based on debt and EBITDA, as defined in the revolving credit facility. We were in compliance with this financial covenant and other covenants related to our debt for all periods presented. The new revolving credit facility replaced an aggregate $9.2 billion of existing revolving credit facilities due May 26, 2022, which were terminated.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commercial paper program is supported by our revolving credit facility and provides a lower cost source of borrowing to fund short-term working capital requirements.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were no borrowings outstanding under our commercial paper program as of December 31, 2023. As of December 31, 2022, $665 million was outstanding under our commercial paper program. As of December 31, 2023 and 2022, we had no borrowings outstanding under our revolving credit facility. As of December 31, 2023, amounts available under our revolving credit facility, net of amounts outstanding under our commercial paper program and outstanding letters of credit and bank guarantees, totaled $11.0 billion.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006EBF"/>
        </w:rPr>
        <w:t>Letters of Credit and Bank Guarantees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we and certain of our subsidiaries had undrawn irrevocable standby letters of credit and bank guarantees totaling $217 million to cover potential fundings under various agreements.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80</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7: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006EBF"/>
        </w:rPr>
        <w:t>Acquisitions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2021, we acquired Masergy, a provider of software-defined networking and cloud platforms for global enterprises, for total cash consideration of $1.2 billion. The acquisition accelerates our growth in serving large and mid-sized companies, particularly U.S.-based organizations with multi-site global enterprises. Masergy’s results of operations are included in our consolidated results of operations since the acquisition date and are reported in our Business Services Connectivity segment. We recorded Masergy’s assets and liabilities at their estimated fair values with $853 million recorded to goodwill and the remainder primarily attributed to software and customer relationship intangible assets. The acquisition was not material to our consolidated results of operations.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8: Investments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Investment and Other Income (Loss), Net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2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color w:val="auto"/>
              </w:rPr>
              <w:t>2022</w:t>
            </w:r>
          </w:p>
        </w:tc>
        <w:tc>
          <w:tcPr>
            <w:tcW w:w="6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7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net income (losses) of investees, net</w:t>
            </w:r>
          </w:p>
        </w:tc>
        <w:tc>
          <w:tcPr>
            <w:tcW w:w="21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789</w:t>
            </w:r>
          </w:p>
        </w:tc>
        <w:tc>
          <w:tcPr>
            <w:tcW w:w="6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(537)</w:t>
            </w:r>
          </w:p>
        </w:tc>
        <w:tc>
          <w:tcPr>
            <w:tcW w:w="6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and unrealized gains (losses) on equity securities, net</w:t>
            </w:r>
          </w:p>
        </w:tc>
        <w:tc>
          <w:tcPr>
            <w:tcW w:w="21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(130)</w:t>
            </w:r>
          </w:p>
        </w:tc>
        <w:tc>
          <w:tcPr>
            <w:tcW w:w="68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(320)</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8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(loss), net</w:t>
            </w:r>
          </w:p>
        </w:tc>
        <w:tc>
          <w:tcPr>
            <w:tcW w:w="2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592</w:t>
            </w:r>
          </w:p>
        </w:tc>
        <w:tc>
          <w:tcPr>
            <w:tcW w:w="6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171"/>
        </w:trPr>
        <w:tc>
          <w:tcPr>
            <w:tcW w:w="508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color w:val="auto"/>
              </w:rPr>
              <w:t>Investment and other income (loss), net</w:t>
            </w:r>
          </w:p>
        </w:tc>
        <w:tc>
          <w:tcPr>
            <w:tcW w:w="2100" w:type="dxa"/>
            <w:vAlign w:val="bottom"/>
            <w:tcBorders>
              <w:bottom w:val="single" w:sz="8" w:color="0C6DFF"/>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C6DFF"/>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1,252</w:t>
            </w:r>
          </w:p>
        </w:tc>
        <w:tc>
          <w:tcPr>
            <w:tcW w:w="680" w:type="dxa"/>
            <w:vAlign w:val="bottom"/>
            <w:tcBorders>
              <w:bottom w:val="single" w:sz="8" w:color="0C6DFF"/>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0C6DFF"/>
            </w:tcBorders>
          </w:tcPr>
          <w:p>
            <w:pPr>
              <w:jc w:val="right"/>
              <w:ind w:right="52"/>
              <w:spacing w:after="0"/>
              <w:rPr>
                <w:sz w:val="20"/>
                <w:szCs w:val="20"/>
                <w:color w:val="auto"/>
              </w:rPr>
            </w:pPr>
            <w:r>
              <w:rPr>
                <w:rFonts w:ascii="Times New Roman" w:cs="Times New Roman" w:eastAsia="Times New Roman" w:hAnsi="Times New Roman"/>
                <w:sz w:val="14"/>
                <w:szCs w:val="14"/>
                <w:color w:val="auto"/>
              </w:rPr>
              <w:t>(861)</w:t>
            </w:r>
          </w:p>
        </w:tc>
        <w:tc>
          <w:tcPr>
            <w:tcW w:w="660" w:type="dxa"/>
            <w:vAlign w:val="bottom"/>
            <w:tcBorders>
              <w:bottom w:val="single" w:sz="8" w:color="0C6DFF"/>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2,557</w:t>
            </w:r>
          </w:p>
        </w:tc>
      </w:tr>
    </w:tbl>
    <w:p>
      <w:pPr>
        <w:spacing w:after="0" w:line="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amount of unrealized gains (losses), net recognized in 2023, 2022 and 2021 that related to marketable and nonmarketable equity securities still held as of the end of each reporting period was $(140) million, $(394) million and $(80) million, respectively.</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Investments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millions)</w:t>
            </w:r>
          </w:p>
        </w:tc>
        <w:tc>
          <w:tcPr>
            <w:tcW w:w="37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7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method</w:t>
            </w:r>
          </w:p>
        </w:tc>
        <w:tc>
          <w:tcPr>
            <w:tcW w:w="37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7,615</w:t>
            </w:r>
          </w:p>
        </w:tc>
        <w:tc>
          <w:tcPr>
            <w:tcW w:w="6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w:t>
            </w: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equity securities</w:t>
            </w:r>
          </w:p>
        </w:tc>
        <w:tc>
          <w:tcPr>
            <w:tcW w:w="376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39</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Nonmarketable equity securities</w:t>
            </w:r>
          </w:p>
        </w:tc>
        <w:tc>
          <w:tcPr>
            <w:tcW w:w="37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1,482</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r>
      <w:tr>
        <w:trPr>
          <w:trHeight w:val="18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3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559</w:t>
            </w: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w:t>
            </w:r>
          </w:p>
        </w:tc>
      </w:tr>
      <w:tr>
        <w:trPr>
          <w:trHeight w:val="17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7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9,694</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8,142</w:t>
            </w:r>
          </w:p>
        </w:tc>
      </w:tr>
      <w:tr>
        <w:trPr>
          <w:trHeight w:val="18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Current investments</w:t>
            </w:r>
          </w:p>
        </w:tc>
        <w:tc>
          <w:tcPr>
            <w:tcW w:w="3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310</w:t>
            </w: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171"/>
        </w:trPr>
        <w:tc>
          <w:tcPr>
            <w:tcW w:w="50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investments</w:t>
            </w:r>
          </w:p>
        </w:tc>
        <w:tc>
          <w:tcPr>
            <w:tcW w:w="3760" w:type="dxa"/>
            <w:vAlign w:val="bottom"/>
            <w:tcBorders>
              <w:bottom w:val="single" w:sz="8" w:color="0C6D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C6D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9,385</w:t>
            </w:r>
          </w:p>
        </w:tc>
        <w:tc>
          <w:tcPr>
            <w:tcW w:w="660" w:type="dxa"/>
            <w:vAlign w:val="bottom"/>
            <w:tcBorders>
              <w:bottom w:val="single" w:sz="8" w:color="0C6D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7,740</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Method</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use the equity method to account for investments in which we have the ability to exercise significant influence over the investee’s operating and financial policies, or in which we hold a partnership or limited liability company interest in an entity with specific ownership accounts, unless we have virtually no influence over the investee’s operating and financial policies. Equity method investments are recorded at cost and are adjusted to recognize (1) our share, based on percentage ownership or other contractual basis, of the investee’s net income or loss after the date of investment, (2) amortization of the recorded investment that exceeds our share of the book value of the investee’s net assets, (3) additional contributions made and dividends or other distributions received, and (4) 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(loss), net. If an equity method investee were to issue additional securities that would change our proportionate share of the entity, we would recognize the change, if any, as a gain or loss to other income (loss), net. Cash distributions received from equity method investments are considered returns on investment and are presented within operating activities in the consolidated statements of cash flows to the extent of cumulative equity in net income of the investee. Additional distributions are presented as investing activities. Distributions presented within operating activities totaled $217 million, $162 million and $1.1 billion in 2023, 2022 and 2021,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006EBF"/>
        </w:rPr>
        <w:t>Atairos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1, 2016, we established Atairos Group, Inc., a strategic company focused on investing in and operating companies in a range of industries and business sectors, both domestically and internationally. Atairos is controlled by management companies led by our former CFO through interests that carry all of the voting rights. We are the only third-party investor in Atairos.</w:t>
      </w:r>
    </w:p>
    <w:p>
      <w:pPr>
        <w:spacing w:after="0" w:line="364"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81</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November 2020, we amended our agreement with Atairos, which primarily extended the investment term of the agreement from up to 12 years to up to 16.5 years, extended the period in which capital can be recycled to the full investment period and decreased our commitment to fund Atairos from up to $5 billion to up to $4.5 billion in the aggregate at any one time, subject to certain offsets, with the maximum amount of annual capital calls reduced to $400 million, plus certain amounts previously distributed. In addition, we have separately committed to fund Atairos $40 million annually for a management fee, subject to certain adjustments. The management company investors have committed to fund from $50 million to $100 million, with at least $40 million to be funded by our former CFO, subject to his continued role with Atairos. Our economic interests do not carry voting rights and obligate us to absorb approximately 99% of any losses and they provide us the right to receive approximately 86% of any residual returns in Atairos, in either case on a cumulative basis.</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concluded that Atairos is a VIE, that we do not have the power to direct the activities that most significantly impact the economic performance of Atairos as we have no voting rights and only certain consent rights, and that we are not a related party with our former CFO or the management companies. We therefore do not consolidate Atairos and account for our investment as an equity method investment. Certain distributions retained by Atairos on our behalf are accounted for as advances and classified within other investments. Atairos may pledge our remaining unfunded capital commitment as security to lenders in connection with certain financing arrangements. This has no effect on our funding commitments. There are no other liquidity arrangements, guarantees or other financial commitments between Comcast and Atairos, and therefore our maximum risk of financial loss is our investment balance and our remaining unfunded capital commitment of $1.4 billion as of December 31, 2023.</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In 2023, 2022 and 2021, we made cash capital contributions totaling $145 million, $52 million and $47 million, respectively, to Atairos. As of December 31, 2023 and 2022, our investment, inclusive of advances classified within other investments, was $5.5 billion and $4.3 billion,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006EBF"/>
        </w:rPr>
        <w:t>Hulu and Collateralized Obligation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2019, we entered into a series of agreements with The Walt Disney Company and certain of its subsidiaries, whereby we relinquished our board seats and substantially all voting rights associated with our investment in Hulu, and Disney assumed full operational control. Concurrent with these agreements, we also acquired additional ownership interest in Hulu previously held by AT&amp;T. Following these transactions, our interest was approximately 33% and we had the right, but not the obligation, to fund our proportionate share of future equity capital calls. The agreements included put and call provisions regarding our ownership interest in Hulu, pursuant to which, as early as January 2024, we could require Disney to buy, and Disney could require us to sell our interest, in either case, for fair value at that future time subject to a minimum equity value of $27.5 billion for 100% of the equity of Hulu. In the third quarter of 2023, we amended these agreements and agreed, among other things, that the put/call provisions regarding our interest could be exercised in November 2023 (in addition to subsequent periods) and that we would fund our share of prior equity capital calls if the put/call was exercised in November 2023.</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November 2023, we exercised our put right requiring Disney to purchase our interest in Hulu. As a result, in the fourth quarter of 2023, Disney paid us $8.6 billion, representing $9.2 billion for our share of Hulu’s minimum equity value, less $557 million for our share of prior capital calls. Additional proceeds for any excess of the fair value of our interest over the $9.2 billion minimum equity value will be due following final determination of Hulu’s fair value pursuant to a third-party appraisal process. In connection with the transaction, Disney also agreed to share with us 50% of the future tax benefits resulting from the purchase of our interest in Hulu. Because we continue to hold our interest in Hulu, the $9.2 billion payment from Disney is treated as an advance on the sale of our interest, which will be recognized following the finalization of the appraisal process. The receipt of the minimum proceeds resulted in a tax gain in 2023. The recorded value of our investment in Hulu of $863 million and $490 million as of December 31, 2023 and 2022, respectively, continues to reflect our historical cost in applying the equity method, and therefore, is less than its fair value.</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2019, we entered into a financing arrangement with a syndicate of banks whereby we received proceeds of $5.2 billion under a term loan facility, which was fully collateralized by the minimum guaranteed proceeds of the put/call option related to our investment in Hulu. The term loan was due at the earlier of March 2024 or upon receipt of the proceeds under the put/call provisions and was repaid in the fourth quarter of 2023.</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present the advance on the sale of our investment and the term loan separately in our consolidated balance sheets in the captions “advance on sale of investment” and “collateralized obligation,” respectively.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82</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Marketable Equity Securities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classify investments with readily determinable fair values that are not accounted for under the equity method as marketable equity securities and the carrying values are primarily presented in other current assets. The changes in fair value of our marketable equity securities between measurement dates are recorded in realized and unrealized gains (losses) on equity securities, net. The fair values of our marketable equity securities are based on Level 1 inputs that use quoted market prices.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Nonmarketable Equity Securities</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generally apply the measurement alternative, adjusting the investments for observable price changes of identical or similar investments of the same issuer, to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Investments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Other investments also includes investments in certain short-term instruments with maturities over three months when purchased, such as commercial paper, certificates of deposit and U.S government obligations, that are generally accounted for at amortized cost. These short-term instruments totaled $254 million and $304 million as of December 31, 2023 and 2022, respectively. The carrying amounts of these investments approximate their fair values, which are primarily based on Level 2 inputs that use interest rates for instruments with similar terms and remaining maturities. Proceeds from short-term instruments in 2023 and 2022 were $560 million and $1.6 billion, respectively. Purchases of short-term instruments in 2023 and 2022 were $506 million and $1.8 billion, respectively. There were no proceeds from or purchases of short-term instruments in 2021.</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Testing of Investments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review our investment portfolio, other than our 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 fair value of the investment, then the fair value is not estimated. For our equity method investments, if an investment is deemed to have experienced an other-than-temporary decline below its cost basis, we reduce the carrying amount of the investment to its quoted or estimated fair value, as applicable, and establish a new cost basis for the investment. For our nonmarketable equity securities, we record the impairment to realized and unrealized gains (losses) on equity securities, net. For our equity method investments, we record the impairment to other income (loss), net.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Variable Interest Entity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006EBF"/>
        </w:rPr>
        <w:t>Universal Beijing Resort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2018, we entered into an agreement with a consortium of Chinese state-owned companies to build and operate a Universal theme park and resort in Beijing, China (“Universal Beijing Resort”), which opened in September 2021. We own a 30% interest in Universal Beijing Resort and the construction was funded through a combination of debt financing and equity contributions from the partners in accordance with their equity interests. The debt financing, which is being provided by a syndicate of Chinese financial institutions, contains certain covenants and a maximum borrowing limit of ¥29.7 billion RMB (approximately $4.2 billion). The debt financing is secured by the assets of Universal Beijing Resort and the equity interests of the investors. As of December 31, 2023, Universal Beijing Resort had $3.5 billion of debt outstanding, including $3.1 billion principal amount of a term loan outstanding under the debt financing agreement.</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concluded that Universal Beijing Resort is a VIE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consolidated statements of cash flows includes the costs of construction and related borrowings in the “construction of Universal Beijing Resort” and “proceeds from borrowings” captions, respectively, and equity contributions from the noncontrolling interests are included in other financing activities.</w:t>
      </w:r>
    </w:p>
    <w:p>
      <w:pPr>
        <w:spacing w:after="0" w:line="393"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83</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161925</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our consolidated balance sheets included assets and liabilities of Universal Beijing Resort totaling $7.8 billion and $7.2 billion, respectively. The assets and liabilities of Universal Beijing Resort primarily consist of property and equipment, operating lease assets and liabilities, and debt.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9: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740" w:type="dxa"/>
            <w:vAlign w:val="bottom"/>
          </w:tcPr>
          <w:p>
            <w:pPr>
              <w:spacing w:after="0"/>
              <w:rPr>
                <w:sz w:val="12"/>
                <w:szCs w:val="1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Weighted-Average</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5740" w:type="dxa"/>
            <w:vAlign w:val="bottom"/>
          </w:tcPr>
          <w:p>
            <w:pPr>
              <w:spacing w:after="0"/>
              <w:rPr>
                <w:sz w:val="12"/>
                <w:szCs w:val="1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Original Useful Life</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9"/>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billions)</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as of December 31, 2023</w:t>
            </w: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systems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years</w:t>
            </w:r>
          </w:p>
        </w:tc>
        <w:tc>
          <w:tcPr>
            <w:tcW w:w="72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45.7</w:t>
            </w:r>
          </w:p>
        </w:tc>
        <w:tc>
          <w:tcPr>
            <w:tcW w:w="6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premise equipment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years</w:t>
            </w:r>
          </w:p>
        </w:tc>
        <w:tc>
          <w:tcPr>
            <w:tcW w:w="72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25.0</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Buildings, theme park infrastructure and leasehold improvements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years</w:t>
            </w: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20.9</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equipment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years</w:t>
            </w:r>
          </w:p>
        </w:tc>
        <w:tc>
          <w:tcPr>
            <w:tcW w:w="72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17.5</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7.1</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2.2</w:t>
            </w: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2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118.4</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r>
      <w:tr>
        <w:trPr>
          <w:trHeight w:val="18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58.7</w:t>
            </w: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71"/>
        </w:trPr>
        <w:tc>
          <w:tcPr>
            <w:tcW w:w="57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340" w:type="dxa"/>
            <w:vAlign w:val="bottom"/>
            <w:tcBorders>
              <w:bottom w:val="single" w:sz="8" w:color="0C6DFF"/>
            </w:tcBorders>
            <w:shd w:val="clear" w:color="auto" w:fill="CCEEFF"/>
          </w:tcPr>
          <w:p>
            <w:pPr>
              <w:spacing w:after="0"/>
              <w:rPr>
                <w:sz w:val="14"/>
                <w:szCs w:val="14"/>
                <w:color w:val="auto"/>
              </w:rPr>
            </w:pPr>
          </w:p>
        </w:tc>
        <w:tc>
          <w:tcPr>
            <w:tcW w:w="720" w:type="dxa"/>
            <w:vAlign w:val="bottom"/>
            <w:tcBorders>
              <w:bottom w:val="single" w:sz="8" w:color="0C6D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C6D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59.7</w:t>
            </w:r>
          </w:p>
        </w:tc>
        <w:tc>
          <w:tcPr>
            <w:tcW w:w="660" w:type="dxa"/>
            <w:vAlign w:val="bottom"/>
            <w:tcBorders>
              <w:bottom w:val="single" w:sz="8" w:color="0C6D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330"/>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The table below summarizes our property and equipment by geographic location.</w:t>
            </w: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8"/>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billions)</w:t>
            </w:r>
          </w:p>
        </w:tc>
        <w:tc>
          <w:tcPr>
            <w:tcW w:w="2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48.7</w:t>
            </w:r>
          </w:p>
        </w:tc>
        <w:tc>
          <w:tcPr>
            <w:tcW w:w="6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r>
      <w:tr>
        <w:trPr>
          <w:trHeight w:val="18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11.0</w:t>
            </w: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71"/>
        </w:trPr>
        <w:tc>
          <w:tcPr>
            <w:tcW w:w="57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2340" w:type="dxa"/>
            <w:vAlign w:val="bottom"/>
            <w:tcBorders>
              <w:bottom w:val="single" w:sz="8" w:color="0C6DFF"/>
            </w:tcBorders>
            <w:shd w:val="clear" w:color="auto" w:fill="CCEEFF"/>
          </w:tcPr>
          <w:p>
            <w:pPr>
              <w:spacing w:after="0"/>
              <w:rPr>
                <w:sz w:val="14"/>
                <w:szCs w:val="14"/>
                <w:color w:val="auto"/>
              </w:rPr>
            </w:pPr>
          </w:p>
        </w:tc>
        <w:tc>
          <w:tcPr>
            <w:tcW w:w="720" w:type="dxa"/>
            <w:vAlign w:val="bottom"/>
            <w:tcBorders>
              <w:bottom w:val="single" w:sz="8" w:color="0C6D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C6D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59.7</w:t>
            </w:r>
          </w:p>
        </w:tc>
        <w:tc>
          <w:tcPr>
            <w:tcW w:w="660" w:type="dxa"/>
            <w:vAlign w:val="bottom"/>
            <w:tcBorders>
              <w:bottom w:val="single" w:sz="8" w:color="0C6D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r>
    </w:tbl>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 Capital expenditures for the construction of Universal Beijing Resort are presented separately in our consolidated statements of cash flows.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Connectivity &amp; Platforms capitalizes the costs associated with the construction of and improvements to our HFC network, including scalable infrastructure and line extensions; costs associated with acquiring and deploying new customer premise equipment; and costs associated with installation of our services, including the customer’s connection to our network, in accordance with the accounting guidance related to cable television companies. Costs capitalized include all direct costs for labor and materials, as well as various indirect costs. Costs incurred in connection with subsequent disconnects, and reconnects of previously deployed customer premise equipment, are expensed as they are incurred.</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liabilities associated with such agreements. A remote possibility exists that franchise agreements could be terminated unexpectedly, which could result in us incurring significant expense in complying with restoration or removal provisions. We do not have any material liabilities related to asset retirement obligations recorded in our consolidated financial statements.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84</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10: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Goodwill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1"/>
                <w:szCs w:val="11"/>
                <w:color w:val="auto"/>
              </w:rPr>
              <w:t>Connectivity &amp; Platforms</w:t>
            </w:r>
          </w:p>
        </w:tc>
        <w:tc>
          <w:tcPr>
            <w:tcW w:w="2420" w:type="dxa"/>
            <w:vAlign w:val="bottom"/>
            <w:tcBorders>
              <w:bottom w:val="single" w:sz="8" w:color="auto"/>
            </w:tcBorders>
            <w:gridSpan w:val="6"/>
          </w:tcPr>
          <w:p>
            <w:pPr>
              <w:jc w:val="right"/>
              <w:ind w:right="31"/>
              <w:spacing w:after="0"/>
              <w:rPr>
                <w:sz w:val="20"/>
                <w:szCs w:val="20"/>
                <w:color w:val="auto"/>
              </w:rPr>
            </w:pPr>
            <w:r>
              <w:rPr>
                <w:rFonts w:ascii="Times New Roman" w:cs="Times New Roman" w:eastAsia="Times New Roman" w:hAnsi="Times New Roman"/>
                <w:sz w:val="11"/>
                <w:szCs w:val="11"/>
                <w:color w:val="auto"/>
              </w:rPr>
              <w:t>Content &amp; Experiences (formerly NBCUniversal)</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1"/>
        </w:trPr>
        <w:tc>
          <w:tcPr>
            <w:tcW w:w="2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Residential</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0"/>
        </w:trPr>
        <w:tc>
          <w:tcPr>
            <w:tcW w:w="2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Cable</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Connectivity &amp;</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Business Services</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Theme</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Corporate</w:t>
            </w:r>
          </w:p>
        </w:tc>
        <w:tc>
          <w:tcPr>
            <w:tcW w:w="520" w:type="dxa"/>
            <w:vAlign w:val="bottom"/>
          </w:tcPr>
          <w:p>
            <w:pPr>
              <w:spacing w:after="0"/>
              <w:rPr>
                <w:sz w:val="12"/>
                <w:szCs w:val="12"/>
                <w:color w:val="auto"/>
              </w:rPr>
            </w:pPr>
          </w:p>
        </w:tc>
      </w:tr>
      <w:tr>
        <w:trPr>
          <w:trHeight w:val="17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 billions)</w:t>
            </w: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Communications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Platforms</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Connectivity</w:t>
            </w: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Media</w:t>
            </w: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Studios</w:t>
            </w: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Parks</w:t>
            </w: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Sky</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and Other</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Total</w:t>
            </w:r>
          </w:p>
        </w:tc>
      </w:tr>
      <w:tr>
        <w:trPr>
          <w:trHeight w:val="18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6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80"/>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70.2</w:t>
            </w:r>
          </w:p>
        </w:tc>
      </w:tr>
      <w:tr>
        <w:trPr>
          <w:trHeight w:val="180"/>
        </w:trPr>
        <w:tc>
          <w:tcPr>
            <w:tcW w:w="25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 impairment losses</w:t>
            </w:r>
          </w:p>
        </w:tc>
        <w:tc>
          <w:tcPr>
            <w:tcW w:w="6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29.2</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70.2</w:t>
            </w:r>
          </w:p>
        </w:tc>
      </w:tr>
      <w:tr>
        <w:trPr>
          <w:trHeight w:val="17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w:t>
            </w:r>
          </w:p>
        </w:tc>
        <w:tc>
          <w:tcPr>
            <w:tcW w:w="6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0"/>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and other</w:t>
            </w: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6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80"/>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26.0</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66.4</w:t>
            </w:r>
          </w:p>
        </w:tc>
      </w:tr>
      <w:tr>
        <w:trPr>
          <w:trHeight w:val="180"/>
        </w:trPr>
        <w:tc>
          <w:tcPr>
            <w:tcW w:w="2500" w:type="dxa"/>
            <w:vAlign w:val="bottom"/>
            <w:tcBorders>
              <w:bottom w:val="single" w:sz="8" w:color="auto"/>
            </w:tcBorders>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b w:val="1"/>
                <w:bCs w:val="1"/>
                <w:color w:val="auto"/>
              </w:rPr>
              <w:t>Accumulated impairment losses</w:t>
            </w:r>
            <w:r>
              <w:rPr>
                <w:rFonts w:ascii="Times New Roman" w:cs="Times New Roman" w:eastAsia="Times New Roman" w:hAnsi="Times New Roman"/>
                <w:sz w:val="18"/>
                <w:szCs w:val="18"/>
                <w:b w:val="1"/>
                <w:bCs w:val="1"/>
                <w:color w:val="auto"/>
                <w:vertAlign w:val="superscript"/>
              </w:rPr>
              <w:t>(a)</w:t>
            </w:r>
          </w:p>
        </w:tc>
        <w:tc>
          <w:tcPr>
            <w:tcW w:w="6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w:t>
            </w:r>
          </w:p>
        </w:tc>
      </w:tr>
      <w:tr>
        <w:trPr>
          <w:trHeight w:val="171"/>
        </w:trPr>
        <w:tc>
          <w:tcPr>
            <w:tcW w:w="2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58.5</w:t>
            </w:r>
          </w:p>
        </w:tc>
      </w:tr>
      <w:tr>
        <w:trPr>
          <w:trHeight w:val="17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change</w:t>
            </w:r>
          </w:p>
        </w:tc>
        <w:tc>
          <w:tcPr>
            <w:tcW w:w="6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and other</w:t>
            </w: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7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6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80"/>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34.5</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2.2</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21.9</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67.8</w:t>
            </w:r>
          </w:p>
        </w:tc>
      </w:tr>
      <w:tr>
        <w:trPr>
          <w:trHeight w:val="180"/>
        </w:trPr>
        <w:tc>
          <w:tcPr>
            <w:tcW w:w="2500" w:type="dxa"/>
            <w:vAlign w:val="bottom"/>
            <w:tcBorders>
              <w:bottom w:val="single" w:sz="8" w:color="auto"/>
            </w:tcBorders>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b w:val="1"/>
                <w:bCs w:val="1"/>
                <w:color w:val="auto"/>
              </w:rPr>
              <w:t>Accumulated impairment losses</w:t>
            </w:r>
            <w:r>
              <w:rPr>
                <w:rFonts w:ascii="Times New Roman" w:cs="Times New Roman" w:eastAsia="Times New Roman" w:hAnsi="Times New Roman"/>
                <w:sz w:val="18"/>
                <w:szCs w:val="18"/>
                <w:b w:val="1"/>
                <w:bCs w:val="1"/>
                <w:color w:val="auto"/>
                <w:vertAlign w:val="superscript"/>
              </w:rPr>
              <w:t>(a)</w:t>
            </w:r>
          </w:p>
        </w:tc>
        <w:tc>
          <w:tcPr>
            <w:tcW w:w="6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2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w:t>
            </w:r>
          </w:p>
        </w:tc>
      </w:tr>
      <w:tr>
        <w:trPr>
          <w:trHeight w:val="171"/>
        </w:trPr>
        <w:tc>
          <w:tcPr>
            <w:tcW w:w="2500" w:type="dxa"/>
            <w:vAlign w:val="bottom"/>
            <w:tcBorders>
              <w:bottom w:val="single" w:sz="8" w:color="0C6DFF"/>
            </w:tcBorders>
          </w:tcPr>
          <w:p>
            <w:pPr>
              <w:spacing w:after="0"/>
              <w:rPr>
                <w:sz w:val="14"/>
                <w:szCs w:val="14"/>
                <w:color w:val="auto"/>
              </w:rPr>
            </w:pPr>
          </w:p>
        </w:tc>
        <w:tc>
          <w:tcPr>
            <w:tcW w:w="620" w:type="dxa"/>
            <w:vAlign w:val="bottom"/>
            <w:tcBorders>
              <w:bottom w:val="single" w:sz="8" w:color="0C6DFF"/>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0C6DFF"/>
            </w:tcBorders>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28.2</w:t>
            </w:r>
          </w:p>
        </w:tc>
        <w:tc>
          <w:tcPr>
            <w:tcW w:w="200" w:type="dxa"/>
            <w:vAlign w:val="bottom"/>
            <w:tcBorders>
              <w:bottom w:val="single" w:sz="8" w:color="0C6DFF"/>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0C6DFF"/>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2.2</w:t>
            </w:r>
          </w:p>
        </w:tc>
        <w:tc>
          <w:tcPr>
            <w:tcW w:w="280" w:type="dxa"/>
            <w:vAlign w:val="bottom"/>
            <w:tcBorders>
              <w:bottom w:val="single" w:sz="8" w:color="0C6DFF"/>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19.7</w:t>
            </w:r>
          </w:p>
        </w:tc>
        <w:tc>
          <w:tcPr>
            <w:tcW w:w="260" w:type="dxa"/>
            <w:vAlign w:val="bottom"/>
            <w:tcBorders>
              <w:bottom w:val="single" w:sz="8" w:color="0C6DFF"/>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280" w:type="dxa"/>
            <w:vAlign w:val="bottom"/>
            <w:tcBorders>
              <w:bottom w:val="single" w:sz="8" w:color="0C6DFF"/>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260" w:type="dxa"/>
            <w:vAlign w:val="bottom"/>
            <w:tcBorders>
              <w:bottom w:val="single" w:sz="8" w:color="0C6DFF"/>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0C6DFF"/>
            </w:tcBorders>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Borders>
              <w:bottom w:val="single" w:sz="8" w:color="0C6DFF"/>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59.3</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Amounts relate to the 2022 impairment related to Sky, with the 2023 amounts allocated to our new segments on a consistent basis with goodwill. Amounts are impacted by foreign currency translation each period.</w:t>
      </w:r>
    </w:p>
    <w:p>
      <w:pPr>
        <w:spacing w:after="0" w:line="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2022, we recorded a goodwill impairment of $8.1 billion in our Sky reporting unit. The fair value of the reporting unit was estimated using a discounted cash flow analysis. When performing this analysis, we also considered multiples of earnings from comparable public companies and recent market transactions. The decline in fair value primarily resulted from an increased discount rate and reduced estimated future cash flows as a result of macroeconomic conditions in the Sky territories. The impairment is presented in goodwill and long-lived asset impairments in the consolidated statements of income.</w:t>
      </w:r>
    </w:p>
    <w:p>
      <w:pPr>
        <w:spacing w:after="0" w:line="295"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85</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Intangible Assets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2023</w:t>
            </w:r>
          </w:p>
        </w:tc>
        <w:tc>
          <w:tcPr>
            <w:tcW w:w="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1"/>
                <w:szCs w:val="11"/>
                <w:color w:val="auto"/>
              </w:rPr>
              <w:t>2022</w:t>
            </w:r>
          </w:p>
        </w:tc>
        <w:tc>
          <w:tcPr>
            <w:tcW w:w="880" w:type="dxa"/>
            <w:vAlign w:val="bottom"/>
            <w:tcBorders>
              <w:bottom w:val="single" w:sz="8" w:color="auto"/>
            </w:tcBorders>
          </w:tcPr>
          <w:p>
            <w:pPr>
              <w:spacing w:after="0"/>
              <w:rPr>
                <w:sz w:val="13"/>
                <w:szCs w:val="13"/>
                <w:color w:val="auto"/>
              </w:rPr>
            </w:pPr>
          </w:p>
        </w:tc>
      </w:tr>
      <w:tr>
        <w:trPr>
          <w:trHeight w:val="161"/>
        </w:trPr>
        <w:tc>
          <w:tcPr>
            <w:tcW w:w="3560" w:type="dxa"/>
            <w:vAlign w:val="bottom"/>
          </w:tcPr>
          <w:p>
            <w:pPr>
              <w:spacing w:after="0"/>
              <w:rPr>
                <w:sz w:val="14"/>
                <w:szCs w:val="14"/>
                <w:color w:val="auto"/>
              </w:rPr>
            </w:pPr>
          </w:p>
        </w:tc>
        <w:tc>
          <w:tcPr>
            <w:tcW w:w="31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color w:val="auto"/>
              </w:rPr>
              <w:t>Weighted-Average</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Gross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Gross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38"/>
        </w:trPr>
        <w:tc>
          <w:tcPr>
            <w:tcW w:w="3560" w:type="dxa"/>
            <w:vAlign w:val="bottom"/>
          </w:tcPr>
          <w:p>
            <w:pPr>
              <w:spacing w:after="0"/>
              <w:rPr>
                <w:sz w:val="11"/>
                <w:szCs w:val="11"/>
                <w:color w:val="auto"/>
              </w:rPr>
            </w:pPr>
          </w:p>
        </w:tc>
        <w:tc>
          <w:tcPr>
            <w:tcW w:w="31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color w:val="auto"/>
              </w:rPr>
              <w:t>Original Useful Life</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3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4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Carrying</w:t>
            </w:r>
          </w:p>
        </w:tc>
        <w:tc>
          <w:tcPr>
            <w:tcW w:w="3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Accumulated</w:t>
            </w:r>
          </w:p>
        </w:tc>
      </w:tr>
      <w:tr>
        <w:trPr>
          <w:trHeight w:val="180"/>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billions)</w:t>
            </w:r>
          </w:p>
        </w:tc>
        <w:tc>
          <w:tcPr>
            <w:tcW w:w="31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1"/>
                <w:szCs w:val="11"/>
                <w:color w:val="auto"/>
              </w:rPr>
              <w:t>as of December 31, 2023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Amount</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Amortization</w:t>
            </w:r>
          </w:p>
        </w:tc>
      </w:tr>
      <w:tr>
        <w:trPr>
          <w:trHeight w:val="18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2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3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Franchise rights</w:t>
            </w:r>
          </w:p>
        </w:tc>
        <w:tc>
          <w:tcPr>
            <w:tcW w:w="31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xml:space="preserve">N/A </w:t>
            </w: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59.4</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FCC licenses</w:t>
            </w:r>
          </w:p>
        </w:tc>
        <w:tc>
          <w:tcPr>
            <w:tcW w:w="3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Finite-Lived Intangible Assets:</w:t>
            </w:r>
          </w:p>
        </w:tc>
        <w:tc>
          <w:tcPr>
            <w:tcW w:w="2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Customer relationships</w:t>
            </w:r>
          </w:p>
        </w:tc>
        <w:tc>
          <w:tcPr>
            <w:tcW w:w="3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14 years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80"/>
        </w:trPr>
        <w:tc>
          <w:tcPr>
            <w:tcW w:w="3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3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 years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23.2</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0"/>
        </w:trPr>
        <w:tc>
          <w:tcPr>
            <w:tcW w:w="35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agreements and rights</w:t>
            </w:r>
          </w:p>
        </w:tc>
        <w:tc>
          <w:tcPr>
            <w:tcW w:w="3140" w:type="dxa"/>
            <w:vAlign w:val="bottom"/>
            <w:tcBorders>
              <w:bottom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26 years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w:t>
            </w: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4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356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140" w:type="dxa"/>
            <w:vAlign w:val="bottom"/>
            <w:tcBorders>
              <w:bottom w:val="single" w:sz="8" w:color="0C6DFF"/>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117.5</w:t>
            </w:r>
          </w:p>
        </w:tc>
        <w:tc>
          <w:tcPr>
            <w:tcW w:w="340" w:type="dxa"/>
            <w:vAlign w:val="bottom"/>
            <w:tcBorders>
              <w:bottom w:val="single" w:sz="8" w:color="0C6DFF"/>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(30.3)</w:t>
            </w:r>
          </w:p>
        </w:tc>
        <w:tc>
          <w:tcPr>
            <w:tcW w:w="460" w:type="dxa"/>
            <w:vAlign w:val="bottom"/>
            <w:tcBorders>
              <w:bottom w:val="single" w:sz="8" w:color="0C6DFF"/>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380" w:type="dxa"/>
            <w:vAlign w:val="bottom"/>
            <w:tcBorders>
              <w:bottom w:val="single" w:sz="8" w:color="0C6DFF"/>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006EBF"/>
        </w:rPr>
        <w:t>Indefinite-Lived Intangible Assets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Indefinite-lived intangible assets consist primarily of our cable franchise rights.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that limit the period over which these rights will contribute to our cash flows. We reassess this determination periodically or whenever events or substantive changes in circumstances occur. The purchase of spectrum rights is presented separately in our consolidated statements of cash flows.</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assess the recoverability of our cable franchise rights and other indefinite-lived intangible assets annually, or more frequently whenever events or substantive changes in circumstances indicate that the assets might be impaired. We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and other indefinite-lived intangible assets. If the fair value of our cable franchise rights or other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006EBF"/>
        </w:rPr>
        <w:t>Finite-Lived Intangible Assets</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Finite-lived intangible assets are subject to amortization and consist primarily of customer relationships acquired in business combinations, software, trade names and intellectual property rights. Our finite-lived intangible assets are amortized primarily on a straight-line basis over their estimated useful life or the term of the associated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the estimated amortization expense of our customer relationships and other agreements and rights, including trade names and intellectual property rights.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716153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(in billions)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Borders>
              <w:top w:val="single" w:sz="8" w:color="auto"/>
            </w:tcBorders>
            <w:shd w:val="clear" w:color="auto" w:fill="CCEEFF"/>
          </w:tcPr>
          <w:p>
            <w:pPr>
              <w:jc w:val="right"/>
              <w:ind w:right="4709"/>
              <w:spacing w:after="0"/>
              <w:rPr>
                <w:sz w:val="20"/>
                <w:szCs w:val="20"/>
                <w:color w:val="auto"/>
              </w:rPr>
            </w:pPr>
            <w:r>
              <w:rPr>
                <w:rFonts w:ascii="Times New Roman" w:cs="Times New Roman" w:eastAsia="Times New Roman" w:hAnsi="Times New Roman"/>
                <w:sz w:val="14"/>
                <w:szCs w:val="14"/>
                <w:color w:val="auto"/>
                <w:w w:val="99"/>
              </w:rPr>
              <w:t>2024</w:t>
            </w:r>
          </w:p>
        </w:tc>
        <w:tc>
          <w:tcPr>
            <w:tcW w:w="5420" w:type="dxa"/>
            <w:vAlign w:val="bottom"/>
            <w:tcBorders>
              <w:top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5080" w:type="dxa"/>
            <w:vAlign w:val="bottom"/>
          </w:tcPr>
          <w:p>
            <w:pPr>
              <w:jc w:val="right"/>
              <w:ind w:right="4709"/>
              <w:spacing w:after="0"/>
              <w:rPr>
                <w:sz w:val="20"/>
                <w:szCs w:val="20"/>
                <w:color w:val="auto"/>
              </w:rPr>
            </w:pPr>
            <w:r>
              <w:rPr>
                <w:rFonts w:ascii="Times New Roman" w:cs="Times New Roman" w:eastAsia="Times New Roman" w:hAnsi="Times New Roman"/>
                <w:sz w:val="14"/>
                <w:szCs w:val="14"/>
                <w:color w:val="auto"/>
                <w:w w:val="99"/>
              </w:rPr>
              <w:t>2025</w:t>
            </w:r>
          </w:p>
        </w:tc>
        <w:tc>
          <w:tcPr>
            <w:tcW w:w="54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5080" w:type="dxa"/>
            <w:vAlign w:val="bottom"/>
            <w:shd w:val="clear" w:color="auto" w:fill="CCEEFF"/>
          </w:tcPr>
          <w:p>
            <w:pPr>
              <w:jc w:val="right"/>
              <w:ind w:right="4709"/>
              <w:spacing w:after="0"/>
              <w:rPr>
                <w:sz w:val="20"/>
                <w:szCs w:val="20"/>
                <w:color w:val="auto"/>
              </w:rPr>
            </w:pPr>
            <w:r>
              <w:rPr>
                <w:rFonts w:ascii="Times New Roman" w:cs="Times New Roman" w:eastAsia="Times New Roman" w:hAnsi="Times New Roman"/>
                <w:sz w:val="14"/>
                <w:szCs w:val="14"/>
                <w:color w:val="auto"/>
                <w:w w:val="99"/>
              </w:rPr>
              <w:t>2026</w:t>
            </w:r>
          </w:p>
        </w:tc>
        <w:tc>
          <w:tcPr>
            <w:tcW w:w="542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5080" w:type="dxa"/>
            <w:vAlign w:val="bottom"/>
          </w:tcPr>
          <w:p>
            <w:pPr>
              <w:jc w:val="right"/>
              <w:ind w:right="4709"/>
              <w:spacing w:after="0"/>
              <w:rPr>
                <w:sz w:val="20"/>
                <w:szCs w:val="20"/>
                <w:color w:val="auto"/>
              </w:rPr>
            </w:pPr>
            <w:r>
              <w:rPr>
                <w:rFonts w:ascii="Times New Roman" w:cs="Times New Roman" w:eastAsia="Times New Roman" w:hAnsi="Times New Roman"/>
                <w:sz w:val="14"/>
                <w:szCs w:val="14"/>
                <w:color w:val="auto"/>
                <w:w w:val="99"/>
              </w:rPr>
              <w:t>2027</w:t>
            </w:r>
          </w:p>
        </w:tc>
        <w:tc>
          <w:tcPr>
            <w:tcW w:w="54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5080" w:type="dxa"/>
            <w:vAlign w:val="bottom"/>
            <w:tcBorders>
              <w:bottom w:val="single" w:sz="8" w:color="auto"/>
            </w:tcBorders>
            <w:shd w:val="clear" w:color="auto" w:fill="CCEEFF"/>
          </w:tcPr>
          <w:p>
            <w:pPr>
              <w:jc w:val="right"/>
              <w:ind w:right="4709"/>
              <w:spacing w:after="0"/>
              <w:rPr>
                <w:sz w:val="20"/>
                <w:szCs w:val="20"/>
                <w:color w:val="auto"/>
              </w:rPr>
            </w:pPr>
            <w:r>
              <w:rPr>
                <w:rFonts w:ascii="Times New Roman" w:cs="Times New Roman" w:eastAsia="Times New Roman" w:hAnsi="Times New Roman"/>
                <w:sz w:val="14"/>
                <w:szCs w:val="14"/>
                <w:color w:val="auto"/>
                <w:w w:val="99"/>
              </w:rPr>
              <w:t>2028</w:t>
            </w:r>
          </w:p>
        </w:tc>
        <w:tc>
          <w:tcPr>
            <w:tcW w:w="542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86</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capitalize direct development costs associated with internal-use software, including external direct costs of material and services and payroll costs for employees devoting time to these software projects. We also capitalize costs associated with arrangements that constitute the purchase of, or convey a license to, software licenses. We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2022, in connection with our annual goodwill impairment assessment, we also recorded impairments of intangible assets, which primarily related to customer relationship assets resulting from our Sky acquisition. These impairments totaled $485 million and are presented in goodwill and long-lived asset impairments in the consolidated statements of income.</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11: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Compensation Plans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3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obligation</w:t>
            </w:r>
          </w:p>
        </w:tc>
        <w:tc>
          <w:tcPr>
            <w:tcW w:w="31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4,507</w:t>
            </w: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w:t>
            </w: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w:t>
            </w:r>
          </w:p>
        </w:tc>
      </w:tr>
      <w:tr>
        <w:trPr>
          <w:trHeight w:val="180"/>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1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341</w:t>
            </w: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r>
    </w:tbl>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maintain unfunded, nonqualified deferred compensation plans for certain members of management and nonemployee directors. The amount of compensation deferred by each participant is based on participant elections. Participant accounts are credited with income primarily based on a fixed annual rate. Participants are eligible to receive distributions from their account based on elected deferral periods that are consistent with the plans and applicable tax law.</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purchased life insurance policies to recover a portion of the future payments related to our deferred compensation plans. As of December 31, 2023 and 2022, the cash surrender value of these policies, which is recorded to other noncurrent assets, net, was $512 million and $449 million,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and Postretirement Benefit Plans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2023, 2022 and 2021, expenses related to these plans totaled $650 million, $632 million and $595 million, respectively.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 Total contributions we made to multiemployer benefit plans and any potential withdrawal liabilities were not material in any of the periods presented.</w:t>
      </w:r>
    </w:p>
    <w:p>
      <w:pPr>
        <w:spacing w:after="0" w:line="383"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87</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12: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9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In the aggregate, holders of our Class A common stock have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4"/>
          <w:szCs w:val="14"/>
          <w:color w:val="auto"/>
        </w:rPr>
        <w:t>% of the voting power of our common stock and holders of our Class B common stock have 33</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4"/>
          <w:szCs w:val="14"/>
          <w:color w:val="auto"/>
        </w:rPr>
        <w:t>% of the voting power of our common stock, which percentage is generally non-dilutable under the terms of our articles of incorporation. Each share of our Class B common stock is entitled to 15 votes. The number of votes held by each share of our Class A common stock depends on the number of shares of Class A and Class B common stock outstanding at any given time. The 33</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4"/>
          <w:szCs w:val="14"/>
          <w:color w:val="auto"/>
        </w:rPr>
        <w:t>% aggregate voting power of our Class B common stock cannot be diluted by additional issuances of any other class of common stock. Our Class B common stock is convertible, share for share, into Class A common stock, subject to certain restrictions.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Shares of Common Stock Outstanding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29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color w:val="auto"/>
              </w:rPr>
              <w:t>Class A</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Class B</w:t>
            </w:r>
          </w:p>
        </w:tc>
      </w:tr>
      <w:tr>
        <w:trPr>
          <w:trHeight w:val="17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29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rPr>
              <w:t>4,571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 plans</w:t>
            </w:r>
          </w:p>
        </w:tc>
        <w:tc>
          <w:tcPr>
            <w:tcW w:w="2900" w:type="dxa"/>
            <w:vAlign w:val="bottom"/>
          </w:tcPr>
          <w:p>
            <w:pPr>
              <w:spacing w:after="0"/>
              <w:rPr>
                <w:sz w:val="15"/>
                <w:szCs w:val="15"/>
                <w:color w:val="auto"/>
              </w:rPr>
            </w:pPr>
          </w:p>
        </w:tc>
        <w:tc>
          <w:tcPr>
            <w:tcW w:w="1540" w:type="dxa"/>
            <w:vAlign w:val="bottom"/>
          </w:tcPr>
          <w:p>
            <w:pPr>
              <w:jc w:val="right"/>
              <w:ind w:right="711"/>
              <w:spacing w:after="0"/>
              <w:rPr>
                <w:sz w:val="20"/>
                <w:szCs w:val="20"/>
                <w:color w:val="auto"/>
              </w:rPr>
            </w:pPr>
            <w:r>
              <w:rPr>
                <w:rFonts w:ascii="Times New Roman" w:cs="Times New Roman" w:eastAsia="Times New Roman" w:hAnsi="Times New Roman"/>
                <w:sz w:val="14"/>
                <w:szCs w:val="14"/>
                <w:color w:val="auto"/>
              </w:rPr>
              <w:t>21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and retirements of common stock</w:t>
            </w:r>
          </w:p>
        </w:tc>
        <w:tc>
          <w:tcPr>
            <w:tcW w:w="29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4"/>
                <w:szCs w:val="14"/>
                <w:color w:val="auto"/>
              </w:rPr>
              <w:t>(73)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Employee stock purchase plans</w:t>
            </w:r>
          </w:p>
        </w:tc>
        <w:tc>
          <w:tcPr>
            <w:tcW w:w="29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color w:val="auto"/>
              </w:rPr>
              <w:t>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29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rPr>
              <w:t>4,524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 plans</w:t>
            </w:r>
          </w:p>
        </w:tc>
        <w:tc>
          <w:tcPr>
            <w:tcW w:w="2900" w:type="dxa"/>
            <w:vAlign w:val="bottom"/>
          </w:tcPr>
          <w:p>
            <w:pPr>
              <w:spacing w:after="0"/>
              <w:rPr>
                <w:sz w:val="15"/>
                <w:szCs w:val="15"/>
                <w:color w:val="auto"/>
              </w:rPr>
            </w:pPr>
          </w:p>
        </w:tc>
        <w:tc>
          <w:tcPr>
            <w:tcW w:w="1540" w:type="dxa"/>
            <w:vAlign w:val="bottom"/>
          </w:tcPr>
          <w:p>
            <w:pPr>
              <w:jc w:val="right"/>
              <w:ind w:right="711"/>
              <w:spacing w:after="0"/>
              <w:rPr>
                <w:sz w:val="20"/>
                <w:szCs w:val="20"/>
                <w:color w:val="auto"/>
              </w:rPr>
            </w:pPr>
            <w:r>
              <w:rPr>
                <w:rFonts w:ascii="Times New Roman" w:cs="Times New Roman" w:eastAsia="Times New Roman" w:hAnsi="Times New Roman"/>
                <w:sz w:val="14"/>
                <w:szCs w:val="14"/>
                <w:color w:val="auto"/>
              </w:rPr>
              <w:t>12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and retirements of common stock</w:t>
            </w:r>
          </w:p>
        </w:tc>
        <w:tc>
          <w:tcPr>
            <w:tcW w:w="29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4"/>
                <w:szCs w:val="14"/>
                <w:color w:val="auto"/>
              </w:rPr>
              <w:t>(332)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Employee stock purchase plans</w:t>
            </w:r>
          </w:p>
        </w:tc>
        <w:tc>
          <w:tcPr>
            <w:tcW w:w="29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color w:val="auto"/>
              </w:rPr>
              <w:t>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29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rPr>
              <w:t>4,211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 compensation plans</w:t>
            </w:r>
          </w:p>
        </w:tc>
        <w:tc>
          <w:tcPr>
            <w:tcW w:w="2900" w:type="dxa"/>
            <w:vAlign w:val="bottom"/>
          </w:tcPr>
          <w:p>
            <w:pPr>
              <w:spacing w:after="0"/>
              <w:rPr>
                <w:sz w:val="15"/>
                <w:szCs w:val="15"/>
                <w:color w:val="auto"/>
              </w:rPr>
            </w:pPr>
          </w:p>
        </w:tc>
        <w:tc>
          <w:tcPr>
            <w:tcW w:w="154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14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Repurchases and retirements of common stock</w:t>
            </w:r>
          </w:p>
        </w:tc>
        <w:tc>
          <w:tcPr>
            <w:tcW w:w="29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(262)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Employee stock purchase plans</w:t>
            </w:r>
          </w:p>
        </w:tc>
        <w:tc>
          <w:tcPr>
            <w:tcW w:w="29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9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2900" w:type="dxa"/>
            <w:vAlign w:val="bottom"/>
            <w:tcBorders>
              <w:bottom w:val="single" w:sz="8" w:color="0C6DFF"/>
            </w:tcBorders>
            <w:shd w:val="clear" w:color="auto" w:fill="CCEEFF"/>
          </w:tcPr>
          <w:p>
            <w:pPr>
              <w:spacing w:after="0"/>
              <w:rPr>
                <w:sz w:val="14"/>
                <w:szCs w:val="14"/>
                <w:color w:val="auto"/>
              </w:rPr>
            </w:pPr>
          </w:p>
        </w:tc>
        <w:tc>
          <w:tcPr>
            <w:tcW w:w="1540" w:type="dxa"/>
            <w:vAlign w:val="bottom"/>
            <w:tcBorders>
              <w:bottom w:val="single" w:sz="8" w:color="0C6DFF"/>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3,969</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r>
      <w:tr>
        <w:trPr>
          <w:trHeight w:val="426"/>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006EBF"/>
              </w:rPr>
              <w:t>Weighted-Average Common Shares Outstanding</w:t>
            </w:r>
          </w:p>
        </w:tc>
        <w:tc>
          <w:tcPr>
            <w:tcW w:w="2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45"/>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2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5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color w:val="auto"/>
              </w:rPr>
              <w:t>2022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9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 – basic</w:t>
            </w:r>
          </w:p>
        </w:tc>
        <w:tc>
          <w:tcPr>
            <w:tcW w:w="29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4,122</w:t>
            </w: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4"/>
                <w:szCs w:val="14"/>
                <w:color w:val="auto"/>
              </w:rPr>
              <w:t>4,406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4,584</w:t>
            </w:r>
          </w:p>
        </w:tc>
      </w:tr>
      <w:tr>
        <w:trPr>
          <w:trHeight w:val="18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29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25</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4"/>
                <w:szCs w:val="14"/>
                <w:color w:val="auto"/>
              </w:rPr>
              <w:t>24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12"/>
        </w:trPr>
        <w:tc>
          <w:tcPr>
            <w:tcW w:w="59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 – diluted</w:t>
            </w:r>
          </w:p>
        </w:tc>
        <w:tc>
          <w:tcPr>
            <w:tcW w:w="2900" w:type="dxa"/>
            <w:vAlign w:val="bottom"/>
            <w:tcBorders>
              <w:bottom w:val="single" w:sz="8" w:color="0C6D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4,148</w:t>
            </w:r>
          </w:p>
        </w:tc>
        <w:tc>
          <w:tcPr>
            <w:tcW w:w="1540" w:type="dxa"/>
            <w:vAlign w:val="bottom"/>
            <w:tcBorders>
              <w:bottom w:val="single" w:sz="8" w:color="0C6DFF"/>
            </w:tcBorders>
            <w:shd w:val="clear" w:color="auto" w:fill="CCEEFF"/>
          </w:tcPr>
          <w:p>
            <w:pPr>
              <w:jc w:val="right"/>
              <w:ind w:right="511"/>
              <w:spacing w:after="0"/>
              <w:rPr>
                <w:sz w:val="20"/>
                <w:szCs w:val="20"/>
                <w:color w:val="auto"/>
              </w:rPr>
            </w:pPr>
            <w:r>
              <w:rPr>
                <w:rFonts w:ascii="Times New Roman" w:cs="Times New Roman" w:eastAsia="Times New Roman" w:hAnsi="Times New Roman"/>
                <w:sz w:val="14"/>
                <w:szCs w:val="14"/>
                <w:color w:val="auto"/>
              </w:rPr>
              <w:t>4,430</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w:t>
            </w:r>
          </w:p>
        </w:tc>
      </w:tr>
      <w:tr>
        <w:trPr>
          <w:trHeight w:val="171"/>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Antidilutive securities</w:t>
            </w:r>
          </w:p>
        </w:tc>
        <w:tc>
          <w:tcPr>
            <w:tcW w:w="2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169</w:t>
            </w:r>
          </w:p>
        </w:tc>
        <w:tc>
          <w:tcPr>
            <w:tcW w:w="15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176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r>
    </w:tbl>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Weighted-average common shares outstanding used in calculating 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w:t>
      </w:r>
    </w:p>
    <w:p>
      <w:pPr>
        <w:spacing w:after="0" w:line="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compensation expense is greater than the average market price of our common stock. Antidilutive securities represent the number of potential common shares related to share-based compensation awards that were excluded from diluted EPS because their effect would have been antidilutive.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Accumulated Other Comprehensive Income (Loss)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millions)</w:t>
            </w:r>
          </w:p>
        </w:tc>
        <w:tc>
          <w:tcPr>
            <w:tcW w:w="39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7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39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(1,596)</w:t>
            </w:r>
          </w:p>
        </w:tc>
        <w:tc>
          <w:tcPr>
            <w:tcW w:w="6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w:t>
            </w:r>
          </w:p>
        </w:tc>
      </w:tr>
      <w:tr>
        <w:trPr>
          <w:trHeight w:val="18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gains (losses) on cash flow hedges</w:t>
            </w:r>
          </w:p>
        </w:tc>
        <w:tc>
          <w:tcPr>
            <w:tcW w:w="39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49</w:t>
            </w:r>
          </w:p>
        </w:tc>
        <w:tc>
          <w:tcPr>
            <w:tcW w:w="6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0"/>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gains (losses) on employee benefit obligations and other</w:t>
            </w:r>
          </w:p>
        </w:tc>
        <w:tc>
          <w:tcPr>
            <w:tcW w:w="39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293</w:t>
            </w:r>
          </w:p>
        </w:tc>
        <w:tc>
          <w:tcPr>
            <w:tcW w:w="6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71"/>
        </w:trPr>
        <w:tc>
          <w:tcPr>
            <w:tcW w:w="4800" w:type="dxa"/>
            <w:vAlign w:val="bottom"/>
            <w:tcBorders>
              <w:bottom w:val="single" w:sz="8" w:color="0C6DFF"/>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 net of deferred taxes</w:t>
            </w:r>
          </w:p>
        </w:tc>
        <w:tc>
          <w:tcPr>
            <w:tcW w:w="3960" w:type="dxa"/>
            <w:vAlign w:val="bottom"/>
            <w:tcBorders>
              <w:bottom w:val="single" w:sz="8" w:color="0C6DFF"/>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0C6DFF"/>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(1,253)</w:t>
            </w:r>
          </w:p>
        </w:tc>
        <w:tc>
          <w:tcPr>
            <w:tcW w:w="640" w:type="dxa"/>
            <w:vAlign w:val="bottom"/>
            <w:tcBorders>
              <w:bottom w:val="single" w:sz="8" w:color="0C6DFF"/>
            </w:tcBorders>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0C6DFF"/>
            </w:tcBorders>
          </w:tcPr>
          <w:p>
            <w:pPr>
              <w:jc w:val="right"/>
              <w:spacing w:after="0"/>
              <w:rPr>
                <w:sz w:val="20"/>
                <w:szCs w:val="20"/>
                <w:color w:val="auto"/>
              </w:rPr>
            </w:pPr>
            <w:r>
              <w:rPr>
                <w:rFonts w:ascii="Times New Roman" w:cs="Times New Roman" w:eastAsia="Times New Roman" w:hAnsi="Times New Roman"/>
                <w:sz w:val="14"/>
                <w:szCs w:val="14"/>
                <w:color w:val="auto"/>
              </w:rPr>
              <w:t>(2,611)</w:t>
            </w:r>
          </w:p>
        </w:tc>
      </w:tr>
      <w:tr>
        <w:trPr>
          <w:trHeight w:val="608"/>
        </w:trPr>
        <w:tc>
          <w:tcPr>
            <w:tcW w:w="4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3960" w:type="dxa"/>
            <w:vAlign w:val="bottom"/>
          </w:tcPr>
          <w:p>
            <w:pPr>
              <w:jc w:val="right"/>
              <w:ind w:right="3032"/>
              <w:spacing w:after="0"/>
              <w:rPr>
                <w:sz w:val="20"/>
                <w:szCs w:val="20"/>
                <w:color w:val="auto"/>
              </w:rPr>
            </w:pPr>
            <w:r>
              <w:rPr>
                <w:rFonts w:ascii="Times New Roman" w:cs="Times New Roman" w:eastAsia="Times New Roman" w:hAnsi="Times New Roman"/>
                <w:sz w:val="11"/>
                <w:szCs w:val="11"/>
                <w:b w:val="1"/>
                <w:bCs w:val="1"/>
                <w:color w:val="auto"/>
              </w:rPr>
              <w:t>88</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4"/>
        </w:trPr>
        <w:tc>
          <w:tcPr>
            <w:tcW w:w="4800" w:type="dxa"/>
            <w:vAlign w:val="bottom"/>
            <w:tcBorders>
              <w:bottom w:val="single" w:sz="8" w:color="9A9A9A"/>
            </w:tcBorders>
          </w:tcPr>
          <w:p>
            <w:pPr>
              <w:spacing w:after="0"/>
              <w:rPr>
                <w:sz w:val="22"/>
                <w:szCs w:val="22"/>
                <w:color w:val="auto"/>
              </w:rPr>
            </w:pPr>
          </w:p>
        </w:tc>
        <w:tc>
          <w:tcPr>
            <w:tcW w:w="396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640" w:type="dxa"/>
            <w:vAlign w:val="bottom"/>
            <w:tcBorders>
              <w:bottom w:val="single" w:sz="8" w:color="9A9A9A"/>
            </w:tcBorders>
          </w:tcPr>
          <w:p>
            <w:pPr>
              <w:spacing w:after="0"/>
              <w:rPr>
                <w:sz w:val="22"/>
                <w:szCs w:val="22"/>
                <w:color w:val="auto"/>
              </w:rPr>
            </w:pPr>
          </w:p>
        </w:tc>
        <w:tc>
          <w:tcPr>
            <w:tcW w:w="8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13: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28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color w:val="auto"/>
              </w:rPr>
              <w:t>2022</w:t>
            </w:r>
          </w:p>
        </w:tc>
        <w:tc>
          <w:tcPr>
            <w:tcW w:w="6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86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1,021</w:t>
            </w:r>
          </w:p>
        </w:tc>
        <w:tc>
          <w:tcPr>
            <w:tcW w:w="6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1,100</w:t>
            </w:r>
          </w:p>
        </w:tc>
        <w:tc>
          <w:tcPr>
            <w:tcW w:w="6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r>
    </w:tbl>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share-based compensation plans consist primarily of awards of RSUs and stock options to certain employees and directors as part of our approach to long-term incentive compensation. Awards generally vest over a period of 5 years and, in the case of stock options, have a 10 year term. Additionally, through our employee stock purchase plans, employees are able to purchase shares of our common stock at a discount through payroll deductions. As of December 31, 2023, virtually all of our stock options outstanding were net settled stock options, which result in fewer shares being issued and no cash proceeds being received by us when the options are exercised.</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Stock Options and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20" w:type="dxa"/>
            <w:vAlign w:val="bottom"/>
          </w:tcPr>
          <w:p>
            <w:pPr>
              <w:jc w:val="right"/>
              <w:ind w:right="713"/>
              <w:spacing w:after="0"/>
              <w:rPr>
                <w:sz w:val="20"/>
                <w:szCs w:val="20"/>
                <w:color w:val="auto"/>
              </w:rPr>
            </w:pPr>
            <w:r>
              <w:rPr>
                <w:rFonts w:ascii="Times New Roman" w:cs="Times New Roman" w:eastAsia="Times New Roman" w:hAnsi="Times New Roman"/>
                <w:sz w:val="11"/>
                <w:szCs w:val="11"/>
                <w:color w:val="auto"/>
              </w:rPr>
              <w:t>Stock</w:t>
            </w:r>
          </w:p>
        </w:tc>
        <w:tc>
          <w:tcPr>
            <w:tcW w:w="860" w:type="dxa"/>
            <w:vAlign w:val="bottom"/>
          </w:tcPr>
          <w:p>
            <w:pPr>
              <w:spacing w:after="0"/>
              <w:rPr>
                <w:sz w:val="11"/>
                <w:szCs w:val="11"/>
                <w:color w:val="auto"/>
              </w:rPr>
            </w:pPr>
          </w:p>
        </w:tc>
      </w:tr>
      <w:tr>
        <w:trPr>
          <w:trHeight w:val="167"/>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As of December 31, 2023, unless otherwise stated (in millions, except per share data)</w:t>
            </w:r>
          </w:p>
        </w:tc>
        <w:tc>
          <w:tcPr>
            <w:tcW w:w="27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1"/>
                <w:szCs w:val="11"/>
                <w:color w:val="auto"/>
              </w:rPr>
              <w:t>Options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RSUs</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 granted during 2023</w:t>
            </w:r>
          </w:p>
        </w:tc>
        <w:tc>
          <w:tcPr>
            <w:tcW w:w="274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58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Weighted-average exercise price of awards granted during 2023</w:t>
            </w:r>
          </w:p>
        </w:tc>
        <w:tc>
          <w:tcPr>
            <w:tcW w:w="27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color w:val="auto"/>
              </w:rPr>
              <w:t>36.58</w:t>
            </w:r>
          </w:p>
        </w:tc>
        <w:tc>
          <w:tcPr>
            <w:tcW w:w="860" w:type="dxa"/>
            <w:vAlign w:val="bottom"/>
            <w:tcBorders>
              <w:bottom w:val="single" w:sz="8" w:color="auto"/>
            </w:tcBorders>
          </w:tcPr>
          <w:p>
            <w:pPr>
              <w:spacing w:after="0"/>
              <w:rPr>
                <w:sz w:val="15"/>
                <w:szCs w:val="15"/>
                <w:color w:val="auto"/>
              </w:rPr>
            </w:pPr>
          </w:p>
        </w:tc>
      </w:tr>
      <w:tr>
        <w:trPr>
          <w:trHeight w:val="17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outstanding and nonvested RSUs</w:t>
            </w:r>
          </w:p>
        </w:tc>
        <w:tc>
          <w:tcPr>
            <w:tcW w:w="27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257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exercise price of stock options outstanding</w:t>
            </w:r>
          </w:p>
        </w:tc>
        <w:tc>
          <w:tcPr>
            <w:tcW w:w="27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auto"/>
              </w:rPr>
              <w:t>41.16</w:t>
            </w:r>
          </w:p>
        </w:tc>
        <w:tc>
          <w:tcPr>
            <w:tcW w:w="860" w:type="dxa"/>
            <w:vAlign w:val="bottom"/>
          </w:tcPr>
          <w:p>
            <w:pPr>
              <w:spacing w:after="0"/>
              <w:rPr>
                <w:sz w:val="15"/>
                <w:szCs w:val="15"/>
                <w:color w:val="auto"/>
              </w:rPr>
            </w:pPr>
          </w:p>
        </w:tc>
      </w:tr>
      <w:tr>
        <w:trPr>
          <w:trHeight w:val="180"/>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at grant date of nonvested RSUs</w:t>
            </w:r>
          </w:p>
        </w:tc>
        <w:tc>
          <w:tcPr>
            <w:tcW w:w="27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42.21</w:t>
            </w:r>
          </w:p>
        </w:tc>
      </w:tr>
    </w:tbl>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cost associated with our share-based compensation is based on an award’s estimated fair value at the date of grant and is recognized over the period in which any related services are provided. RSUs are valued based on the closing price of our common stock on the date of grant and are discounted for the lack of dividends, if any, during the vesting period. We use the Black-Scholes option pricing model to estimate the fair value of stock option awards.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the weighted-average fair value on the date of grant of RSUs and stock options awarded under our various plans and the related weighted-average valuation assumptions.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w:t>
            </w:r>
          </w:p>
        </w:tc>
        <w:tc>
          <w:tcPr>
            <w:tcW w:w="26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color w:val="auto"/>
              </w:rPr>
              <w:t>2022</w:t>
            </w:r>
          </w:p>
        </w:tc>
        <w:tc>
          <w:tcPr>
            <w:tcW w:w="6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8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fair value</w:t>
            </w:r>
          </w:p>
        </w:tc>
        <w:tc>
          <w:tcPr>
            <w:tcW w:w="26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37.14</w:t>
            </w:r>
          </w:p>
        </w:tc>
        <w:tc>
          <w:tcPr>
            <w:tcW w:w="6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45.20</w:t>
            </w:r>
          </w:p>
        </w:tc>
        <w:tc>
          <w:tcPr>
            <w:tcW w:w="6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54.52</w:t>
            </w:r>
          </w:p>
        </w:tc>
      </w:tr>
      <w:tr>
        <w:trPr>
          <w:trHeight w:val="18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 fair value</w:t>
            </w:r>
          </w:p>
        </w:tc>
        <w:tc>
          <w:tcPr>
            <w:tcW w:w="26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8.41</w:t>
            </w:r>
          </w:p>
        </w:tc>
        <w:tc>
          <w:tcPr>
            <w:tcW w:w="6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8.77</w:t>
            </w:r>
          </w:p>
        </w:tc>
        <w:tc>
          <w:tcPr>
            <w:tcW w:w="6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9.72</w:t>
            </w:r>
          </w:p>
        </w:tc>
      </w:tr>
      <w:tr>
        <w:trPr>
          <w:trHeight w:val="18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Valuation Assumptions:</w:t>
            </w:r>
          </w:p>
        </w:tc>
        <w:tc>
          <w:tcPr>
            <w:tcW w:w="26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 yield</w:t>
            </w:r>
          </w:p>
        </w:tc>
        <w:tc>
          <w:tcPr>
            <w:tcW w:w="2640" w:type="dxa"/>
            <w:vAlign w:val="bottom"/>
          </w:tcPr>
          <w:p>
            <w:pPr>
              <w:spacing w:after="0"/>
              <w:rPr>
                <w:sz w:val="15"/>
                <w:szCs w:val="15"/>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3.2 %</w:t>
            </w:r>
          </w:p>
        </w:tc>
        <w:tc>
          <w:tcPr>
            <w:tcW w:w="640" w:type="dxa"/>
            <w:vAlign w:val="bottom"/>
          </w:tcPr>
          <w:p>
            <w:pPr>
              <w:spacing w:after="0"/>
              <w:rPr>
                <w:sz w:val="15"/>
                <w:szCs w:val="15"/>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2.4 %</w:t>
            </w: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volatility</w:t>
            </w:r>
          </w:p>
        </w:tc>
        <w:tc>
          <w:tcPr>
            <w:tcW w:w="26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26.2 %</w:t>
            </w: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25.0 %</w:t>
            </w: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22.8 %</w:t>
            </w:r>
          </w:p>
        </w:tc>
      </w:tr>
      <w:tr>
        <w:trPr>
          <w:trHeight w:val="180"/>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Risk-free interest rate</w:t>
            </w:r>
          </w:p>
        </w:tc>
        <w:tc>
          <w:tcPr>
            <w:tcW w:w="2640" w:type="dxa"/>
            <w:vAlign w:val="bottom"/>
          </w:tcPr>
          <w:p>
            <w:pPr>
              <w:spacing w:after="0"/>
              <w:rPr>
                <w:sz w:val="15"/>
                <w:szCs w:val="15"/>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4.2 %</w:t>
            </w:r>
          </w:p>
        </w:tc>
        <w:tc>
          <w:tcPr>
            <w:tcW w:w="640" w:type="dxa"/>
            <w:vAlign w:val="bottom"/>
          </w:tcPr>
          <w:p>
            <w:pPr>
              <w:spacing w:after="0"/>
              <w:rPr>
                <w:sz w:val="15"/>
                <w:szCs w:val="15"/>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1.8 %</w:t>
            </w: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r>
      <w:tr>
        <w:trPr>
          <w:trHeight w:val="180"/>
        </w:trPr>
        <w:tc>
          <w:tcPr>
            <w:tcW w:w="42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option life (in years)</w:t>
            </w:r>
          </w:p>
        </w:tc>
        <w:tc>
          <w:tcPr>
            <w:tcW w:w="26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5.9</w:t>
            </w:r>
          </w:p>
        </w:tc>
        <w:tc>
          <w:tcPr>
            <w:tcW w:w="6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5.8</w:t>
            </w:r>
          </w:p>
        </w:tc>
        <w:tc>
          <w:tcPr>
            <w:tcW w:w="6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bl>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we had unrecognized pretax compensation expense of $2.0 billion related to nonvested RSUs and nonvested stock options that will be recognized over a weighted-average period of approximately 1.6 years. In 2023, 2022 and 2021, we recognized $4 million, $(30) million and $(209) million, respectively, as an increase (decrease) to income tax expense as a result of excess tax benefits associated with our share-based compensation plans.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14: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4"/>
          <w:szCs w:val="14"/>
          <w:color w:val="006EBF"/>
        </w:rPr>
        <w:t>Cash Payments for Interest and Income Taxes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Year ended December 31 (in millions)</w:t>
            </w:r>
          </w:p>
        </w:tc>
        <w:tc>
          <w:tcPr>
            <w:tcW w:w="3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5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2021</w:t>
            </w:r>
          </w:p>
        </w:tc>
      </w:tr>
      <w:tr>
        <w:trPr>
          <w:trHeight w:val="17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31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3,711</w:t>
            </w: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w:t>
            </w:r>
          </w:p>
        </w:tc>
      </w:tr>
      <w:tr>
        <w:trPr>
          <w:trHeight w:val="180"/>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1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5,107</w:t>
            </w: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5,265</w:t>
            </w: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2,628</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Noncash Activities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2023:</w:t>
      </w:r>
    </w:p>
    <w:p>
      <w:pPr>
        <w:spacing w:after="0" w:line="94" w:lineRule="exact"/>
        <w:rPr>
          <w:sz w:val="20"/>
          <w:szCs w:val="20"/>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$2.1 billion of property and equipment and intangible assets that were accrued but unpaid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recorded a liability of $1.2 billion for a quarterly cash dividend of $0.29 per common share paid in January 2024</w:t>
      </w:r>
    </w:p>
    <w:p>
      <w:pPr>
        <w:spacing w:after="0" w:line="200" w:lineRule="exact"/>
        <w:rPr>
          <w:sz w:val="20"/>
          <w:szCs w:val="20"/>
          <w:color w:val="auto"/>
        </w:rPr>
      </w:pPr>
    </w:p>
    <w:p>
      <w:pPr>
        <w:spacing w:after="0" w:line="218"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89</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168275</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2022:</w:t>
      </w:r>
    </w:p>
    <w:p>
      <w:pPr>
        <w:spacing w:after="0" w:line="94" w:lineRule="exact"/>
        <w:rPr>
          <w:sz w:val="20"/>
          <w:szCs w:val="20"/>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$2.0 billion of property and equipment and intangible assets that were accrued but unpaid</w:t>
      </w:r>
    </w:p>
    <w:p>
      <w:pPr>
        <w:spacing w:after="0" w:line="93" w:lineRule="exact"/>
        <w:rPr>
          <w:rFonts w:ascii="Times New Roman" w:cs="Times New Roman" w:eastAsia="Times New Roman" w:hAnsi="Times New Roman"/>
          <w:sz w:val="14"/>
          <w:szCs w:val="14"/>
          <w:color w:val="auto"/>
        </w:rPr>
      </w:pPr>
    </w:p>
    <w:p>
      <w:pPr>
        <w:ind w:right="4200" w:firstLine="260"/>
        <w:spacing w:after="0" w:line="379" w:lineRule="auto"/>
        <w:tabs>
          <w:tab w:leader="none" w:pos="50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recorded a liability of $1.1 billion for a quarterly cash dividend of $0.27 per common share paid in January 2023 During 2021:</w:t>
      </w: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$2.0 billion of property and equipment and intangible assets that were accrued but unpaid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recorded a liability of $1.1 billion for a quarterly cash dividend of $0.25 per common share paid in January 2022</w:t>
      </w:r>
    </w:p>
    <w:p>
      <w:pPr>
        <w:spacing w:after="0" w:line="9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Cash, Cash Equivalents and Restricted Cash</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in the consolidated balance sheets to the total of the amounts reported in our 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millions)</w:t>
            </w:r>
          </w:p>
        </w:tc>
        <w:tc>
          <w:tcPr>
            <w:tcW w:w="2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2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6,215</w:t>
            </w: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4,749</w:t>
            </w:r>
          </w:p>
        </w:tc>
      </w:tr>
      <w:tr>
        <w:trPr>
          <w:trHeight w:val="180"/>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Restricted cash included in other current assets and other noncurrent assets, net</w:t>
            </w:r>
          </w:p>
        </w:tc>
        <w:tc>
          <w:tcPr>
            <w:tcW w:w="2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1"/>
        </w:trPr>
        <w:tc>
          <w:tcPr>
            <w:tcW w:w="62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year</w:t>
            </w:r>
          </w:p>
        </w:tc>
        <w:tc>
          <w:tcPr>
            <w:tcW w:w="2420" w:type="dxa"/>
            <w:vAlign w:val="bottom"/>
            <w:tcBorders>
              <w:bottom w:val="single" w:sz="8" w:color="0C6D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6,282</w:t>
            </w:r>
          </w:p>
        </w:tc>
        <w:tc>
          <w:tcPr>
            <w:tcW w:w="680" w:type="dxa"/>
            <w:vAlign w:val="bottom"/>
            <w:tcBorders>
              <w:bottom w:val="single" w:sz="8" w:color="0C6D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w:t>
            </w:r>
          </w:p>
        </w:tc>
      </w:tr>
    </w:tbl>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cash equivalents consist primarily of money market funds and U.S. government obligations, as well as commercial paper and certificates of deposit with maturities of three months or less when purchased. The carrying amounts of our cash equivalents approximate their fair values, which are primarily based on Level 1 inputs.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Note 15: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Sports Rights and Licensed Content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most significant fixed-price purchase obligations relate to long-term commitments for sports rights and licensed content. Refer to Note 4 for additional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leases consist primarily of real estate, vehicles and other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 exercise that option. We generally use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our operating leases recorded in the balance sheets, lease expense is based on the future minimum lease payments recognized on a straight-line basis over the term of the lease plus any variable lease costs. In 2023, 2022 and 2021, operating lease expenses, inclusive of short-term and variable lease expenses, recognized in our consolidated statements of income were each $1.2 billion.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summarizes the operating lease assets and liabilities recorded in our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December 31 (in millions)</w:t>
            </w:r>
          </w:p>
        </w:tc>
        <w:tc>
          <w:tcPr>
            <w:tcW w:w="4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0" w:type="dxa"/>
            <w:vAlign w:val="bottom"/>
          </w:tcPr>
          <w:p>
            <w:pPr>
              <w:spacing w:after="0"/>
              <w:rPr>
                <w:sz w:val="13"/>
                <w:szCs w:val="13"/>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 net</w:t>
            </w:r>
          </w:p>
        </w:tc>
        <w:tc>
          <w:tcPr>
            <w:tcW w:w="46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5,786</w:t>
            </w:r>
          </w:p>
        </w:tc>
        <w:tc>
          <w:tcPr>
            <w:tcW w:w="6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40" w:type="dxa"/>
            <w:vAlign w:val="bottom"/>
          </w:tcPr>
          <w:p>
            <w:pPr>
              <w:spacing w:after="0"/>
              <w:rPr>
                <w:sz w:val="15"/>
                <w:szCs w:val="15"/>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6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748</w:t>
            </w:r>
          </w:p>
        </w:tc>
        <w:tc>
          <w:tcPr>
            <w:tcW w:w="6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40" w:type="dxa"/>
            <w:vAlign w:val="bottom"/>
          </w:tcPr>
          <w:p>
            <w:pPr>
              <w:spacing w:after="0"/>
              <w:rPr>
                <w:sz w:val="15"/>
                <w:szCs w:val="15"/>
                <w:color w:val="auto"/>
              </w:rPr>
            </w:pPr>
          </w:p>
        </w:tc>
      </w:tr>
      <w:tr>
        <w:trPr>
          <w:trHeight w:val="180"/>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466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5,838</w:t>
            </w:r>
          </w:p>
        </w:tc>
        <w:tc>
          <w:tcPr>
            <w:tcW w:w="6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6,107</w:t>
            </w:r>
          </w:p>
        </w:tc>
        <w:tc>
          <w:tcPr>
            <w:tcW w:w="40" w:type="dxa"/>
            <w:vAlign w:val="bottom"/>
          </w:tcPr>
          <w:p>
            <w:pPr>
              <w:spacing w:after="0"/>
              <w:rPr>
                <w:sz w:val="15"/>
                <w:szCs w:val="15"/>
                <w:color w:val="auto"/>
              </w:rPr>
            </w:pPr>
          </w:p>
        </w:tc>
      </w:tr>
      <w:tr>
        <w:trPr>
          <w:trHeight w:val="523"/>
        </w:trPr>
        <w:tc>
          <w:tcPr>
            <w:tcW w:w="4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4660" w:type="dxa"/>
            <w:vAlign w:val="bottom"/>
          </w:tcPr>
          <w:p>
            <w:pPr>
              <w:jc w:val="right"/>
              <w:ind w:right="3013"/>
              <w:spacing w:after="0"/>
              <w:rPr>
                <w:sz w:val="20"/>
                <w:szCs w:val="20"/>
                <w:color w:val="auto"/>
              </w:rPr>
            </w:pPr>
            <w:r>
              <w:rPr>
                <w:rFonts w:ascii="Times New Roman" w:cs="Times New Roman" w:eastAsia="Times New Roman" w:hAnsi="Times New Roman"/>
                <w:sz w:val="11"/>
                <w:szCs w:val="11"/>
                <w:b w:val="1"/>
                <w:bCs w:val="1"/>
                <w:color w:val="auto"/>
              </w:rPr>
              <w:t>90</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4080" w:type="dxa"/>
            <w:vAlign w:val="bottom"/>
            <w:tcBorders>
              <w:bottom w:val="single" w:sz="8" w:color="9A9A9A"/>
            </w:tcBorders>
          </w:tcPr>
          <w:p>
            <w:pPr>
              <w:spacing w:after="0"/>
              <w:rPr>
                <w:sz w:val="22"/>
                <w:szCs w:val="22"/>
                <w:color w:val="auto"/>
              </w:rPr>
            </w:pPr>
          </w:p>
        </w:tc>
        <w:tc>
          <w:tcPr>
            <w:tcW w:w="466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660" w:type="dxa"/>
            <w:vAlign w:val="bottom"/>
            <w:tcBorders>
              <w:bottom w:val="single" w:sz="8" w:color="9A9A9A"/>
            </w:tcBorders>
          </w:tcPr>
          <w:p>
            <w:pPr>
              <w:spacing w:after="0"/>
              <w:rPr>
                <w:sz w:val="22"/>
                <w:szCs w:val="22"/>
                <w:color w:val="auto"/>
              </w:rPr>
            </w:pPr>
          </w:p>
        </w:tc>
        <w:tc>
          <w:tcPr>
            <w:tcW w:w="88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Corporation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summarizes our future minimum lease commitments for operating leases as of December 31,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(in millions)</w:t>
            </w:r>
          </w:p>
        </w:tc>
        <w:tc>
          <w:tcPr>
            <w:tcW w:w="4000" w:type="dxa"/>
            <w:vAlign w:val="bottom"/>
          </w:tcPr>
          <w:p>
            <w:pPr>
              <w:spacing w:after="0"/>
              <w:rPr>
                <w:sz w:val="11"/>
                <w:szCs w:val="11"/>
                <w:color w:val="auto"/>
              </w:rPr>
            </w:pPr>
          </w:p>
        </w:tc>
        <w:tc>
          <w:tcPr>
            <w:tcW w:w="1440" w:type="dxa"/>
            <w:vAlign w:val="bottom"/>
          </w:tcPr>
          <w:p>
            <w:pPr>
              <w:jc w:val="right"/>
              <w:ind w:right="512"/>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51"/>
        </w:trPr>
        <w:tc>
          <w:tcPr>
            <w:tcW w:w="5840" w:type="dxa"/>
            <w:vAlign w:val="bottom"/>
            <w:tcBorders>
              <w:bottom w:val="single" w:sz="8" w:color="auto"/>
            </w:tcBorders>
            <w:vMerge w:val="continue"/>
          </w:tcPr>
          <w:p>
            <w:pPr>
              <w:spacing w:after="0"/>
              <w:rPr>
                <w:sz w:val="13"/>
                <w:szCs w:val="13"/>
                <w:color w:val="auto"/>
              </w:rPr>
            </w:pPr>
          </w:p>
        </w:tc>
        <w:tc>
          <w:tcPr>
            <w:tcW w:w="40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1"/>
                <w:szCs w:val="11"/>
                <w:color w:val="auto"/>
              </w:rPr>
              <w:t>2023</w:t>
            </w:r>
          </w:p>
        </w:tc>
        <w:tc>
          <w:tcPr>
            <w:tcW w:w="0" w:type="dxa"/>
            <w:vAlign w:val="bottom"/>
          </w:tcPr>
          <w:p>
            <w:pPr>
              <w:spacing w:after="0"/>
              <w:rPr>
                <w:sz w:val="1"/>
                <w:szCs w:val="1"/>
                <w:color w:val="auto"/>
              </w:rPr>
            </w:pPr>
          </w:p>
        </w:tc>
      </w:tr>
      <w:tr>
        <w:trPr>
          <w:trHeight w:val="17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0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0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0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0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0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80"/>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0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6,531</w:t>
            </w:r>
          </w:p>
        </w:tc>
        <w:tc>
          <w:tcPr>
            <w:tcW w:w="0" w:type="dxa"/>
            <w:vAlign w:val="bottom"/>
          </w:tcPr>
          <w:p>
            <w:pPr>
              <w:spacing w:after="0"/>
              <w:rPr>
                <w:sz w:val="1"/>
                <w:szCs w:val="1"/>
                <w:color w:val="auto"/>
              </w:rPr>
            </w:pPr>
          </w:p>
        </w:tc>
      </w:tr>
      <w:tr>
        <w:trPr>
          <w:trHeight w:val="17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40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10,351</w:t>
            </w:r>
          </w:p>
        </w:tc>
        <w:tc>
          <w:tcPr>
            <w:tcW w:w="0" w:type="dxa"/>
            <w:vAlign w:val="bottom"/>
          </w:tcPr>
          <w:p>
            <w:pPr>
              <w:spacing w:after="0"/>
              <w:rPr>
                <w:sz w:val="1"/>
                <w:szCs w:val="1"/>
                <w:color w:val="auto"/>
              </w:rPr>
            </w:pPr>
          </w:p>
        </w:tc>
      </w:tr>
      <w:tr>
        <w:trPr>
          <w:trHeight w:val="180"/>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40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0C6D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liability</w:t>
            </w:r>
          </w:p>
        </w:tc>
        <w:tc>
          <w:tcPr>
            <w:tcW w:w="4000" w:type="dxa"/>
            <w:vAlign w:val="bottom"/>
            <w:tcBorders>
              <w:bottom w:val="single" w:sz="8" w:color="0C6D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0C6D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weighted-average remaining lease terms for operating leases and the weighted-average discount rates used to calculate our operating lease liabilities as of December 31, 2023 were 17 years and 4.1%, respectively, and as of December 31, 2022 were 18 years and 4.0%, respectively.</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2023, 2022 and 2021, cash payments for operating leases recorded in the consolidated balance sheets were $963 million, $965 million and $987 million, respectively. We recognized operating lease assets and liabilities of $2.8 billion related to Universal Beijing Resort in 2021. Lease assets and liabilities associated with other operating leases entered into or modified were not material in any period presented.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party to a contractual obligation that involves an interest held by a third party in the revenue of certain theme parks. The arrangement provides the counterparty with the right to periodic payments associated with current period revenue which are recorded as an operating expense,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 2023, our carrying value was $1.1 billion, and the estimated value of the contractual obligation was $1.7 billion based on inputs to the contractual formula as of that date.</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Contingencies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litigation resulting from any such legal proceedings or claims could be time-consuming and injure our reputation.</w:t>
      </w:r>
    </w:p>
    <w:p>
      <w:pPr>
        <w:spacing w:after="0" w:line="374"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91</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161925</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006EBF"/>
        </w:rPr>
        <w:t>Item 9: Changes in and Disagreements with Accountants on Accounting and Financial Disclosure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006EBF"/>
        </w:rPr>
        <w:t>Item 9A: 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Conclusions regarding disclosure controls and procedures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Management’s Report on Internal Control Over Financial Reporting on page 60.</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Attestation report of the registered public accounting firm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Report of Independent Registered Public Accounting Firm on page 61.</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006EBF"/>
        </w:rPr>
        <w:t>Item 9B: Other Information</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29, 2024, our Board of Directors approved a change of our registered office provider, and we filed a Change of Registered Office (the “Certificate of Change”) with the Department of State of the Commonwealth of Pennsylvania to effectuate the change. A copy of the Certificate of Change is filed as Exhibit 3.1.1 to this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006EBF"/>
        </w:rPr>
        <w:t>Item 9C: Disclosure Regarding Foreign Jurisdictions that Prevent Inspections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92</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006EBF"/>
        </w:rPr>
        <w:t>Item 10: Directors, Executive Officers and Corporate Governance</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Except for the information regarding executive officers required by Item 401 of Regulation S-K, we incorporate the information required by this item by reference to our definitive proxy statement for our annual meeting of shareholders. We refer to this proxy statement as the 2024 Proxy Statement.</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term of office of each of our executive officers continues until his successor is selected and qualified or until his earlier death, resignation or removal. The following table sets forth information concerning our executive officers, including their ages, positions and tenure, as of the date hereof.</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Name</w:t>
            </w:r>
          </w:p>
        </w:tc>
        <w:tc>
          <w:tcPr>
            <w:tcW w:w="1340" w:type="dxa"/>
            <w:vAlign w:val="bottom"/>
            <w:tcBorders>
              <w:bottom w:val="single" w:sz="8" w:color="auto"/>
            </w:tcBorders>
          </w:tcPr>
          <w:p>
            <w:pPr>
              <w:jc w:val="center"/>
              <w:ind w:left="291"/>
              <w:spacing w:after="0"/>
              <w:rPr>
                <w:sz w:val="20"/>
                <w:szCs w:val="20"/>
                <w:color w:val="auto"/>
              </w:rPr>
            </w:pPr>
            <w:r>
              <w:rPr>
                <w:rFonts w:ascii="Times New Roman" w:cs="Times New Roman" w:eastAsia="Times New Roman" w:hAnsi="Times New Roman"/>
                <w:sz w:val="11"/>
                <w:szCs w:val="11"/>
                <w:color w:val="auto"/>
                <w:w w:val="97"/>
              </w:rPr>
              <w:t>Age</w:t>
            </w:r>
          </w:p>
        </w:tc>
        <w:tc>
          <w:tcPr>
            <w:tcW w:w="116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1"/>
                <w:szCs w:val="11"/>
                <w:color w:val="auto"/>
              </w:rPr>
              <w:t>Officer Since</w:t>
            </w:r>
          </w:p>
        </w:tc>
        <w:tc>
          <w:tcPr>
            <w:tcW w:w="6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Position with Comcast</w:t>
            </w:r>
          </w:p>
        </w:tc>
      </w:tr>
      <w:tr>
        <w:trPr>
          <w:trHeight w:val="18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Brian L. Roberts</w:t>
            </w:r>
          </w:p>
        </w:tc>
        <w:tc>
          <w:tcPr>
            <w:tcW w:w="1340" w:type="dxa"/>
            <w:vAlign w:val="bottom"/>
            <w:shd w:val="clear" w:color="auto" w:fill="CCEEFF"/>
          </w:tcPr>
          <w:p>
            <w:pPr>
              <w:jc w:val="center"/>
              <w:ind w:left="291"/>
              <w:spacing w:after="0"/>
              <w:rPr>
                <w:sz w:val="20"/>
                <w:szCs w:val="20"/>
                <w:color w:val="auto"/>
              </w:rPr>
            </w:pPr>
            <w:r>
              <w:rPr>
                <w:rFonts w:ascii="Times New Roman" w:cs="Times New Roman" w:eastAsia="Times New Roman" w:hAnsi="Times New Roman"/>
                <w:sz w:val="14"/>
                <w:szCs w:val="14"/>
                <w:color w:val="auto"/>
                <w:w w:val="99"/>
              </w:rPr>
              <w:t>64</w:t>
            </w:r>
          </w:p>
        </w:tc>
        <w:tc>
          <w:tcPr>
            <w:tcW w:w="11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w w:val="99"/>
              </w:rPr>
              <w:t>1986</w:t>
            </w:r>
          </w:p>
        </w:tc>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80"/>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J. Cavanagh</w:t>
            </w:r>
          </w:p>
        </w:tc>
        <w:tc>
          <w:tcPr>
            <w:tcW w:w="1340" w:type="dxa"/>
            <w:vAlign w:val="bottom"/>
          </w:tcPr>
          <w:p>
            <w:pPr>
              <w:jc w:val="center"/>
              <w:ind w:left="291"/>
              <w:spacing w:after="0"/>
              <w:rPr>
                <w:sz w:val="20"/>
                <w:szCs w:val="20"/>
                <w:color w:val="auto"/>
              </w:rPr>
            </w:pPr>
            <w:r>
              <w:rPr>
                <w:rFonts w:ascii="Times New Roman" w:cs="Times New Roman" w:eastAsia="Times New Roman" w:hAnsi="Times New Roman"/>
                <w:sz w:val="14"/>
                <w:szCs w:val="14"/>
                <w:color w:val="auto"/>
                <w:w w:val="99"/>
              </w:rPr>
              <w:t>58</w:t>
            </w:r>
          </w:p>
        </w:tc>
        <w:tc>
          <w:tcPr>
            <w:tcW w:w="1160" w:type="dxa"/>
            <w:vAlign w:val="bottom"/>
          </w:tcPr>
          <w:p>
            <w:pPr>
              <w:jc w:val="center"/>
              <w:ind w:left="171"/>
              <w:spacing w:after="0"/>
              <w:rPr>
                <w:sz w:val="20"/>
                <w:szCs w:val="20"/>
                <w:color w:val="auto"/>
              </w:rPr>
            </w:pPr>
            <w:r>
              <w:rPr>
                <w:rFonts w:ascii="Times New Roman" w:cs="Times New Roman" w:eastAsia="Times New Roman" w:hAnsi="Times New Roman"/>
                <w:sz w:val="14"/>
                <w:szCs w:val="14"/>
                <w:color w:val="auto"/>
                <w:w w:val="99"/>
              </w:rPr>
              <w:t>2015</w:t>
            </w:r>
          </w:p>
        </w:tc>
        <w:tc>
          <w:tcPr>
            <w:tcW w:w="6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President</w:t>
            </w:r>
          </w:p>
        </w:tc>
      </w:tr>
      <w:tr>
        <w:trPr>
          <w:trHeight w:val="18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Jason S. Armstrong</w:t>
            </w:r>
          </w:p>
        </w:tc>
        <w:tc>
          <w:tcPr>
            <w:tcW w:w="1340" w:type="dxa"/>
            <w:vAlign w:val="bottom"/>
            <w:shd w:val="clear" w:color="auto" w:fill="CCEEFF"/>
          </w:tcPr>
          <w:p>
            <w:pPr>
              <w:jc w:val="center"/>
              <w:ind w:left="291"/>
              <w:spacing w:after="0"/>
              <w:rPr>
                <w:sz w:val="20"/>
                <w:szCs w:val="20"/>
                <w:color w:val="auto"/>
              </w:rPr>
            </w:pPr>
            <w:r>
              <w:rPr>
                <w:rFonts w:ascii="Times New Roman" w:cs="Times New Roman" w:eastAsia="Times New Roman" w:hAnsi="Times New Roman"/>
                <w:sz w:val="14"/>
                <w:szCs w:val="14"/>
                <w:color w:val="auto"/>
                <w:w w:val="99"/>
              </w:rPr>
              <w:t>47</w:t>
            </w:r>
          </w:p>
        </w:tc>
        <w:tc>
          <w:tcPr>
            <w:tcW w:w="11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w w:val="99"/>
              </w:rPr>
              <w:t>2023</w:t>
            </w:r>
          </w:p>
        </w:tc>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0"/>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Jennifer Khoury</w:t>
            </w:r>
          </w:p>
        </w:tc>
        <w:tc>
          <w:tcPr>
            <w:tcW w:w="1340" w:type="dxa"/>
            <w:vAlign w:val="bottom"/>
          </w:tcPr>
          <w:p>
            <w:pPr>
              <w:jc w:val="center"/>
              <w:ind w:left="291"/>
              <w:spacing w:after="0"/>
              <w:rPr>
                <w:sz w:val="20"/>
                <w:szCs w:val="20"/>
                <w:color w:val="auto"/>
              </w:rPr>
            </w:pPr>
            <w:r>
              <w:rPr>
                <w:rFonts w:ascii="Times New Roman" w:cs="Times New Roman" w:eastAsia="Times New Roman" w:hAnsi="Times New Roman"/>
                <w:sz w:val="14"/>
                <w:szCs w:val="14"/>
                <w:color w:val="auto"/>
                <w:w w:val="99"/>
              </w:rPr>
              <w:t>50</w:t>
            </w:r>
          </w:p>
        </w:tc>
        <w:tc>
          <w:tcPr>
            <w:tcW w:w="1160" w:type="dxa"/>
            <w:vAlign w:val="bottom"/>
          </w:tcPr>
          <w:p>
            <w:pPr>
              <w:jc w:val="center"/>
              <w:ind w:left="171"/>
              <w:spacing w:after="0"/>
              <w:rPr>
                <w:sz w:val="20"/>
                <w:szCs w:val="20"/>
                <w:color w:val="auto"/>
              </w:rPr>
            </w:pPr>
            <w:r>
              <w:rPr>
                <w:rFonts w:ascii="Times New Roman" w:cs="Times New Roman" w:eastAsia="Times New Roman" w:hAnsi="Times New Roman"/>
                <w:sz w:val="14"/>
                <w:szCs w:val="14"/>
                <w:color w:val="auto"/>
                <w:w w:val="99"/>
              </w:rPr>
              <w:t>2023</w:t>
            </w:r>
          </w:p>
        </w:tc>
        <w:tc>
          <w:tcPr>
            <w:tcW w:w="6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Chief Communications Officer</w:t>
            </w:r>
          </w:p>
        </w:tc>
      </w:tr>
      <w:tr>
        <w:trPr>
          <w:trHeight w:val="18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C. Murdock</w:t>
            </w:r>
          </w:p>
        </w:tc>
        <w:tc>
          <w:tcPr>
            <w:tcW w:w="1340" w:type="dxa"/>
            <w:vAlign w:val="bottom"/>
            <w:shd w:val="clear" w:color="auto" w:fill="CCEEFF"/>
          </w:tcPr>
          <w:p>
            <w:pPr>
              <w:jc w:val="center"/>
              <w:ind w:left="291"/>
              <w:spacing w:after="0"/>
              <w:rPr>
                <w:sz w:val="20"/>
                <w:szCs w:val="20"/>
                <w:color w:val="auto"/>
              </w:rPr>
            </w:pPr>
            <w:r>
              <w:rPr>
                <w:rFonts w:ascii="Times New Roman" w:cs="Times New Roman" w:eastAsia="Times New Roman" w:hAnsi="Times New Roman"/>
                <w:sz w:val="14"/>
                <w:szCs w:val="14"/>
                <w:color w:val="auto"/>
                <w:w w:val="99"/>
              </w:rPr>
              <w:t>50</w:t>
            </w:r>
          </w:p>
        </w:tc>
        <w:tc>
          <w:tcPr>
            <w:tcW w:w="11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w w:val="99"/>
              </w:rPr>
              <w:t>2017</w:t>
            </w:r>
          </w:p>
        </w:tc>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Executive Vice President; Chief Accounting Officer and Controller</w:t>
            </w:r>
          </w:p>
        </w:tc>
      </w:tr>
      <w:tr>
        <w:trPr>
          <w:trHeight w:val="180"/>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Thomas J. Reid</w:t>
            </w:r>
          </w:p>
        </w:tc>
        <w:tc>
          <w:tcPr>
            <w:tcW w:w="1340" w:type="dxa"/>
            <w:vAlign w:val="bottom"/>
            <w:tcBorders>
              <w:bottom w:val="single" w:sz="8" w:color="auto"/>
            </w:tcBorders>
          </w:tcPr>
          <w:p>
            <w:pPr>
              <w:jc w:val="center"/>
              <w:ind w:left="291"/>
              <w:spacing w:after="0"/>
              <w:rPr>
                <w:sz w:val="20"/>
                <w:szCs w:val="20"/>
                <w:color w:val="auto"/>
              </w:rPr>
            </w:pPr>
            <w:r>
              <w:rPr>
                <w:rFonts w:ascii="Times New Roman" w:cs="Times New Roman" w:eastAsia="Times New Roman" w:hAnsi="Times New Roman"/>
                <w:sz w:val="14"/>
                <w:szCs w:val="14"/>
                <w:color w:val="auto"/>
                <w:w w:val="99"/>
              </w:rPr>
              <w:t>59</w:t>
            </w:r>
          </w:p>
        </w:tc>
        <w:tc>
          <w:tcPr>
            <w:tcW w:w="116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4"/>
                <w:szCs w:val="14"/>
                <w:color w:val="auto"/>
                <w:w w:val="99"/>
              </w:rPr>
              <w:t>2019</w:t>
            </w:r>
          </w:p>
        </w:tc>
        <w:tc>
          <w:tcPr>
            <w:tcW w:w="6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Chief Legal Officer and Secretary</w:t>
            </w:r>
          </w:p>
        </w:tc>
      </w:tr>
    </w:tbl>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i w:val="1"/>
          <w:iCs w:val="1"/>
          <w:color w:val="auto"/>
        </w:rPr>
        <w:t xml:space="preserve">Brian L. Roberts </w:t>
      </w:r>
      <w:r>
        <w:rPr>
          <w:rFonts w:ascii="Times New Roman" w:cs="Times New Roman" w:eastAsia="Times New Roman" w:hAnsi="Times New Roman"/>
          <w:sz w:val="14"/>
          <w:szCs w:val="14"/>
          <w:color w:val="auto"/>
        </w:rPr>
        <w:t>has served as a director and as Chairman of the Board and Chief Executive Officer for more than five years. Mr. Roberts previously served as President until October 2022.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2023, Mr. Roberts had sole voting power over approximately 33</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4"/>
          <w:szCs w:val="14"/>
          <w:color w:val="auto"/>
        </w:rPr>
        <w:t>% of the combined voting power of our two classes of common stock. He is a son of our late founder, Mr. Ralph J. Roberts.</w:t>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Michael J. Cavanagh </w:t>
      </w:r>
      <w:r>
        <w:rPr>
          <w:rFonts w:ascii="Times New Roman" w:cs="Times New Roman" w:eastAsia="Times New Roman" w:hAnsi="Times New Roman"/>
          <w:sz w:val="14"/>
          <w:szCs w:val="14"/>
          <w:color w:val="auto"/>
        </w:rPr>
        <w:t>has served as President since October 2022 and Chief Financial Officer between July 2015 and January 2023. Prior to joining our company, Mr. Cavanagh had been Co-President and Co-Chief Operating Officer for The Carlyle Group, a global investment firm, since 2014. Prior to that, Mr. Cavanagh was the Co-Chief Executive Officer of the Corporate &amp; Investment Bank of JPMorgan Chase &amp; Co. from 2012 until 2014; the Chief Executive Officer of JPMorgan Chase &amp; Co.’s Treasury &amp; Securities Services business from 2010 to 2012; and the Chief Financial Officer of JPMorgan Chase &amp; Co. from 2004 to 2010.</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Jason S. Armstrong </w:t>
      </w:r>
      <w:r>
        <w:rPr>
          <w:rFonts w:ascii="Times New Roman" w:cs="Times New Roman" w:eastAsia="Times New Roman" w:hAnsi="Times New Roman"/>
          <w:sz w:val="14"/>
          <w:szCs w:val="14"/>
          <w:color w:val="auto"/>
        </w:rPr>
        <w:t>has served as Chief Financial Officer since January 2023. He previously served as Treasurer between July 2020 and October 2023 and as Deputy Chief Financial Officer between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January 2022 and January 2023, and held various other senior positions since joining our company in 2014, including as Chief Financial Officer of Sky Limited and as Senior Vice President of Investor Relations. Prior to that, Mr. Armstrong spent 14 years at Goldman Sachs &amp; Co. LLC where he most recently served as Managing Director, Deputy Business Unit Leader of the firm’s Technology, Media and Telecommunications Research Group.</w:t>
      </w:r>
    </w:p>
    <w:p>
      <w:pPr>
        <w:spacing w:after="0" w:line="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Jennifer Khoury </w:t>
      </w:r>
      <w:r>
        <w:rPr>
          <w:rFonts w:ascii="Times New Roman" w:cs="Times New Roman" w:eastAsia="Times New Roman" w:hAnsi="Times New Roman"/>
          <w:sz w:val="14"/>
          <w:szCs w:val="14"/>
          <w:color w:val="auto"/>
        </w:rPr>
        <w:t>has served as Chief Communications Officer since February 2020. She had held various other senior positions since joining our company in 1999, including Senior Vice President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Corporate and Digital Communications, leading communications for Comcast Cable and the corporation’s digital and social media. Previously, Ms. Khoury led communications, public affairs and social responsibility programs and campaigns for AT&amp;T Broadband and MediaOne and served as a strategic consultant for ML Strategies, LLC.</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Daniel C. Murdock </w:t>
      </w:r>
      <w:r>
        <w:rPr>
          <w:rFonts w:ascii="Times New Roman" w:cs="Times New Roman" w:eastAsia="Times New Roman" w:hAnsi="Times New Roman"/>
          <w:sz w:val="14"/>
          <w:szCs w:val="14"/>
          <w:color w:val="auto"/>
        </w:rPr>
        <w:t>has served as an Executive Vice President since March 2020, Chief Accounting Officer since March 2017 and Controller since July 2015. Prior to joining our company, Mr.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Murdock had been with the U.S. Securities and Exchange Commission where he served as the Deputy Chief Accountant in the agency’s Office of the Chief Accountant since 2013. Prior to that, he was Deloitte &amp; Touche’s Audit/Industry Professional Practice Director for media and entertainment.</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Thomas J. Reid </w:t>
      </w:r>
      <w:r>
        <w:rPr>
          <w:rFonts w:ascii="Times New Roman" w:cs="Times New Roman" w:eastAsia="Times New Roman" w:hAnsi="Times New Roman"/>
          <w:sz w:val="14"/>
          <w:szCs w:val="14"/>
          <w:color w:val="auto"/>
        </w:rPr>
        <w:t>has served as Chief Legal Officer and Secretary since April 2019. Prior to joining our company, Mr. Reid had served as the Chairman and Managing Partner of Davis Polk &amp;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Wardwell LLP, a global law firm, since 2011. Prior to that, Mr. Reid was a partner at Davis Polk &amp; Wardwell LLP from 2003 to 2011 and a Managing Director in the Investment Banking Division of Morgan Stanley from 2000 to 2003.</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006EBF"/>
        </w:rPr>
        <w:t>Item 11: Executive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incorporate the information required by this item by reference to our 2024 Proxy Statement.</w:t>
      </w:r>
    </w:p>
    <w:p>
      <w:pPr>
        <w:spacing w:after="0" w:line="200" w:lineRule="exact"/>
        <w:rPr>
          <w:sz w:val="20"/>
          <w:szCs w:val="20"/>
          <w:color w:val="auto"/>
        </w:rPr>
      </w:pPr>
    </w:p>
    <w:p>
      <w:pPr>
        <w:spacing w:after="0" w:line="229"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93</w:t>
      </w:r>
      <w:r>
        <w:rPr>
          <w:sz w:val="20"/>
          <w:szCs w:val="20"/>
          <w:color w:val="auto"/>
        </w:rPr>
        <w:tab/>
      </w:r>
      <w:r>
        <w:rPr>
          <w:rFonts w:ascii="Times New Roman" w:cs="Times New Roman" w:eastAsia="Times New Roman" w:hAnsi="Times New Roman"/>
          <w:sz w:val="11"/>
          <w:szCs w:val="11"/>
          <w:color w:val="auto"/>
        </w:rPr>
        <w:t>Comcast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161925</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006EBF"/>
        </w:rPr>
        <w:t>Item 12: Security Ownership of Certain Beneficial Owners and Management and Related Stockholder Matters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incorporate the information required by this item by reference to our 2024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006EBF"/>
        </w:rPr>
        <w:t>Item 13: Certain Relationships and Related Transactions, and Director Independence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incorporate the information required by this item by reference to our 2024 Proxy Statement.</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006EBF"/>
        </w:rPr>
        <w:t>Item 14: Principal Accountant Fees and Services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incorporate the information required by this item relating to our principal accountant, Deloitte &amp; Touche LLP (PCAOB ID No. 34), by reference to our 2024 Proxy Statement.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94</w:t>
            </w:r>
          </w:p>
        </w:tc>
      </w:tr>
      <w:tr>
        <w:trPr>
          <w:trHeight w:val="25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006EBF"/>
        </w:rPr>
        <w:t>Item 15: Exhibits and Financial Statement Schedules</w:t>
      </w:r>
    </w:p>
    <w:p>
      <w:pPr>
        <w:spacing w:after="0" w:line="101" w:lineRule="exact"/>
        <w:rPr>
          <w:sz w:val="20"/>
          <w:szCs w:val="20"/>
          <w:color w:val="auto"/>
        </w:rPr>
      </w:pPr>
    </w:p>
    <w:p>
      <w:pPr>
        <w:jc w:val="both"/>
        <w:ind w:firstLine="5"/>
        <w:spacing w:after="0" w:line="270" w:lineRule="auto"/>
        <w:tabs>
          <w:tab w:leader="none" w:pos="20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consolidated financial statements are filed as a part of this report on Form 10-K in Item 8, Financial Statements and Supplementary Data, and a list of Comcast’s consolidated financial statements are found on page 59 of this report. Financial statement schedules are omitted because the required information is not applicable, or because the information required is included in the consolidated financial statements and notes thereto.</w:t>
      </w:r>
    </w:p>
    <w:p>
      <w:pPr>
        <w:spacing w:after="0" w:line="50"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required to be filed by Item 601 of Regulation S-K (all of which are under Commission File No. 001-32871, except as otherwise noted):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226">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Amended and Restated Articles of Incorporation of Comcast Corporation (incorporated by reference to Exhibit 3.1 to Comcast’s Current Report on Form 8-K filed on December 15,</w:t>
            </w:r>
          </w:p>
        </w:tc>
      </w:tr>
      <w:tr>
        <w:trPr>
          <w:trHeight w:val="164"/>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2015).</w:t>
            </w:r>
          </w:p>
        </w:tc>
        <w:tc>
          <w:tcPr>
            <w:tcW w:w="2120" w:type="dxa"/>
            <w:vAlign w:val="bottom"/>
          </w:tcPr>
          <w:p>
            <w:pPr>
              <w:spacing w:after="0"/>
              <w:rPr>
                <w:sz w:val="14"/>
                <w:szCs w:val="14"/>
                <w:color w:val="auto"/>
              </w:rPr>
            </w:pPr>
          </w:p>
        </w:tc>
      </w:tr>
      <w:tr>
        <w:trPr>
          <w:trHeight w:val="187"/>
        </w:trPr>
        <w:tc>
          <w:tcPr>
            <w:tcW w:w="6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1.1</w:t>
            </w:r>
          </w:p>
        </w:tc>
        <w:tc>
          <w:tcPr>
            <w:tcW w:w="8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Certificate of a Change of Registered Office Provider.</w:t>
            </w:r>
          </w:p>
        </w:tc>
        <w:tc>
          <w:tcPr>
            <w:tcW w:w="2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40" w:type="dxa"/>
            <w:vAlign w:val="bottom"/>
            <w:gridSpan w:val="2"/>
          </w:tcPr>
          <w:p>
            <w:pPr>
              <w:spacing w:after="0" w:line="20" w:lineRule="exact"/>
              <w:rPr>
                <w:sz w:val="1"/>
                <w:szCs w:val="1"/>
                <w:color w:val="auto"/>
              </w:rPr>
            </w:pPr>
          </w:p>
        </w:tc>
      </w:tr>
      <w:tr>
        <w:trPr>
          <w:trHeight w:val="20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227">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Amended and Restated By-Laws of Comcast Corporation (incorporated by reference to Exhibit 3.1 to Comcast’s Current Report on Form 8-K filed on December 27, 2022).</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40" w:type="dxa"/>
            <w:vAlign w:val="bottom"/>
            <w:gridSpan w:val="2"/>
          </w:tcPr>
          <w:p>
            <w:pPr>
              <w:spacing w:after="0" w:line="20" w:lineRule="exact"/>
              <w:rPr>
                <w:sz w:val="1"/>
                <w:szCs w:val="1"/>
                <w:color w:val="auto"/>
              </w:rPr>
            </w:pPr>
          </w:p>
        </w:tc>
      </w:tr>
      <w:tr>
        <w:trPr>
          <w:trHeight w:val="20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228">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1</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Specimen Class A Common Stock Certificate (incorporated by reference to Exhibit 4.1 to Comcast’s Annual Report on Form 10-K for the year ended December 31, 2002).</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40" w:type="dxa"/>
            <w:vAlign w:val="bottom"/>
            <w:gridSpan w:val="2"/>
          </w:tcPr>
          <w:p>
            <w:pPr>
              <w:spacing w:after="0" w:line="20" w:lineRule="exact"/>
              <w:rPr>
                <w:sz w:val="1"/>
                <w:szCs w:val="1"/>
                <w:color w:val="auto"/>
              </w:rPr>
            </w:pPr>
          </w:p>
        </w:tc>
      </w:tr>
      <w:tr>
        <w:trPr>
          <w:trHeight w:val="20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229">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2</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Indenture, dated January 7, 2003, between Comcast Corporation, the subsidiary guarantor party thereto, and The Bank of New York Mellon (f/k/a The Bank of New York), as trustee</w:t>
            </w:r>
          </w:p>
        </w:tc>
      </w:tr>
      <w:tr>
        <w:trPr>
          <w:trHeight w:val="164"/>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(incorporated by reference to Exhibit 4.4 to Comcast’s Annual Report on Form 10-K for the year ended December 31, 2008).</w:t>
            </w:r>
          </w:p>
        </w:tc>
        <w:tc>
          <w:tcPr>
            <w:tcW w:w="2120" w:type="dxa"/>
            <w:vAlign w:val="bottom"/>
          </w:tcPr>
          <w:p>
            <w:pPr>
              <w:spacing w:after="0"/>
              <w:rPr>
                <w:sz w:val="14"/>
                <w:szCs w:val="14"/>
                <w:color w:val="auto"/>
              </w:rPr>
            </w:pPr>
          </w:p>
        </w:tc>
      </w:tr>
      <w:tr>
        <w:trPr>
          <w:trHeight w:val="187"/>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230">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3</w:t>
              </w:r>
            </w:hyperlink>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First Supplemental Indenture, dated March 25, 2003, to the Indenture between Comcast Corporation, the subsidiary guarantors party thereto, and The Bank of New York Mellon</w:t>
            </w:r>
          </w:p>
        </w:tc>
      </w:tr>
      <w:tr>
        <w:trPr>
          <w:trHeight w:val="107"/>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40" w:type="dxa"/>
            <w:vAlign w:val="bottom"/>
            <w:gridSpan w:val="2"/>
          </w:tcPr>
          <w:p>
            <w:pPr>
              <w:ind w:left="320"/>
              <w:spacing w:after="0" w:line="107" w:lineRule="exact"/>
              <w:rPr>
                <w:sz w:val="20"/>
                <w:szCs w:val="20"/>
                <w:color w:val="auto"/>
              </w:rPr>
            </w:pPr>
            <w:r>
              <w:rPr>
                <w:rFonts w:ascii="Times New Roman" w:cs="Times New Roman" w:eastAsia="Times New Roman" w:hAnsi="Times New Roman"/>
                <w:sz w:val="12"/>
                <w:szCs w:val="12"/>
                <w:color w:val="auto"/>
              </w:rPr>
              <w:t>(f/k/a The Bank of New York), as trustee, dated January 7, 2003 (incorporated by reference to Exhibit 4.5 to Comcast’s Annual Report on Form 10-K for the year ended December</w:t>
            </w:r>
          </w:p>
        </w:tc>
      </w:tr>
      <w:tr>
        <w:trPr>
          <w:trHeight w:val="18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31, 2008).</w:t>
            </w:r>
          </w:p>
        </w:tc>
        <w:tc>
          <w:tcPr>
            <w:tcW w:w="2120" w:type="dxa"/>
            <w:vAlign w:val="bottom"/>
          </w:tcPr>
          <w:p>
            <w:pPr>
              <w:spacing w:after="0"/>
              <w:rPr>
                <w:sz w:val="16"/>
                <w:szCs w:val="16"/>
                <w:color w:val="auto"/>
              </w:rPr>
            </w:pPr>
          </w:p>
        </w:tc>
      </w:tr>
      <w:tr>
        <w:trPr>
          <w:trHeight w:val="198"/>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231">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4</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Second Supplemental Indenture, dated August 31, 2009, to the Indenture between Comcast Corporation, the subsidiary guarantors party thereto, and The Bank of New York Mellon,</w:t>
            </w:r>
          </w:p>
        </w:tc>
      </w:tr>
      <w:tr>
        <w:trPr>
          <w:trHeight w:val="107"/>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40" w:type="dxa"/>
            <w:vAlign w:val="bottom"/>
            <w:gridSpan w:val="2"/>
          </w:tcPr>
          <w:p>
            <w:pPr>
              <w:ind w:left="320"/>
              <w:spacing w:after="0" w:line="107" w:lineRule="exact"/>
              <w:rPr>
                <w:sz w:val="20"/>
                <w:szCs w:val="20"/>
                <w:color w:val="auto"/>
              </w:rPr>
            </w:pPr>
            <w:r>
              <w:rPr>
                <w:rFonts w:ascii="Times New Roman" w:cs="Times New Roman" w:eastAsia="Times New Roman" w:hAnsi="Times New Roman"/>
                <w:sz w:val="12"/>
                <w:szCs w:val="12"/>
                <w:color w:val="auto"/>
              </w:rPr>
              <w:t>as Trustee, dated January 7, 2003, as supplemented by a First Supplemental Indenture dated March 25, 2003 (incorporated by reference to Exhibit 4.1 to Comcast’s Current Report</w:t>
            </w:r>
          </w:p>
        </w:tc>
      </w:tr>
      <w:tr>
        <w:trPr>
          <w:trHeight w:val="18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on Form 8-K filed on September 2, 2009).</w:t>
            </w:r>
          </w:p>
        </w:tc>
        <w:tc>
          <w:tcPr>
            <w:tcW w:w="2120" w:type="dxa"/>
            <w:vAlign w:val="bottom"/>
          </w:tcPr>
          <w:p>
            <w:pPr>
              <w:spacing w:after="0"/>
              <w:rPr>
                <w:sz w:val="16"/>
                <w:szCs w:val="16"/>
                <w:color w:val="auto"/>
              </w:rPr>
            </w:pPr>
          </w:p>
        </w:tc>
      </w:tr>
      <w:tr>
        <w:trPr>
          <w:trHeight w:val="198"/>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232">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5</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Third Supplemental Indenture, dated March 27, 2013, to the Indenture between Comcast Corporation, the subsidiary guarantors party thereto, and The Bank of New York Mellon</w:t>
            </w:r>
          </w:p>
        </w:tc>
      </w:tr>
      <w:tr>
        <w:trPr>
          <w:trHeight w:val="107"/>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40" w:type="dxa"/>
            <w:vAlign w:val="bottom"/>
            <w:gridSpan w:val="2"/>
          </w:tcPr>
          <w:p>
            <w:pPr>
              <w:ind w:left="320"/>
              <w:spacing w:after="0" w:line="107" w:lineRule="exact"/>
              <w:rPr>
                <w:sz w:val="20"/>
                <w:szCs w:val="20"/>
                <w:color w:val="auto"/>
              </w:rPr>
            </w:pPr>
            <w:r>
              <w:rPr>
                <w:rFonts w:ascii="Times New Roman" w:cs="Times New Roman" w:eastAsia="Times New Roman" w:hAnsi="Times New Roman"/>
                <w:sz w:val="12"/>
                <w:szCs w:val="12"/>
                <w:color w:val="auto"/>
              </w:rPr>
              <w:t>(f/k/a The Bank of New York), as trustee, dated January 7, 2003, as supplemented by a First Supplemental Indenture dated March 25, 2003 and a second Supplemental Indenture</w:t>
            </w:r>
          </w:p>
        </w:tc>
      </w:tr>
      <w:tr>
        <w:trPr>
          <w:trHeight w:val="18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dated August 31, 2009 (incorporated by reference to Exhibit 4.4 to Comcast’s Quarterly Report on Form 10-Q for the quarter ended March 31, 2013).</w:t>
            </w:r>
          </w:p>
        </w:tc>
      </w:tr>
      <w:tr>
        <w:trPr>
          <w:trHeight w:val="198"/>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233">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6</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Fourth Supplemental Indenture, dated October 1, 2015, to the Indenture dated January 7, 2003 between Comcast Corporation, the subsidiary guarantors party thereto, and The Bank</w:t>
            </w:r>
          </w:p>
        </w:tc>
      </w:tr>
      <w:tr>
        <w:trPr>
          <w:trHeight w:val="107"/>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40" w:type="dxa"/>
            <w:vAlign w:val="bottom"/>
            <w:gridSpan w:val="2"/>
          </w:tcPr>
          <w:p>
            <w:pPr>
              <w:ind w:left="320"/>
              <w:spacing w:after="0" w:line="107" w:lineRule="exact"/>
              <w:rPr>
                <w:sz w:val="20"/>
                <w:szCs w:val="20"/>
                <w:color w:val="auto"/>
              </w:rPr>
            </w:pPr>
            <w:r>
              <w:rPr>
                <w:rFonts w:ascii="Times New Roman" w:cs="Times New Roman" w:eastAsia="Times New Roman" w:hAnsi="Times New Roman"/>
                <w:sz w:val="12"/>
                <w:szCs w:val="12"/>
                <w:color w:val="auto"/>
              </w:rPr>
              <w:t>of New York Mellon (f/k/a The Bank of New York), as trustee, as supplemented by a First Supplemental Indenture dated March 25, 2003, a second Supplemental Indenture dated</w:t>
            </w:r>
          </w:p>
        </w:tc>
      </w:tr>
      <w:tr>
        <w:trPr>
          <w:trHeight w:val="144"/>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4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color w:val="auto"/>
              </w:rPr>
              <w:t>August 31, 2009 and a Third Supplemental Indenture dated March 27, 2013 (incorporated by reference to Exhibit 4.1 to Comcast’s Quarterly Report on Form 10-Q for the quarter</w:t>
            </w:r>
          </w:p>
        </w:tc>
      </w:tr>
      <w:tr>
        <w:trPr>
          <w:trHeight w:val="18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ended September 30, 2015).</w:t>
            </w:r>
          </w:p>
        </w:tc>
        <w:tc>
          <w:tcPr>
            <w:tcW w:w="2120" w:type="dxa"/>
            <w:vAlign w:val="bottom"/>
          </w:tcPr>
          <w:p>
            <w:pPr>
              <w:spacing w:after="0"/>
              <w:rPr>
                <w:sz w:val="16"/>
                <w:szCs w:val="16"/>
                <w:color w:val="auto"/>
              </w:rPr>
            </w:pPr>
          </w:p>
        </w:tc>
      </w:tr>
      <w:tr>
        <w:trPr>
          <w:trHeight w:val="191"/>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234">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7</w:t>
              </w:r>
            </w:hyperlink>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Senior Indenture dated September 18, 2013, among Comcast Corporation, the guarantors party thereto and The Bank of New York Mellon, as trustee (incorporated by reference to</w:t>
            </w:r>
          </w:p>
        </w:tc>
      </w:tr>
      <w:tr>
        <w:trPr>
          <w:trHeight w:val="164"/>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Exhibit 4.3 to Comcast’s Registration Statement on Form S-3 filed September 18, 2013).</w:t>
            </w:r>
          </w:p>
        </w:tc>
        <w:tc>
          <w:tcPr>
            <w:tcW w:w="2120" w:type="dxa"/>
            <w:vAlign w:val="bottom"/>
          </w:tcPr>
          <w:p>
            <w:pPr>
              <w:spacing w:after="0"/>
              <w:rPr>
                <w:sz w:val="14"/>
                <w:szCs w:val="14"/>
                <w:color w:val="auto"/>
              </w:rPr>
            </w:pPr>
          </w:p>
        </w:tc>
      </w:tr>
      <w:tr>
        <w:trPr>
          <w:trHeight w:val="187"/>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235">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8</w:t>
              </w:r>
            </w:hyperlink>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First Supplemental Indenture dated as of November 17, 2015, to the Senior Indenture dated September 18, 2013, among Comcast Corporation, the guarantors party thereto, and The</w:t>
            </w:r>
          </w:p>
        </w:tc>
      </w:tr>
      <w:tr>
        <w:trPr>
          <w:trHeight w:val="107"/>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40" w:type="dxa"/>
            <w:vAlign w:val="bottom"/>
            <w:gridSpan w:val="2"/>
          </w:tcPr>
          <w:p>
            <w:pPr>
              <w:ind w:left="320"/>
              <w:spacing w:after="0" w:line="107" w:lineRule="exact"/>
              <w:rPr>
                <w:sz w:val="20"/>
                <w:szCs w:val="20"/>
                <w:color w:val="auto"/>
              </w:rPr>
            </w:pPr>
            <w:r>
              <w:rPr>
                <w:rFonts w:ascii="Times New Roman" w:cs="Times New Roman" w:eastAsia="Times New Roman" w:hAnsi="Times New Roman"/>
                <w:sz w:val="12"/>
                <w:szCs w:val="12"/>
                <w:color w:val="auto"/>
              </w:rPr>
              <w:t>Bank of New York Mellon, as trustee (incorporated by reference to Exhibit 4.4 to Post Effective Amendment No. 2 to Comcast’s Registration Statement on Form S-3 filed November</w:t>
            </w:r>
          </w:p>
        </w:tc>
      </w:tr>
      <w:tr>
        <w:trPr>
          <w:trHeight w:val="18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23, 2015).</w:t>
            </w:r>
          </w:p>
        </w:tc>
        <w:tc>
          <w:tcPr>
            <w:tcW w:w="2120" w:type="dxa"/>
            <w:vAlign w:val="bottom"/>
          </w:tcPr>
          <w:p>
            <w:pPr>
              <w:spacing w:after="0"/>
              <w:rPr>
                <w:sz w:val="16"/>
                <w:szCs w:val="16"/>
                <w:color w:val="auto"/>
              </w:rPr>
            </w:pPr>
          </w:p>
        </w:tc>
      </w:tr>
      <w:tr>
        <w:trPr>
          <w:trHeight w:val="198"/>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236">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9</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Second Supplemental Indenture dated as of July 29, 2022, to the Senior Indenture dated September 18, 2013, among Comcast Corporation, the guarantors party thereto, and The</w:t>
            </w:r>
          </w:p>
        </w:tc>
      </w:tr>
      <w:tr>
        <w:trPr>
          <w:trHeight w:val="107"/>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40" w:type="dxa"/>
            <w:vAlign w:val="bottom"/>
            <w:gridSpan w:val="2"/>
          </w:tcPr>
          <w:p>
            <w:pPr>
              <w:ind w:left="320"/>
              <w:spacing w:after="0" w:line="107" w:lineRule="exact"/>
              <w:rPr>
                <w:sz w:val="20"/>
                <w:szCs w:val="20"/>
                <w:color w:val="auto"/>
              </w:rPr>
            </w:pPr>
            <w:r>
              <w:rPr>
                <w:rFonts w:ascii="Times New Roman" w:cs="Times New Roman" w:eastAsia="Times New Roman" w:hAnsi="Times New Roman"/>
                <w:sz w:val="12"/>
                <w:szCs w:val="12"/>
                <w:color w:val="auto"/>
              </w:rPr>
              <w:t>Bank of New York Mellon, as trustee, as supplemented by a First Supplemental Indenture dated November 17, 2015 (incorporated by reference to Exhibit 4.4 to Comcast’s</w:t>
            </w:r>
          </w:p>
        </w:tc>
      </w:tr>
      <w:tr>
        <w:trPr>
          <w:trHeight w:val="18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Registration Statement on Form S-3 filed July 29, 2022).</w:t>
            </w:r>
          </w:p>
        </w:tc>
        <w:tc>
          <w:tcPr>
            <w:tcW w:w="2120" w:type="dxa"/>
            <w:vAlign w:val="bottom"/>
          </w:tcPr>
          <w:p>
            <w:pPr>
              <w:spacing w:after="0"/>
              <w:rPr>
                <w:sz w:val="16"/>
                <w:szCs w:val="16"/>
                <w:color w:val="auto"/>
              </w:rPr>
            </w:pPr>
          </w:p>
        </w:tc>
      </w:tr>
      <w:tr>
        <w:trPr>
          <w:trHeight w:val="198"/>
        </w:trPr>
        <w:tc>
          <w:tcPr>
            <w:tcW w:w="300" w:type="dxa"/>
            <w:vAlign w:val="bottom"/>
            <w:gridSpan w:val="3"/>
          </w:tcPr>
          <w:p>
            <w:pPr>
              <w:ind w:left="20"/>
              <w:spacing w:after="0"/>
              <w:rPr>
                <w:rFonts w:ascii="Times New Roman" w:cs="Times New Roman" w:eastAsia="Times New Roman" w:hAnsi="Times New Roman"/>
                <w:sz w:val="14"/>
                <w:szCs w:val="14"/>
                <w:color w:val="0000FF"/>
                <w:w w:val="97"/>
              </w:rPr>
            </w:pPr>
            <w:hyperlink r:id="rId237">
              <w:r>
                <w:rPr>
                  <w:rFonts w:ascii="Times New Roman" w:cs="Times New Roman" w:eastAsia="Times New Roman" w:hAnsi="Times New Roman"/>
                  <w:sz w:val="14"/>
                  <w:szCs w:val="14"/>
                  <w:color w:val="0000FF"/>
                  <w:w w:val="97"/>
                </w:rPr>
                <w:t>4.</w:t>
              </w:r>
              <w:r>
                <w:rPr>
                  <w:rFonts w:ascii="Times New Roman" w:cs="Times New Roman" w:eastAsia="Times New Roman" w:hAnsi="Times New Roman"/>
                  <w:sz w:val="14"/>
                  <w:szCs w:val="14"/>
                  <w:u w:val="single" w:color="auto"/>
                  <w:color w:val="0000FF"/>
                  <w:w w:val="97"/>
                </w:rPr>
                <w:t>10</w:t>
              </w:r>
            </w:hyperlink>
          </w:p>
        </w:tc>
        <w:tc>
          <w:tcPr>
            <w:tcW w:w="340" w:type="dxa"/>
            <w:vAlign w:val="bottom"/>
          </w:tcPr>
          <w:p>
            <w:pPr>
              <w:spacing w:after="0"/>
              <w:rPr>
                <w:sz w:val="17"/>
                <w:szCs w:val="17"/>
                <w:color w:val="auto"/>
              </w:rPr>
            </w:pPr>
          </w:p>
        </w:tc>
        <w:tc>
          <w:tcPr>
            <w:tcW w:w="106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Indenture, dated as of April 30, 2010, between NBC Universal, Inc. (n/k/a NBCUniversal Media, LLC) and The Bank of New York Mellon, as trustee (incorporated by reference to</w:t>
            </w:r>
          </w:p>
        </w:tc>
      </w:tr>
      <w:tr>
        <w:trPr>
          <w:trHeight w:val="164"/>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8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Exhibit 4 to the Registration Statement on Form S-4 of NBCUniversal Media, LLC (Commission File No. 333-174175) filed on May 13, 2011).</w:t>
            </w:r>
          </w:p>
        </w:tc>
        <w:tc>
          <w:tcPr>
            <w:tcW w:w="2120" w:type="dxa"/>
            <w:vAlign w:val="bottom"/>
          </w:tcPr>
          <w:p>
            <w:pPr>
              <w:spacing w:after="0"/>
              <w:rPr>
                <w:sz w:val="14"/>
                <w:szCs w:val="14"/>
                <w:color w:val="auto"/>
              </w:rPr>
            </w:pPr>
          </w:p>
        </w:tc>
      </w:tr>
      <w:tr>
        <w:trPr>
          <w:trHeight w:val="571"/>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20" w:type="dxa"/>
            <w:vAlign w:val="bottom"/>
          </w:tcPr>
          <w:p>
            <w:pPr>
              <w:ind w:left="4920"/>
              <w:spacing w:after="0"/>
              <w:rPr>
                <w:sz w:val="20"/>
                <w:szCs w:val="20"/>
                <w:color w:val="auto"/>
              </w:rPr>
            </w:pPr>
            <w:r>
              <w:rPr>
                <w:rFonts w:ascii="Times New Roman" w:cs="Times New Roman" w:eastAsia="Times New Roman" w:hAnsi="Times New Roman"/>
                <w:sz w:val="11"/>
                <w:szCs w:val="11"/>
                <w:b w:val="1"/>
                <w:bCs w:val="1"/>
                <w:color w:val="auto"/>
              </w:rPr>
              <w:t>95</w:t>
            </w:r>
          </w:p>
        </w:tc>
        <w:tc>
          <w:tcPr>
            <w:tcW w:w="21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Comcast 2023 Annual Report on Form 10-K</w:t>
            </w:r>
          </w:p>
        </w:tc>
      </w:tr>
      <w:tr>
        <w:trPr>
          <w:trHeight w:val="254"/>
        </w:trPr>
        <w:tc>
          <w:tcPr>
            <w:tcW w:w="2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8520" w:type="dxa"/>
            <w:vAlign w:val="bottom"/>
            <w:tcBorders>
              <w:bottom w:val="single" w:sz="8" w:color="9A9A9A"/>
            </w:tcBorders>
          </w:tcPr>
          <w:p>
            <w:pPr>
              <w:spacing w:after="0"/>
              <w:rPr>
                <w:sz w:val="22"/>
                <w:szCs w:val="22"/>
                <w:color w:val="auto"/>
              </w:rPr>
            </w:pPr>
          </w:p>
        </w:tc>
        <w:tc>
          <w:tcPr>
            <w:tcW w:w="21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240">
              <w:r>
                <w:rPr>
                  <w:rFonts w:ascii="Times New Roman" w:cs="Times New Roman" w:eastAsia="Times New Roman" w:hAnsi="Times New Roman"/>
                  <w:sz w:val="14"/>
                  <w:szCs w:val="14"/>
                  <w:color w:val="0000FF"/>
                  <w:w w:val="89"/>
                </w:rPr>
                <w:t>4.</w:t>
              </w:r>
              <w:r>
                <w:rPr>
                  <w:rFonts w:ascii="Times New Roman" w:cs="Times New Roman" w:eastAsia="Times New Roman" w:hAnsi="Times New Roman"/>
                  <w:sz w:val="14"/>
                  <w:szCs w:val="14"/>
                  <w:u w:val="single" w:color="auto"/>
                  <w:color w:val="0000FF"/>
                  <w:w w:val="89"/>
                </w:rPr>
                <w:t>11</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First Supplemental Indenture, dated March 27, 2013, to the Indenture between NBCUniversal Media, LLC (f/k/a NBC Universal, Inc.) and The Bank of New York Mellon, as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trustee, dated April 30, 2010 (incorporated by reference to Exhibit 4.3 to Comcast’s Quarterly Report on Form 10-Q for the quarter ended March 31, 2013).</w:t>
            </w:r>
          </w:p>
        </w:tc>
        <w:tc>
          <w:tcPr>
            <w:tcW w:w="0" w:type="dxa"/>
            <w:vAlign w:val="bottom"/>
          </w:tcPr>
          <w:p>
            <w:pPr>
              <w:spacing w:after="0"/>
              <w:rPr>
                <w:sz w:val="1"/>
                <w:szCs w:val="1"/>
                <w:color w:val="auto"/>
              </w:rPr>
            </w:pPr>
          </w:p>
        </w:tc>
      </w:tr>
      <w:tr>
        <w:trPr>
          <w:trHeight w:val="187"/>
        </w:trPr>
        <w:tc>
          <w:tcPr>
            <w:tcW w:w="340" w:type="dxa"/>
            <w:vAlign w:val="bottom"/>
            <w:gridSpan w:val="3"/>
          </w:tcPr>
          <w:p>
            <w:pPr>
              <w:ind w:left="20"/>
              <w:spacing w:after="0"/>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12</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Second Supplemental Indenture, dated October 1, 2015, to the Indenture dated April 30, 2010 between NBC Universal, Inc. (n/k/a NBCUniversal Media, LLC) and The Bank of</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3"/>
                <w:szCs w:val="13"/>
                <w:color w:val="auto"/>
              </w:rPr>
              <w:t>New York Mellon, as trustee, as supplemented by a First Supplemental Indenture dated March 27, 2013 (incorporated by reference to Exhibit 4.2 to Comcast’s Quarterly Report 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Form 10-Q for the quarter ended September 30, 2015).</w:t>
            </w: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0" w:type="dxa"/>
            <w:vAlign w:val="bottom"/>
            <w:gridSpan w:val="3"/>
          </w:tcPr>
          <w:p>
            <w:pPr>
              <w:ind w:left="20"/>
              <w:spacing w:after="0"/>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13</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Trust Deed dated September 5, 2014 among BSKYB Finance UK plc, British Sky Broadcasting Group plc, the initial guarantors party thereto and BNY Mellon Corporate Trustee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Services Limited, as trustee (incorporated by reference to Exhibit 4.13 to Comcast’s Annual Report on Form 10-K for the year ended December 31, 2018).</w:t>
            </w:r>
          </w:p>
        </w:tc>
        <w:tc>
          <w:tcPr>
            <w:tcW w:w="0" w:type="dxa"/>
            <w:vAlign w:val="bottom"/>
          </w:tcPr>
          <w:p>
            <w:pPr>
              <w:spacing w:after="0"/>
              <w:rPr>
                <w:sz w:val="1"/>
                <w:szCs w:val="1"/>
                <w:color w:val="auto"/>
              </w:rPr>
            </w:pPr>
          </w:p>
        </w:tc>
      </w:tr>
      <w:tr>
        <w:trPr>
          <w:trHeight w:val="187"/>
        </w:trPr>
        <w:tc>
          <w:tcPr>
            <w:tcW w:w="340" w:type="dxa"/>
            <w:vAlign w:val="bottom"/>
            <w:gridSpan w:val="3"/>
          </w:tcPr>
          <w:p>
            <w:pPr>
              <w:ind w:left="20"/>
              <w:spacing w:after="0"/>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14</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Supplemental Trust Deed dated March 18, 2015 among Sky Group Finance plc (f/k/a BSKYB Finance UK plc), Sky plc (f/k/a British Sky Broadcasting Group plc), the initial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3"/>
                <w:szCs w:val="13"/>
                <w:color w:val="auto"/>
              </w:rPr>
              <w:t>guarantors party thereto and BNY Mellon Corporate Trustee Services Limited, as trustee (incorporated by reference to Exhibit 4.14 to Comcast’s Annual Report on Form 10-K for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year ended December 31, 2018).</w:t>
            </w: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Description of Comcast Corporation’s securities registered pursuant to Section 12 of the Securities Exchange Act.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Certain instruments defining the rights of holders of long-term obligation of the registrant and certain of its subsidiaries (the total amount of securities authorized under each of which</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0" w:type="dxa"/>
            <w:vAlign w:val="bottom"/>
            <w:gridSpan w:val="2"/>
          </w:tcPr>
          <w:p>
            <w:pPr>
              <w:ind w:left="280"/>
              <w:spacing w:after="0" w:line="145" w:lineRule="exact"/>
              <w:rPr>
                <w:sz w:val="20"/>
                <w:szCs w:val="20"/>
                <w:color w:val="auto"/>
              </w:rPr>
            </w:pPr>
            <w:r>
              <w:rPr>
                <w:rFonts w:ascii="Times New Roman" w:cs="Times New Roman" w:eastAsia="Times New Roman" w:hAnsi="Times New Roman"/>
                <w:sz w:val="14"/>
                <w:szCs w:val="14"/>
                <w:color w:val="auto"/>
              </w:rPr>
              <w:t>does not exceed ten percent of the total assets of the registrant and its subsidiaries on a consolidated basis), are omitted pursuant to Item 601(b)(4)(iii)(A) of Regulation S-K. We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agree to furnish copies of any such instruments to the SEC upon request.</w:t>
            </w: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0" w:type="dxa"/>
            <w:vAlign w:val="bottom"/>
            <w:gridSpan w:val="3"/>
          </w:tcPr>
          <w:p>
            <w:pPr>
              <w:ind w:left="20"/>
              <w:spacing w:after="0"/>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Credit Agreement dated as of March 30, 2021, among Comcast Corporation, the financial institutions party thereto, JPMorgan Chase Bank, N.A., as administrative agent, Citibank,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3"/>
                <w:szCs w:val="13"/>
                <w:color w:val="auto"/>
              </w:rPr>
              <w:t>N.A., as syndication agent, Bank of America, N.A., Mizuho Bank, Ltd., Morgan Stanley MUFG Partners, LLC and Wells Fargo Bank, National Association, as co-documentation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agents (incorporated by reference to Exhibit 10.1 to Comcast’s Current Report on Form 8-K filed on March 31, 2021).</w:t>
            </w:r>
          </w:p>
        </w:tc>
        <w:tc>
          <w:tcPr>
            <w:tcW w:w="0" w:type="dxa"/>
            <w:vAlign w:val="bottom"/>
          </w:tcPr>
          <w:p>
            <w:pPr>
              <w:spacing w:after="0"/>
              <w:rPr>
                <w:sz w:val="1"/>
                <w:szCs w:val="1"/>
                <w:color w:val="auto"/>
              </w:rPr>
            </w:pPr>
          </w:p>
        </w:tc>
      </w:tr>
      <w:tr>
        <w:trPr>
          <w:trHeight w:val="191"/>
        </w:trPr>
        <w:tc>
          <w:tcPr>
            <w:tcW w:w="340" w:type="dxa"/>
            <w:vAlign w:val="bottom"/>
            <w:gridSpan w:val="3"/>
          </w:tcPr>
          <w:p>
            <w:pPr>
              <w:ind w:left="20"/>
              <w:spacing w:after="0"/>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Amendment No. 1 dated December 31, 2021, to Credit Agreement dated as of March 30, 2021, among Comcast Corporation, the financial institutions party thereto, JPMorgan Chase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3"/>
                <w:szCs w:val="13"/>
                <w:color w:val="auto"/>
              </w:rPr>
              <w:t>Bank, N.A., as administrative agent, Citibank, N.A., as syndication agent, Bank of America, N.A., Mizuho Bank, Ltd., Morgan Stanley MUFG Partners, LLC and Wells Fargo Bank,</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National Association, as co-documentation agents (incorporated by reference to Exhibit 10.2 to Comcast’s Annual Report on Form 10-K for the year ended December 31, 2021).</w:t>
            </w:r>
          </w:p>
        </w:tc>
        <w:tc>
          <w:tcPr>
            <w:tcW w:w="0" w:type="dxa"/>
            <w:vAlign w:val="bottom"/>
          </w:tcPr>
          <w:p>
            <w:pPr>
              <w:spacing w:after="0"/>
              <w:rPr>
                <w:sz w:val="1"/>
                <w:szCs w:val="1"/>
                <w:color w:val="auto"/>
              </w:rPr>
            </w:pPr>
          </w:p>
        </w:tc>
      </w:tr>
      <w:tr>
        <w:trPr>
          <w:trHeight w:val="191"/>
        </w:trPr>
        <w:tc>
          <w:tcPr>
            <w:tcW w:w="340" w:type="dxa"/>
            <w:vAlign w:val="bottom"/>
            <w:gridSpan w:val="3"/>
          </w:tcPr>
          <w:p>
            <w:pPr>
              <w:ind w:left="20"/>
              <w:spacing w:after="0"/>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Amendment No. 2 dated as of December 9, 2022, to Credit Agreement dated as of March 30, 2021, among Comcast Corporation, the financial institutions party thereto, JPMorgan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0" w:type="dxa"/>
            <w:vAlign w:val="bottom"/>
            <w:gridSpan w:val="2"/>
          </w:tcPr>
          <w:p>
            <w:pPr>
              <w:ind w:left="280"/>
              <w:spacing w:after="0" w:line="146" w:lineRule="exact"/>
              <w:rPr>
                <w:sz w:val="20"/>
                <w:szCs w:val="20"/>
                <w:color w:val="auto"/>
              </w:rPr>
            </w:pPr>
            <w:r>
              <w:rPr>
                <w:rFonts w:ascii="Times New Roman" w:cs="Times New Roman" w:eastAsia="Times New Roman" w:hAnsi="Times New Roman"/>
                <w:sz w:val="14"/>
                <w:szCs w:val="14"/>
                <w:color w:val="auto"/>
              </w:rPr>
              <w:t>Chase Bank, N.A., as administrative agent, Citibank, N.A., as syndication agent, Bank of America, N.A., Mizuho Bank, Ltd., Morgan Stanley MUFG Loan Partners, LLC and Wells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0" w:type="dxa"/>
            <w:vAlign w:val="bottom"/>
            <w:gridSpan w:val="2"/>
          </w:tcPr>
          <w:p>
            <w:pPr>
              <w:ind w:left="280"/>
              <w:spacing w:after="0" w:line="159" w:lineRule="exact"/>
              <w:rPr>
                <w:sz w:val="20"/>
                <w:szCs w:val="20"/>
                <w:color w:val="auto"/>
              </w:rPr>
            </w:pPr>
            <w:r>
              <w:rPr>
                <w:rFonts w:ascii="Times New Roman" w:cs="Times New Roman" w:eastAsia="Times New Roman" w:hAnsi="Times New Roman"/>
                <w:sz w:val="14"/>
                <w:szCs w:val="14"/>
                <w:color w:val="auto"/>
              </w:rPr>
              <w:t>Fargo Bank, National Association, as co-documentation agents. (incorporated by reference to Exhibit 10.3 to Comcast’s Annual Report on Form 10-K for the year ended December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31, 2022).</w:t>
            </w: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247">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4*</w:t>
              </w:r>
            </w:hyperlink>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Comcast Select Deferred Compensation Plan, as amended and restated effective October 12, 2021 (incorporated by reference to Exhibit 10.3 to Comcast’s Annual Report on Form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10-K for the year ended December 31, 2021).</w:t>
            </w:r>
          </w:p>
        </w:tc>
        <w:tc>
          <w:tcPr>
            <w:tcW w:w="5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248">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5*</w:t>
              </w:r>
            </w:hyperlink>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Comcast Corporation 2003 Stock Option Plan, as amended and restated April 10, 2020 (incorporated by reference to Exhibit 10.4 to Comcast’s Quarterly Report on Form 10-Q for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quarter ended March 31, 2020).</w:t>
            </w:r>
          </w:p>
        </w:tc>
        <w:tc>
          <w:tcPr>
            <w:tcW w:w="5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249">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6*</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Comcast Corporation 2002 Deferred Compensation Plan, as amended and restated effective March 1, 2021 (incorporated by reference to Exhibit 10.2 to Comcast’s Quarterly Report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on Form 10-Q for the quarter ended March 31, 2021).</w:t>
            </w:r>
          </w:p>
        </w:tc>
        <w:tc>
          <w:tcPr>
            <w:tcW w:w="5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Comcast Corporation 2005 Deferred Compensation Plan, as amended and restated effective February 28, 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250">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8*</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Comcast Corporation 2002 Restricted Stock Plan, as amended and restated effective March 1, 2021 (incorporated by reference to Exhibit 10.1 to Comcast’s Quarterly Report 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Form 10-Q for the quarter ended March 31, 2021).</w:t>
            </w:r>
          </w:p>
        </w:tc>
        <w:tc>
          <w:tcPr>
            <w:tcW w:w="5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251">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9*</w:t>
              </w:r>
            </w:hyperlink>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Comcast Corporation 2006 Cash Bonus Plan, as amended and restated effective February 18, 2015 (incorporated by reference to Exhibit 10.11 to Comcast’s Annual Report on Form</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10-K for the year ended December 31, 2015).</w:t>
            </w:r>
          </w:p>
        </w:tc>
        <w:tc>
          <w:tcPr>
            <w:tcW w:w="5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0" w:type="dxa"/>
            <w:vAlign w:val="bottom"/>
            <w:gridSpan w:val="5"/>
          </w:tcPr>
          <w:p>
            <w:pPr>
              <w:ind w:left="20"/>
              <w:spacing w:after="0"/>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Comcast Corporation Non-Employee Director Compensation Plan, as amended and restated effective July 11, 2023 (incorporated by reference to Exhibit 10.3 to Comcast’s Quarterly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Report on Form 10-Q for the quarter ended June 30, 2023).</w:t>
            </w:r>
          </w:p>
        </w:tc>
        <w:tc>
          <w:tcPr>
            <w:tcW w:w="5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0" w:type="dxa"/>
            <w:vAlign w:val="bottom"/>
            <w:gridSpan w:val="4"/>
          </w:tcPr>
          <w:p>
            <w:pPr>
              <w:ind w:left="20"/>
              <w:spacing w:after="0"/>
              <w:rPr>
                <w:rFonts w:ascii="Times New Roman" w:cs="Times New Roman" w:eastAsia="Times New Roman" w:hAnsi="Times New Roman"/>
                <w:sz w:val="14"/>
                <w:szCs w:val="14"/>
                <w:color w:val="0000FF"/>
                <w:w w:val="93"/>
              </w:rPr>
            </w:pPr>
            <w:hyperlink r:id="rId253">
              <w:r>
                <w:rPr>
                  <w:rFonts w:ascii="Times New Roman" w:cs="Times New Roman" w:eastAsia="Times New Roman" w:hAnsi="Times New Roman"/>
                  <w:sz w:val="14"/>
                  <w:szCs w:val="14"/>
                  <w:color w:val="0000FF"/>
                  <w:w w:val="93"/>
                </w:rPr>
                <w:t>10.</w:t>
              </w:r>
              <w:r>
                <w:rPr>
                  <w:rFonts w:ascii="Times New Roman" w:cs="Times New Roman" w:eastAsia="Times New Roman" w:hAnsi="Times New Roman"/>
                  <w:sz w:val="14"/>
                  <w:szCs w:val="14"/>
                  <w:u w:val="single" w:color="auto"/>
                  <w:color w:val="0000FF"/>
                  <w:w w:val="93"/>
                </w:rPr>
                <w:t>11*</w:t>
              </w:r>
            </w:hyperlink>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Comcast Corporation 2002 Employee Stock Purchase Plan, as amended and restated effective June 7, 2023 (incorporated by reference to Exhibit 10.2 to Comcast’s Current Report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on Form 8-K filed on June 9, 2023).</w:t>
            </w:r>
          </w:p>
        </w:tc>
        <w:tc>
          <w:tcPr>
            <w:tcW w:w="5960" w:type="dxa"/>
            <w:vAlign w:val="bottom"/>
            <w:vMerge w:val="restart"/>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96</w:t>
            </w: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530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5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4640" w:type="dxa"/>
            <w:vAlign w:val="bottom"/>
            <w:tcBorders>
              <w:bottom w:val="single" w:sz="8" w:color="9A9A9A"/>
            </w:tcBorders>
          </w:tcPr>
          <w:p>
            <w:pPr>
              <w:spacing w:after="0"/>
              <w:rPr>
                <w:sz w:val="22"/>
                <w:szCs w:val="22"/>
                <w:color w:val="auto"/>
              </w:rPr>
            </w:pPr>
          </w:p>
        </w:tc>
        <w:tc>
          <w:tcPr>
            <w:tcW w:w="596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gridSpan w:val="3"/>
          </w:tcPr>
          <w:p>
            <w:pPr>
              <w:ind w:left="20"/>
              <w:spacing w:after="0"/>
              <w:rPr>
                <w:rFonts w:ascii="Times New Roman" w:cs="Times New Roman" w:eastAsia="Times New Roman" w:hAnsi="Times New Roman"/>
                <w:sz w:val="14"/>
                <w:szCs w:val="14"/>
                <w:color w:val="0000FF"/>
              </w:rPr>
            </w:pPr>
            <w:hyperlink r:id="rId25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hyperlink>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Comcast-NBCUniversal 2011 Employee Stock Purchase Plan, as amended and restated effective February 22, 2016 (incorporated by reference to Appendix D to our Definitive</w:t>
            </w:r>
          </w:p>
        </w:tc>
      </w:tr>
      <w:tr>
        <w:trPr>
          <w:trHeight w:val="164"/>
        </w:trPr>
        <w:tc>
          <w:tcPr>
            <w:tcW w:w="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Proxy Statement on Schedule 14A filed on April 8, 2016).</w:t>
            </w:r>
          </w:p>
        </w:tc>
        <w:tc>
          <w:tcPr>
            <w:tcW w:w="2080" w:type="dxa"/>
            <w:vAlign w:val="bottom"/>
          </w:tcPr>
          <w:p>
            <w:pPr>
              <w:spacing w:after="0"/>
              <w:rPr>
                <w:sz w:val="14"/>
                <w:szCs w:val="14"/>
                <w:color w:val="auto"/>
              </w:rPr>
            </w:pPr>
          </w:p>
        </w:tc>
      </w:tr>
      <w:tr>
        <w:trPr>
          <w:trHeight w:val="187"/>
        </w:trPr>
        <w:tc>
          <w:tcPr>
            <w:tcW w:w="680" w:type="dxa"/>
            <w:vAlign w:val="bottom"/>
            <w:gridSpan w:val="3"/>
          </w:tcPr>
          <w:p>
            <w:pPr>
              <w:ind w:left="20"/>
              <w:spacing w:after="0"/>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13*</w:t>
              </w:r>
            </w:hyperlink>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Comcast Corporation 2023 Omnibus Equity Incentive Plan, effective June 7, 2023 (incorporated by reference to Exhibit 10.1 to Comcast’s Current Report on Form 8-K filed on June</w:t>
            </w:r>
          </w:p>
        </w:tc>
      </w:tr>
      <w:tr>
        <w:trPr>
          <w:trHeight w:val="164"/>
        </w:trPr>
        <w:tc>
          <w:tcPr>
            <w:tcW w:w="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 2023).</w:t>
            </w:r>
          </w:p>
        </w:tc>
        <w:tc>
          <w:tcPr>
            <w:tcW w:w="2080" w:type="dxa"/>
            <w:vAlign w:val="bottom"/>
          </w:tcPr>
          <w:p>
            <w:pPr>
              <w:spacing w:after="0"/>
              <w:rPr>
                <w:sz w:val="14"/>
                <w:szCs w:val="14"/>
                <w:color w:val="auto"/>
              </w:rPr>
            </w:pPr>
          </w:p>
        </w:tc>
      </w:tr>
      <w:tr>
        <w:trPr>
          <w:trHeight w:val="187"/>
        </w:trPr>
        <w:tc>
          <w:tcPr>
            <w:tcW w:w="400" w:type="dxa"/>
            <w:vAlign w:val="bottom"/>
            <w:gridSpan w:val="2"/>
          </w:tcPr>
          <w:p>
            <w:pPr>
              <w:ind w:left="20"/>
              <w:spacing w:after="0"/>
              <w:rPr>
                <w:rFonts w:ascii="Times New Roman" w:cs="Times New Roman" w:eastAsia="Times New Roman" w:hAnsi="Times New Roman"/>
                <w:sz w:val="14"/>
                <w:szCs w:val="14"/>
                <w:color w:val="0000FF"/>
                <w:w w:val="88"/>
              </w:rPr>
            </w:pPr>
            <w:hyperlink r:id="rId258">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u w:val="single" w:color="auto"/>
                <w:color w:val="0000FF"/>
                <w:w w:val="88"/>
              </w:rPr>
              <w:t>14*</w:t>
            </w: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Employment Agreement with Brian L. Roberts, dated as of July 26, 2017 (incorporated by reference to Exhibit 10.2 to Comcast’s Quarterly Report on Form 10-Q for the quarter</w:t>
            </w:r>
          </w:p>
        </w:tc>
      </w:tr>
      <w:tr>
        <w:trPr>
          <w:trHeight w:val="164"/>
        </w:trPr>
        <w:tc>
          <w:tcPr>
            <w:tcW w:w="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ended June 30, 2017).</w:t>
            </w:r>
          </w:p>
        </w:tc>
        <w:tc>
          <w:tcPr>
            <w:tcW w:w="2080" w:type="dxa"/>
            <w:vAlign w:val="bottom"/>
          </w:tcPr>
          <w:p>
            <w:pPr>
              <w:spacing w:after="0"/>
              <w:rPr>
                <w:sz w:val="14"/>
                <w:szCs w:val="14"/>
                <w:color w:val="auto"/>
              </w:rPr>
            </w:pPr>
          </w:p>
        </w:tc>
      </w:tr>
      <w:tr>
        <w:trPr>
          <w:trHeight w:val="187"/>
        </w:trPr>
        <w:tc>
          <w:tcPr>
            <w:tcW w:w="400" w:type="dxa"/>
            <w:vAlign w:val="bottom"/>
            <w:gridSpan w:val="2"/>
          </w:tcPr>
          <w:p>
            <w:pPr>
              <w:ind w:left="20"/>
              <w:spacing w:after="0"/>
              <w:rPr>
                <w:rFonts w:ascii="Times New Roman" w:cs="Times New Roman" w:eastAsia="Times New Roman" w:hAnsi="Times New Roman"/>
                <w:sz w:val="14"/>
                <w:szCs w:val="14"/>
                <w:color w:val="0000FF"/>
                <w:w w:val="88"/>
              </w:rPr>
            </w:pPr>
            <w:hyperlink r:id="rId259">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u w:val="single" w:color="auto"/>
                <w:color w:val="0000FF"/>
                <w:w w:val="88"/>
              </w:rPr>
              <w:t>15*</w:t>
            </w: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Amendment No. 1 to Employment Agreement with Brian L. Roberts, dated as of December 16, 2019 (incorporated by reference to Exhibit 10.20 to Comcast’s Annual Report on</w:t>
            </w:r>
          </w:p>
        </w:tc>
      </w:tr>
      <w:tr>
        <w:trPr>
          <w:trHeight w:val="164"/>
        </w:trPr>
        <w:tc>
          <w:tcPr>
            <w:tcW w:w="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Form 10-K for the year ended December 31, 2019).</w:t>
            </w:r>
          </w:p>
        </w:tc>
        <w:tc>
          <w:tcPr>
            <w:tcW w:w="2080" w:type="dxa"/>
            <w:vAlign w:val="bottom"/>
          </w:tcPr>
          <w:p>
            <w:pPr>
              <w:spacing w:after="0"/>
              <w:rPr>
                <w:sz w:val="14"/>
                <w:szCs w:val="14"/>
                <w:color w:val="auto"/>
              </w:rPr>
            </w:pPr>
          </w:p>
        </w:tc>
      </w:tr>
      <w:tr>
        <w:trPr>
          <w:trHeight w:val="187"/>
        </w:trPr>
        <w:tc>
          <w:tcPr>
            <w:tcW w:w="400" w:type="dxa"/>
            <w:vAlign w:val="bottom"/>
            <w:gridSpan w:val="2"/>
          </w:tcPr>
          <w:p>
            <w:pPr>
              <w:ind w:left="20"/>
              <w:spacing w:after="0"/>
              <w:rPr>
                <w:rFonts w:ascii="Times New Roman" w:cs="Times New Roman" w:eastAsia="Times New Roman" w:hAnsi="Times New Roman"/>
                <w:sz w:val="14"/>
                <w:szCs w:val="14"/>
                <w:color w:val="0000FF"/>
                <w:w w:val="88"/>
              </w:rPr>
            </w:pPr>
            <w:hyperlink r:id="rId260">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u w:val="single" w:color="auto"/>
                <w:color w:val="0000FF"/>
                <w:w w:val="88"/>
              </w:rPr>
              <w:t>16*</w:t>
            </w: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Employment Agreement dated as of December 27, 2022 between Comcast Corporation and Michael J. Cavanagh (incorporated by reference to Exhibit 10.15 to Comcast’s Annual</w:t>
            </w:r>
          </w:p>
        </w:tc>
      </w:tr>
      <w:tr>
        <w:trPr>
          <w:trHeight w:val="164"/>
        </w:trPr>
        <w:tc>
          <w:tcPr>
            <w:tcW w:w="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Report on Form 10-K for the year ended December 31, 2022).</w:t>
            </w:r>
          </w:p>
        </w:tc>
        <w:tc>
          <w:tcPr>
            <w:tcW w:w="2080" w:type="dxa"/>
            <w:vAlign w:val="bottom"/>
          </w:tcPr>
          <w:p>
            <w:pPr>
              <w:spacing w:after="0"/>
              <w:rPr>
                <w:sz w:val="14"/>
                <w:szCs w:val="14"/>
                <w:color w:val="auto"/>
              </w:rPr>
            </w:pPr>
          </w:p>
        </w:tc>
      </w:tr>
      <w:tr>
        <w:trPr>
          <w:trHeight w:val="187"/>
        </w:trPr>
        <w:tc>
          <w:tcPr>
            <w:tcW w:w="400" w:type="dxa"/>
            <w:vAlign w:val="bottom"/>
            <w:gridSpan w:val="2"/>
          </w:tcPr>
          <w:p>
            <w:pPr>
              <w:ind w:left="20"/>
              <w:spacing w:after="0"/>
              <w:rPr>
                <w:rFonts w:ascii="Times New Roman" w:cs="Times New Roman" w:eastAsia="Times New Roman" w:hAnsi="Times New Roman"/>
                <w:sz w:val="14"/>
                <w:szCs w:val="14"/>
                <w:color w:val="0000FF"/>
                <w:w w:val="88"/>
              </w:rPr>
            </w:pPr>
            <w:hyperlink r:id="rId261">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u w:val="single" w:color="auto"/>
                <w:color w:val="0000FF"/>
                <w:w w:val="88"/>
              </w:rPr>
              <w:t>17*</w:t>
            </w: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Employment Agreement dated as of January 6, 2023 between Comcast Corporation and Jason S. Armstrong (incorporated by reference to Exhibit 10.16 to Comcast’s Annual Report</w:t>
            </w:r>
          </w:p>
        </w:tc>
      </w:tr>
      <w:tr>
        <w:trPr>
          <w:trHeight w:val="164"/>
        </w:trPr>
        <w:tc>
          <w:tcPr>
            <w:tcW w:w="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on Form 10-K for the year ended December 31, 2022).</w:t>
            </w:r>
          </w:p>
        </w:tc>
        <w:tc>
          <w:tcPr>
            <w:tcW w:w="2080" w:type="dxa"/>
            <w:vAlign w:val="bottom"/>
          </w:tcPr>
          <w:p>
            <w:pPr>
              <w:spacing w:after="0"/>
              <w:rPr>
                <w:sz w:val="14"/>
                <w:szCs w:val="14"/>
                <w:color w:val="auto"/>
              </w:rPr>
            </w:pPr>
          </w:p>
        </w:tc>
      </w:tr>
      <w:tr>
        <w:trPr>
          <w:trHeight w:val="187"/>
        </w:trPr>
        <w:tc>
          <w:tcPr>
            <w:tcW w:w="400" w:type="dxa"/>
            <w:vAlign w:val="bottom"/>
            <w:gridSpan w:val="2"/>
          </w:tcPr>
          <w:p>
            <w:pPr>
              <w:ind w:left="20"/>
              <w:spacing w:after="0"/>
              <w:rPr>
                <w:rFonts w:ascii="Times New Roman" w:cs="Times New Roman" w:eastAsia="Times New Roman" w:hAnsi="Times New Roman"/>
                <w:sz w:val="14"/>
                <w:szCs w:val="14"/>
                <w:color w:val="0000FF"/>
                <w:w w:val="88"/>
              </w:rPr>
            </w:pPr>
            <w:hyperlink r:id="rId262">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u w:val="single" w:color="auto"/>
                <w:color w:val="0000FF"/>
                <w:w w:val="88"/>
              </w:rPr>
              <w:t>18*</w:t>
            </w: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Employment Agreement dated as of October 25, 2022 between Comcast Corporation and David N. Watson (incorporated by reference to Exhibit 10.1 to Comcast’s Quarterly Report</w:t>
            </w:r>
          </w:p>
        </w:tc>
      </w:tr>
      <w:tr>
        <w:trPr>
          <w:trHeight w:val="164"/>
        </w:trPr>
        <w:tc>
          <w:tcPr>
            <w:tcW w:w="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on Form 10-Q for the quarter ended September 30, 2022).</w:t>
            </w:r>
          </w:p>
        </w:tc>
        <w:tc>
          <w:tcPr>
            <w:tcW w:w="2080" w:type="dxa"/>
            <w:vAlign w:val="bottom"/>
          </w:tcPr>
          <w:p>
            <w:pPr>
              <w:spacing w:after="0"/>
              <w:rPr>
                <w:sz w:val="14"/>
                <w:szCs w:val="14"/>
                <w:color w:val="auto"/>
              </w:rPr>
            </w:pPr>
          </w:p>
        </w:tc>
      </w:tr>
      <w:tr>
        <w:trPr>
          <w:trHeight w:val="187"/>
        </w:trPr>
        <w:tc>
          <w:tcPr>
            <w:tcW w:w="680" w:type="dxa"/>
            <w:vAlign w:val="bottom"/>
            <w:gridSpan w:val="3"/>
          </w:tcPr>
          <w:p>
            <w:pPr>
              <w:ind w:left="20"/>
              <w:spacing w:after="0"/>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19*</w:t>
            </w: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Employment Agreement dated as of January 1, 2021 between Comcast Corporation and Dana Strong (incorporated by reference to Exhibit 10.1 to Comcast’s Quarterly Report on</w:t>
            </w:r>
          </w:p>
        </w:tc>
      </w:tr>
      <w:tr>
        <w:trPr>
          <w:trHeight w:val="164"/>
        </w:trPr>
        <w:tc>
          <w:tcPr>
            <w:tcW w:w="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Form 10-Q for the quarter ended June 30, 2022).</w:t>
            </w:r>
          </w:p>
        </w:tc>
        <w:tc>
          <w:tcPr>
            <w:tcW w:w="2080" w:type="dxa"/>
            <w:vAlign w:val="bottom"/>
          </w:tcPr>
          <w:p>
            <w:pPr>
              <w:spacing w:after="0"/>
              <w:rPr>
                <w:sz w:val="14"/>
                <w:szCs w:val="14"/>
                <w:color w:val="auto"/>
              </w:rPr>
            </w:pPr>
          </w:p>
        </w:tc>
      </w:tr>
      <w:tr>
        <w:trPr>
          <w:trHeight w:val="187"/>
        </w:trPr>
        <w:tc>
          <w:tcPr>
            <w:tcW w:w="400" w:type="dxa"/>
            <w:vAlign w:val="bottom"/>
            <w:gridSpan w:val="2"/>
          </w:tcPr>
          <w:p>
            <w:pPr>
              <w:ind w:left="20"/>
              <w:spacing w:after="0"/>
              <w:rPr>
                <w:rFonts w:ascii="Times New Roman" w:cs="Times New Roman" w:eastAsia="Times New Roman" w:hAnsi="Times New Roman"/>
                <w:sz w:val="14"/>
                <w:szCs w:val="14"/>
                <w:color w:val="0000FF"/>
                <w:w w:val="88"/>
              </w:rPr>
            </w:pPr>
            <w:hyperlink r:id="rId264">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u w:val="single" w:color="auto"/>
                <w:color w:val="0000FF"/>
                <w:w w:val="88"/>
              </w:rPr>
              <w:t>20*</w:t>
            </w: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Form of Non-Qualified Stock Option and Long-Term Incentive Awards Summary Schedule under the Comcast Corporation 2003 Stock Option Plan (incorporated by reference to</w:t>
            </w:r>
          </w:p>
        </w:tc>
      </w:tr>
      <w:tr>
        <w:trPr>
          <w:trHeight w:val="171"/>
        </w:trPr>
        <w:tc>
          <w:tcPr>
            <w:tcW w:w="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Exhibit 10.35 to Comcast’s Annual Report on Form 10-K for the year ended December 31, 2020).</w:t>
            </w:r>
          </w:p>
        </w:tc>
        <w:tc>
          <w:tcPr>
            <w:tcW w:w="2080" w:type="dxa"/>
            <w:vAlign w:val="bottom"/>
          </w:tcPr>
          <w:p>
            <w:pPr>
              <w:spacing w:after="0"/>
              <w:rPr>
                <w:sz w:val="14"/>
                <w:szCs w:val="14"/>
                <w:color w:val="auto"/>
              </w:rPr>
            </w:pPr>
          </w:p>
        </w:tc>
      </w:tr>
      <w:tr>
        <w:trPr>
          <w:trHeight w:val="213"/>
        </w:trPr>
        <w:tc>
          <w:tcPr>
            <w:tcW w:w="400" w:type="dxa"/>
            <w:vAlign w:val="bottom"/>
            <w:gridSpan w:val="2"/>
          </w:tcPr>
          <w:p>
            <w:pPr>
              <w:ind w:left="20"/>
              <w:spacing w:after="0"/>
              <w:rPr>
                <w:rFonts w:ascii="Times New Roman" w:cs="Times New Roman" w:eastAsia="Times New Roman" w:hAnsi="Times New Roman"/>
                <w:sz w:val="14"/>
                <w:szCs w:val="14"/>
                <w:color w:val="0000FF"/>
                <w:w w:val="88"/>
              </w:rPr>
            </w:pPr>
            <w:hyperlink r:id="rId265">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u w:val="single" w:color="auto"/>
                <w:color w:val="0000FF"/>
                <w:w w:val="88"/>
              </w:rPr>
              <w:t>21*</w:t>
            </w:r>
          </w:p>
        </w:tc>
        <w:tc>
          <w:tcPr>
            <w:tcW w:w="280" w:type="dxa"/>
            <w:vAlign w:val="bottom"/>
          </w:tcPr>
          <w:p>
            <w:pPr>
              <w:spacing w:after="0"/>
              <w:rPr>
                <w:sz w:val="18"/>
                <w:szCs w:val="18"/>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Form of Performance-Based Restricted Stock Unit Award and Long-Term Incentive Awards Summary Schedule under the Comcast Corporation 2002 Restricted Stock Plan</w:t>
            </w:r>
          </w:p>
        </w:tc>
      </w:tr>
      <w:tr>
        <w:trPr>
          <w:trHeight w:val="171"/>
        </w:trPr>
        <w:tc>
          <w:tcPr>
            <w:tcW w:w="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(incorporated by reference to Exhibit 10.37 to Comcast’s Annual Report on Form 10-K for the year ended December 31, 2020).</w:t>
            </w:r>
          </w:p>
        </w:tc>
        <w:tc>
          <w:tcPr>
            <w:tcW w:w="2080" w:type="dxa"/>
            <w:vAlign w:val="bottom"/>
          </w:tcPr>
          <w:p>
            <w:pPr>
              <w:spacing w:after="0"/>
              <w:rPr>
                <w:sz w:val="14"/>
                <w:szCs w:val="14"/>
                <w:color w:val="auto"/>
              </w:rPr>
            </w:pPr>
          </w:p>
        </w:tc>
      </w:tr>
      <w:tr>
        <w:trPr>
          <w:trHeight w:val="213"/>
        </w:trPr>
        <w:tc>
          <w:tcPr>
            <w:tcW w:w="400" w:type="dxa"/>
            <w:vAlign w:val="bottom"/>
            <w:gridSpan w:val="2"/>
          </w:tcPr>
          <w:p>
            <w:pPr>
              <w:ind w:left="20"/>
              <w:spacing w:after="0"/>
              <w:rPr>
                <w:rFonts w:ascii="Times New Roman" w:cs="Times New Roman" w:eastAsia="Times New Roman" w:hAnsi="Times New Roman"/>
                <w:sz w:val="14"/>
                <w:szCs w:val="14"/>
                <w:color w:val="0000FF"/>
                <w:w w:val="88"/>
              </w:rPr>
            </w:pPr>
            <w:hyperlink r:id="rId266">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u w:val="single" w:color="auto"/>
                <w:color w:val="0000FF"/>
                <w:w w:val="88"/>
              </w:rPr>
              <w:t>22*</w:t>
            </w:r>
          </w:p>
        </w:tc>
        <w:tc>
          <w:tcPr>
            <w:tcW w:w="280" w:type="dxa"/>
            <w:vAlign w:val="bottom"/>
          </w:tcPr>
          <w:p>
            <w:pPr>
              <w:spacing w:after="0"/>
              <w:rPr>
                <w:sz w:val="18"/>
                <w:szCs w:val="18"/>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Form of Performance-Based Stock Option Award (incorporated by reference to Exhibit 10.24 to Comcast’s Annual Report on Form 10-K for the year ended December 31, 2022).</w:t>
            </w: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03"/>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23*</w:t>
            </w:r>
          </w:p>
        </w:tc>
        <w:tc>
          <w:tcPr>
            <w:tcW w:w="280" w:type="dxa"/>
            <w:vAlign w:val="bottom"/>
          </w:tcPr>
          <w:p>
            <w:pPr>
              <w:spacing w:after="0"/>
              <w:rPr>
                <w:sz w:val="17"/>
                <w:szCs w:val="17"/>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Form of Performance-Based Restricted Stock Unit Award and Long-Term Incentive Awards Summary Schedule.</w:t>
            </w: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03"/>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24*</w:t>
            </w:r>
          </w:p>
        </w:tc>
        <w:tc>
          <w:tcPr>
            <w:tcW w:w="280" w:type="dxa"/>
            <w:vAlign w:val="bottom"/>
          </w:tcPr>
          <w:p>
            <w:pPr>
              <w:spacing w:after="0"/>
              <w:rPr>
                <w:sz w:val="17"/>
                <w:szCs w:val="17"/>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Form of Time-Based Restricted Stock Unit Award.</w:t>
            </w: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0" w:type="dxa"/>
            <w:vAlign w:val="bottom"/>
            <w:gridSpan w:val="2"/>
          </w:tcPr>
          <w:p>
            <w:pPr>
              <w:spacing w:after="0" w:line="20" w:lineRule="exact"/>
              <w:rPr>
                <w:sz w:val="1"/>
                <w:szCs w:val="1"/>
                <w:color w:val="auto"/>
              </w:rPr>
            </w:pPr>
          </w:p>
        </w:tc>
      </w:tr>
      <w:tr>
        <w:trPr>
          <w:trHeight w:val="203"/>
        </w:trPr>
        <w:tc>
          <w:tcPr>
            <w:tcW w:w="400" w:type="dxa"/>
            <w:vAlign w:val="bottom"/>
            <w:gridSpan w:val="2"/>
          </w:tcPr>
          <w:p>
            <w:pPr>
              <w:ind w:left="20"/>
              <w:spacing w:after="0"/>
              <w:rPr>
                <w:rFonts w:ascii="Times New Roman" w:cs="Times New Roman" w:eastAsia="Times New Roman" w:hAnsi="Times New Roman"/>
                <w:sz w:val="14"/>
                <w:szCs w:val="14"/>
                <w:color w:val="0000FF"/>
                <w:w w:val="88"/>
              </w:rPr>
            </w:pPr>
            <w:hyperlink r:id="rId267">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u w:val="single" w:color="auto"/>
                <w:color w:val="0000FF"/>
                <w:w w:val="88"/>
              </w:rPr>
              <w:t>25*</w:t>
            </w:r>
          </w:p>
        </w:tc>
        <w:tc>
          <w:tcPr>
            <w:tcW w:w="280" w:type="dxa"/>
            <w:vAlign w:val="bottom"/>
          </w:tcPr>
          <w:p>
            <w:pPr>
              <w:spacing w:after="0"/>
              <w:rPr>
                <w:sz w:val="17"/>
                <w:szCs w:val="17"/>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Form of Airplane Time Sharing Agreement (incorporated by reference to Exhibit 10.60 to Comcast’s Annual Report on Form 10-K for the year ended December 31, 2014).</w:t>
            </w: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0" w:type="dxa"/>
            <w:vAlign w:val="bottom"/>
            <w:gridSpan w:val="2"/>
          </w:tcPr>
          <w:p>
            <w:pPr>
              <w:spacing w:after="0" w:line="20" w:lineRule="exact"/>
              <w:rPr>
                <w:sz w:val="1"/>
                <w:szCs w:val="1"/>
                <w:color w:val="auto"/>
              </w:rPr>
            </w:pPr>
          </w:p>
        </w:tc>
      </w:tr>
      <w:tr>
        <w:trPr>
          <w:trHeight w:val="203"/>
        </w:trPr>
        <w:tc>
          <w:tcPr>
            <w:tcW w:w="400" w:type="dxa"/>
            <w:vAlign w:val="bottom"/>
            <w:gridSpan w:val="2"/>
          </w:tcPr>
          <w:p>
            <w:pPr>
              <w:ind w:left="20"/>
              <w:spacing w:after="0"/>
              <w:rPr>
                <w:rFonts w:ascii="Times New Roman" w:cs="Times New Roman" w:eastAsia="Times New Roman" w:hAnsi="Times New Roman"/>
                <w:sz w:val="14"/>
                <w:szCs w:val="14"/>
                <w:color w:val="0000FF"/>
                <w:w w:val="88"/>
              </w:rPr>
            </w:pPr>
            <w:hyperlink r:id="rId268">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u w:val="single" w:color="auto"/>
                <w:color w:val="0000FF"/>
                <w:w w:val="88"/>
              </w:rPr>
              <w:t>26*</w:t>
            </w:r>
          </w:p>
        </w:tc>
        <w:tc>
          <w:tcPr>
            <w:tcW w:w="280" w:type="dxa"/>
            <w:vAlign w:val="bottom"/>
          </w:tcPr>
          <w:p>
            <w:pPr>
              <w:spacing w:after="0"/>
              <w:rPr>
                <w:sz w:val="17"/>
                <w:szCs w:val="17"/>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Form of Director Indemnification Agreement (incorporated by reference to Exhibit 10.3 to Comcast’s Quarterly Report on Form 10-Q for the quarter ended June 30, 2009).</w:t>
            </w: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0" w:type="dxa"/>
            <w:vAlign w:val="bottom"/>
            <w:gridSpan w:val="2"/>
          </w:tcPr>
          <w:p>
            <w:pPr>
              <w:spacing w:after="0" w:line="20" w:lineRule="exact"/>
              <w:rPr>
                <w:sz w:val="1"/>
                <w:szCs w:val="1"/>
                <w:color w:val="auto"/>
              </w:rPr>
            </w:pPr>
          </w:p>
        </w:tc>
      </w:tr>
      <w:tr>
        <w:trPr>
          <w:trHeight w:val="203"/>
        </w:trPr>
        <w:tc>
          <w:tcPr>
            <w:tcW w:w="400" w:type="dxa"/>
            <w:vAlign w:val="bottom"/>
            <w:gridSpan w:val="2"/>
          </w:tcPr>
          <w:p>
            <w:pPr>
              <w:ind w:left="20"/>
              <w:spacing w:after="0"/>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27</w:t>
            </w:r>
          </w:p>
        </w:tc>
        <w:tc>
          <w:tcPr>
            <w:tcW w:w="280" w:type="dxa"/>
            <w:vAlign w:val="bottom"/>
          </w:tcPr>
          <w:p>
            <w:pPr>
              <w:spacing w:after="0"/>
              <w:rPr>
                <w:sz w:val="17"/>
                <w:szCs w:val="17"/>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Fourth Amended and Restated Shareholders Agreement, dated as of April 15, 2022, among Atairos Group, Inc., Comcast AG Holdings, LLC, Atairos Partners, L.P., Atairos</w:t>
            </w:r>
          </w:p>
        </w:tc>
      </w:tr>
      <w:tr>
        <w:trPr>
          <w:trHeight w:val="164"/>
        </w:trPr>
        <w:tc>
          <w:tcPr>
            <w:tcW w:w="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Management, L.P. and Comcast Corporation (incorporated by reference to Exhibit 10.27 to Comcast’s Annual Report on Form 10-K for the year ended December 31, 2022).</w:t>
            </w:r>
          </w:p>
        </w:tc>
      </w:tr>
      <w:tr>
        <w:trPr>
          <w:trHeight w:val="187"/>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28</w:t>
            </w: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First Amendment dated June 2, 2023 to Fourth Amended and Restated Shareholders Agreement, dated as of April 15, 2022, among Atairos Group, Inc., Comcast AG Holdings, LLC,</w:t>
            </w:r>
          </w:p>
        </w:tc>
      </w:tr>
      <w:tr>
        <w:trPr>
          <w:trHeight w:val="164"/>
        </w:trPr>
        <w:tc>
          <w:tcPr>
            <w:tcW w:w="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Atairos Partners, L.P. and Atairos Management, L.P.</w:t>
            </w:r>
          </w:p>
        </w:tc>
        <w:tc>
          <w:tcPr>
            <w:tcW w:w="2080" w:type="dxa"/>
            <w:vAlign w:val="bottom"/>
          </w:tcPr>
          <w:p>
            <w:pPr>
              <w:spacing w:after="0"/>
              <w:rPr>
                <w:sz w:val="14"/>
                <w:szCs w:val="14"/>
                <w:color w:val="auto"/>
              </w:rPr>
            </w:pPr>
          </w:p>
        </w:tc>
      </w:tr>
      <w:tr>
        <w:trPr>
          <w:trHeight w:val="187"/>
        </w:trPr>
        <w:tc>
          <w:tcPr>
            <w:tcW w:w="400" w:type="dxa"/>
            <w:vAlign w:val="bottom"/>
            <w:gridSpan w:val="2"/>
          </w:tcPr>
          <w:p>
            <w:pPr>
              <w:ind w:left="20"/>
              <w:spacing w:after="0"/>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29</w:t>
              </w:r>
            </w:hyperlink>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Consultant Agreement, dated as of January 20, 1987, between Steven Spielberg and Universal City Florida Partners (incorporated by reference to Exhibit 10.49 to the Registration</w:t>
            </w:r>
          </w:p>
        </w:tc>
      </w:tr>
      <w:tr>
        <w:trPr>
          <w:trHeight w:val="164"/>
        </w:trPr>
        <w:tc>
          <w:tcPr>
            <w:tcW w:w="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Statement on Form S-4 of Universal City Development Partners, Ltd. and UCDP Finance, Inc. filed on January 20, 2010 (File No. 333-164431)).</w:t>
            </w:r>
          </w:p>
        </w:tc>
        <w:tc>
          <w:tcPr>
            <w:tcW w:w="2080" w:type="dxa"/>
            <w:vAlign w:val="bottom"/>
          </w:tcPr>
          <w:p>
            <w:pPr>
              <w:spacing w:after="0"/>
              <w:rPr>
                <w:sz w:val="14"/>
                <w:szCs w:val="14"/>
                <w:color w:val="auto"/>
              </w:rPr>
            </w:pPr>
          </w:p>
        </w:tc>
      </w:tr>
      <w:tr>
        <w:trPr>
          <w:trHeight w:val="187"/>
        </w:trPr>
        <w:tc>
          <w:tcPr>
            <w:tcW w:w="400" w:type="dxa"/>
            <w:vAlign w:val="bottom"/>
            <w:gridSpan w:val="2"/>
          </w:tcPr>
          <w:p>
            <w:pPr>
              <w:ind w:left="20"/>
              <w:spacing w:after="0"/>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30</w:t>
            </w:r>
          </w:p>
        </w:tc>
        <w:tc>
          <w:tcPr>
            <w:tcW w:w="280" w:type="dxa"/>
            <w:vAlign w:val="bottom"/>
          </w:tcPr>
          <w:p>
            <w:pPr>
              <w:spacing w:after="0"/>
              <w:rPr>
                <w:sz w:val="16"/>
                <w:szCs w:val="16"/>
                <w:color w:val="auto"/>
              </w:rPr>
            </w:pPr>
          </w:p>
        </w:tc>
        <w:tc>
          <w:tcPr>
            <w:tcW w:w="10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Amendment dated February 5, 2001 to the Consultant Agreement dated as of January 20, 1987, between the Consultant and Universal City Florida Partners (incorporated by</w:t>
            </w:r>
          </w:p>
        </w:tc>
      </w:tr>
      <w:tr>
        <w:trPr>
          <w:trHeight w:val="114"/>
        </w:trPr>
        <w:tc>
          <w:tcPr>
            <w:tcW w:w="20" w:type="dxa"/>
            <w:vAlign w:val="bottom"/>
          </w:tcPr>
          <w:p>
            <w:pPr>
              <w:spacing w:after="0"/>
              <w:rPr>
                <w:sz w:val="9"/>
                <w:szCs w:val="9"/>
                <w:color w:val="auto"/>
              </w:rPr>
            </w:pPr>
          </w:p>
        </w:tc>
        <w:tc>
          <w:tcPr>
            <w:tcW w:w="380" w:type="dxa"/>
            <w:vAlign w:val="bottom"/>
            <w:tcBorders>
              <w:top w:val="single" w:sz="8" w:color="0000FF"/>
            </w:tcBorders>
          </w:tcPr>
          <w:p>
            <w:pPr>
              <w:spacing w:after="0"/>
              <w:rPr>
                <w:sz w:val="9"/>
                <w:szCs w:val="9"/>
                <w:color w:val="auto"/>
              </w:rPr>
            </w:pPr>
          </w:p>
        </w:tc>
        <w:tc>
          <w:tcPr>
            <w:tcW w:w="280" w:type="dxa"/>
            <w:vAlign w:val="bottom"/>
          </w:tcPr>
          <w:p>
            <w:pPr>
              <w:spacing w:after="0"/>
              <w:rPr>
                <w:sz w:val="9"/>
                <w:szCs w:val="9"/>
                <w:color w:val="auto"/>
              </w:rPr>
            </w:pPr>
          </w:p>
        </w:tc>
        <w:tc>
          <w:tcPr>
            <w:tcW w:w="1060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3"/>
                <w:szCs w:val="13"/>
                <w:color w:val="auto"/>
              </w:rPr>
              <w:t>reference to Exhibit 10.50 to the Registration Statement on Form S-4 of Universal City Development Partners, Ltd. and UCDP Finance, Inc. filed on January 20, 2010 (File No. 333-</w:t>
            </w:r>
          </w:p>
        </w:tc>
      </w:t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164431)).</w:t>
            </w:r>
          </w:p>
        </w:tc>
        <w:tc>
          <w:tcPr>
            <w:tcW w:w="2080" w:type="dxa"/>
            <w:vAlign w:val="bottom"/>
          </w:tcPr>
          <w:p>
            <w:pPr>
              <w:spacing w:after="0"/>
              <w:rPr>
                <w:sz w:val="16"/>
                <w:szCs w:val="16"/>
                <w:color w:val="auto"/>
              </w:rPr>
            </w:pPr>
          </w:p>
        </w:tc>
      </w:tr>
      <w:tr>
        <w:trPr>
          <w:trHeight w:val="57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20" w:type="dxa"/>
            <w:vAlign w:val="bottom"/>
          </w:tcPr>
          <w:p>
            <w:pPr>
              <w:ind w:left="4880"/>
              <w:spacing w:after="0"/>
              <w:rPr>
                <w:sz w:val="20"/>
                <w:szCs w:val="20"/>
                <w:color w:val="auto"/>
              </w:rPr>
            </w:pPr>
            <w:r>
              <w:rPr>
                <w:rFonts w:ascii="Times New Roman" w:cs="Times New Roman" w:eastAsia="Times New Roman" w:hAnsi="Times New Roman"/>
                <w:sz w:val="11"/>
                <w:szCs w:val="11"/>
                <w:b w:val="1"/>
                <w:bCs w:val="1"/>
                <w:color w:val="auto"/>
              </w:rPr>
              <w:t>97</w:t>
            </w:r>
          </w:p>
        </w:tc>
        <w:tc>
          <w:tcPr>
            <w:tcW w:w="2080" w:type="dxa"/>
            <w:vAlign w:val="bottom"/>
          </w:tcPr>
          <w:p>
            <w:pPr>
              <w:spacing w:after="0"/>
              <w:rPr>
                <w:sz w:val="20"/>
                <w:szCs w:val="20"/>
                <w:color w:val="auto"/>
              </w:rPr>
            </w:pPr>
            <w:r>
              <w:rPr>
                <w:rFonts w:ascii="Times New Roman" w:cs="Times New Roman" w:eastAsia="Times New Roman" w:hAnsi="Times New Roman"/>
                <w:sz w:val="11"/>
                <w:szCs w:val="11"/>
                <w:color w:val="auto"/>
              </w:rPr>
              <w:t>Comcast 2023 Annual Report on Form 10-K</w:t>
            </w:r>
          </w:p>
        </w:tc>
      </w:tr>
      <w:tr>
        <w:trPr>
          <w:trHeight w:val="264"/>
        </w:trPr>
        <w:tc>
          <w:tcPr>
            <w:tcW w:w="2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8520" w:type="dxa"/>
            <w:vAlign w:val="bottom"/>
            <w:tcBorders>
              <w:bottom w:val="single" w:sz="8" w:color="9A9A9A"/>
            </w:tcBorders>
          </w:tcPr>
          <w:p>
            <w:pPr>
              <w:spacing w:after="0"/>
              <w:rPr>
                <w:sz w:val="22"/>
                <w:szCs w:val="22"/>
                <w:color w:val="auto"/>
              </w:rPr>
            </w:pPr>
          </w:p>
        </w:tc>
        <w:tc>
          <w:tcPr>
            <w:tcW w:w="20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0" w:type="dxa"/>
            <w:vAlign w:val="bottom"/>
            <w:gridSpan w:val="2"/>
          </w:tcPr>
          <w:p>
            <w:pPr>
              <w:jc w:val="right"/>
              <w:ind w:right="320"/>
              <w:spacing w:after="0"/>
              <w:rPr>
                <w:rFonts w:ascii="Times New Roman" w:cs="Times New Roman" w:eastAsia="Times New Roman" w:hAnsi="Times New Roman"/>
                <w:sz w:val="14"/>
                <w:szCs w:val="14"/>
                <w:color w:val="0000FF"/>
                <w:w w:val="95"/>
              </w:rPr>
            </w:pPr>
            <w:hyperlink r:id="rId274">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u w:val="single" w:color="auto"/>
                <w:color w:val="0000FF"/>
                <w:w w:val="95"/>
              </w:rPr>
              <w:t>31</w:t>
            </w: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Amendment to the Consultant Agreement, dated as of October 18, 2009, between Steven Spielberg, Diamond Lane Productions, Inc. and Universal City Development Partners, Ltd.</w:t>
            </w:r>
          </w:p>
        </w:tc>
      </w:tr>
      <w:tr>
        <w:trPr>
          <w:trHeight w:val="114"/>
        </w:trPr>
        <w:tc>
          <w:tcPr>
            <w:tcW w:w="320" w:type="dxa"/>
            <w:vAlign w:val="bottom"/>
            <w:tcBorders>
              <w:top w:val="single" w:sz="8" w:color="0000FF"/>
            </w:tcBorders>
          </w:tcPr>
          <w:p>
            <w:pPr>
              <w:spacing w:after="0"/>
              <w:rPr>
                <w:sz w:val="9"/>
                <w:szCs w:val="9"/>
                <w:color w:val="auto"/>
              </w:rPr>
            </w:pPr>
          </w:p>
        </w:tc>
        <w:tc>
          <w:tcPr>
            <w:tcW w:w="320" w:type="dxa"/>
            <w:vAlign w:val="bottom"/>
          </w:tcPr>
          <w:p>
            <w:pPr>
              <w:spacing w:after="0"/>
              <w:rPr>
                <w:sz w:val="9"/>
                <w:szCs w:val="9"/>
                <w:color w:val="auto"/>
              </w:rPr>
            </w:pPr>
          </w:p>
        </w:tc>
        <w:tc>
          <w:tcPr>
            <w:tcW w:w="10600" w:type="dxa"/>
            <w:vAlign w:val="bottom"/>
          </w:tcPr>
          <w:p>
            <w:pPr>
              <w:ind w:left="300"/>
              <w:spacing w:after="0" w:line="114" w:lineRule="exact"/>
              <w:rPr>
                <w:sz w:val="20"/>
                <w:szCs w:val="20"/>
                <w:color w:val="auto"/>
              </w:rPr>
            </w:pPr>
            <w:r>
              <w:rPr>
                <w:rFonts w:ascii="Times New Roman" w:cs="Times New Roman" w:eastAsia="Times New Roman" w:hAnsi="Times New Roman"/>
                <w:sz w:val="13"/>
                <w:szCs w:val="13"/>
                <w:color w:val="auto"/>
              </w:rPr>
              <w:t>(incorporated by reference to Exhibit 10.52 to the Registration Statement on Form S-4 of Universal City Development Partners, Ltd. and UCDP Finance, Inc. filed on January 20,</w:t>
            </w:r>
          </w:p>
        </w:tc>
      </w:tr>
      <w:tr>
        <w:trPr>
          <w:trHeight w:val="184"/>
        </w:trPr>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2010 (File No. 333-164431)).</w:t>
            </w:r>
          </w:p>
        </w:tc>
      </w:tr>
      <w:tr>
        <w:trPr>
          <w:trHeight w:val="191"/>
        </w:trPr>
        <w:tc>
          <w:tcPr>
            <w:tcW w:w="640" w:type="dxa"/>
            <w:vAlign w:val="bottom"/>
            <w:gridSpan w:val="2"/>
          </w:tcPr>
          <w:p>
            <w:pPr>
              <w:jc w:val="right"/>
              <w:ind w:right="320"/>
              <w:spacing w:after="0"/>
              <w:rPr>
                <w:rFonts w:ascii="Times New Roman" w:cs="Times New Roman" w:eastAsia="Times New Roman" w:hAnsi="Times New Roman"/>
                <w:sz w:val="14"/>
                <w:szCs w:val="14"/>
                <w:color w:val="0000FF"/>
                <w:w w:val="95"/>
              </w:rPr>
            </w:pPr>
            <w:hyperlink r:id="rId275">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u w:val="single" w:color="auto"/>
                <w:color w:val="0000FF"/>
                <w:w w:val="95"/>
              </w:rPr>
              <w:t>32</w:t>
            </w: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Letter Agreement dated July 15, 2003, among Diamond Lane Productions, Vivendi Universal Entertainment LLLP and Universal City Development Partners, Ltd. (incorporated by</w:t>
            </w:r>
          </w:p>
        </w:tc>
      </w:tr>
      <w:tr>
        <w:trPr>
          <w:trHeight w:val="114"/>
        </w:trPr>
        <w:tc>
          <w:tcPr>
            <w:tcW w:w="320" w:type="dxa"/>
            <w:vAlign w:val="bottom"/>
            <w:tcBorders>
              <w:top w:val="single" w:sz="8" w:color="0000FF"/>
            </w:tcBorders>
          </w:tcPr>
          <w:p>
            <w:pPr>
              <w:spacing w:after="0"/>
              <w:rPr>
                <w:sz w:val="9"/>
                <w:szCs w:val="9"/>
                <w:color w:val="auto"/>
              </w:rPr>
            </w:pPr>
          </w:p>
        </w:tc>
        <w:tc>
          <w:tcPr>
            <w:tcW w:w="320" w:type="dxa"/>
            <w:vAlign w:val="bottom"/>
          </w:tcPr>
          <w:p>
            <w:pPr>
              <w:spacing w:after="0"/>
              <w:rPr>
                <w:sz w:val="9"/>
                <w:szCs w:val="9"/>
                <w:color w:val="auto"/>
              </w:rPr>
            </w:pPr>
          </w:p>
        </w:tc>
        <w:tc>
          <w:tcPr>
            <w:tcW w:w="10600" w:type="dxa"/>
            <w:vAlign w:val="bottom"/>
          </w:tcPr>
          <w:p>
            <w:pPr>
              <w:ind w:left="300"/>
              <w:spacing w:after="0" w:line="114" w:lineRule="exact"/>
              <w:rPr>
                <w:sz w:val="20"/>
                <w:szCs w:val="20"/>
                <w:color w:val="auto"/>
              </w:rPr>
            </w:pPr>
            <w:r>
              <w:rPr>
                <w:rFonts w:ascii="Times New Roman" w:cs="Times New Roman" w:eastAsia="Times New Roman" w:hAnsi="Times New Roman"/>
                <w:sz w:val="13"/>
                <w:szCs w:val="13"/>
                <w:color w:val="auto"/>
              </w:rPr>
              <w:t>reference to Exhibit 10.51 to the Registration Statement on Form S-4 of Universal City Development Partners, Ltd. and UCDP Finance, Inc. filed on January 20, 2010 (File No. 333-</w:t>
            </w:r>
          </w:p>
        </w:tc>
      </w:tr>
      <w:tr>
        <w:trPr>
          <w:trHeight w:val="184"/>
        </w:trPr>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164431)).</w:t>
            </w:r>
          </w:p>
        </w:tc>
      </w:tr>
    </w:tbl>
    <w:p>
      <w:pPr>
        <w:spacing w:after="0" w:line="39" w:lineRule="exact"/>
        <w:rPr>
          <w:sz w:val="20"/>
          <w:szCs w:val="20"/>
          <w:color w:val="auto"/>
        </w:rPr>
      </w:pPr>
    </w:p>
    <w:p>
      <w:pPr>
        <w:ind w:left="960" w:hanging="941"/>
        <w:spacing w:after="0"/>
        <w:tabs>
          <w:tab w:leader="none" w:pos="960" w:val="left"/>
        </w:tabs>
        <w:numPr>
          <w:ilvl w:val="0"/>
          <w:numId w:val="46"/>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List of subsidiaries.</w:t>
      </w:r>
    </w:p>
    <w:p>
      <w:pPr>
        <w:spacing w:after="0" w:line="61" w:lineRule="exact"/>
        <w:rPr>
          <w:rFonts w:ascii="Times New Roman" w:cs="Times New Roman" w:eastAsia="Times New Roman" w:hAnsi="Times New Roman"/>
          <w:sz w:val="14"/>
          <w:szCs w:val="14"/>
          <w:u w:val="single" w:color="auto"/>
          <w:color w:val="0000FF"/>
        </w:rPr>
      </w:pPr>
    </w:p>
    <w:p>
      <w:pPr>
        <w:ind w:left="960" w:hanging="941"/>
        <w:spacing w:after="0"/>
        <w:tabs>
          <w:tab w:leader="none" w:pos="960" w:val="left"/>
        </w:tabs>
        <w:numPr>
          <w:ilvl w:val="0"/>
          <w:numId w:val="46"/>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Subsidiary guarantors and issuers of guaranteed securities and affiliates whose securities collateralize securities of the registrant.</w:t>
      </w:r>
    </w:p>
    <w:p>
      <w:pPr>
        <w:spacing w:after="0" w:line="61" w:lineRule="exact"/>
        <w:rPr>
          <w:rFonts w:ascii="Times New Roman" w:cs="Times New Roman" w:eastAsia="Times New Roman" w:hAnsi="Times New Roman"/>
          <w:sz w:val="14"/>
          <w:szCs w:val="14"/>
          <w:u w:val="single" w:color="auto"/>
          <w:color w:val="0000FF"/>
        </w:rPr>
      </w:pPr>
    </w:p>
    <w:p>
      <w:pPr>
        <w:ind w:left="960" w:hanging="941"/>
        <w:spacing w:after="0"/>
        <w:tabs>
          <w:tab w:leader="none" w:pos="960" w:val="left"/>
        </w:tabs>
        <w:numPr>
          <w:ilvl w:val="0"/>
          <w:numId w:val="46"/>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Consent of Deloitte &amp; Touche LLP.</w:t>
      </w:r>
    </w:p>
    <w:p>
      <w:pPr>
        <w:spacing w:after="0" w:line="62" w:lineRule="exact"/>
        <w:rPr>
          <w:sz w:val="20"/>
          <w:szCs w:val="20"/>
          <w:color w:val="auto"/>
        </w:rPr>
      </w:pPr>
    </w:p>
    <w:p>
      <w:pPr>
        <w:ind w:left="960" w:hanging="941"/>
        <w:spacing w:after="0"/>
        <w:tabs>
          <w:tab w:leader="none" w:pos="960" w:val="left"/>
        </w:tabs>
        <w:numPr>
          <w:ilvl w:val="0"/>
          <w:numId w:val="47"/>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Certification of Chief Executive Officer and Chief Financial Officer pursuant to Section 302 of the Sarbanes-Oxley Act of 2002.</w:t>
      </w:r>
    </w:p>
    <w:p>
      <w:pPr>
        <w:spacing w:after="0" w:line="61" w:lineRule="exact"/>
        <w:rPr>
          <w:rFonts w:ascii="Times New Roman" w:cs="Times New Roman" w:eastAsia="Times New Roman" w:hAnsi="Times New Roman"/>
          <w:sz w:val="14"/>
          <w:szCs w:val="14"/>
          <w:u w:val="single" w:color="auto"/>
          <w:color w:val="0000FF"/>
        </w:rPr>
      </w:pPr>
    </w:p>
    <w:p>
      <w:pPr>
        <w:ind w:left="960" w:hanging="941"/>
        <w:spacing w:after="0"/>
        <w:tabs>
          <w:tab w:leader="none" w:pos="960" w:val="left"/>
        </w:tabs>
        <w:numPr>
          <w:ilvl w:val="0"/>
          <w:numId w:val="47"/>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Certification of Chief Executive Officer and Chief Financial Officer pursuant to Section 906 of the Sarbanes-Oxley Act of 2002.</w:t>
      </w:r>
    </w:p>
    <w:p>
      <w:pPr>
        <w:spacing w:after="0" w:line="62" w:lineRule="exact"/>
        <w:rPr>
          <w:sz w:val="20"/>
          <w:szCs w:val="20"/>
          <w:color w:val="auto"/>
        </w:rPr>
      </w:pPr>
    </w:p>
    <w:p>
      <w:pPr>
        <w:ind w:left="960" w:hanging="941"/>
        <w:spacing w:after="0"/>
        <w:tabs>
          <w:tab w:leader="none" w:pos="960" w:val="left"/>
        </w:tabs>
        <w:numPr>
          <w:ilvl w:val="0"/>
          <w:numId w:val="48"/>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Comcast Corporation Recoupment Policy.</w:t>
      </w:r>
    </w:p>
    <w:p>
      <w:pPr>
        <w:spacing w:after="0" w:line="62" w:lineRule="exact"/>
        <w:rPr>
          <w:sz w:val="20"/>
          <w:szCs w:val="20"/>
          <w:color w:val="auto"/>
        </w:rPr>
      </w:pPr>
    </w:p>
    <w:p>
      <w:pPr>
        <w:jc w:val="both"/>
        <w:ind w:left="960" w:right="20" w:hanging="941"/>
        <w:spacing w:after="0" w:line="226" w:lineRule="auto"/>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statements from Comcast Corporation’s Annual Report on Form 10-K for the year ended December 31, 2023, filed with the Securities and Exchange Commission on January 31, 2024, formatted in Inline Extensible Business Reporting Language (iXBRL): (1) the Consolidated Statement of Income; (2) the Consolidated Statement of Comprehensive Income; (3) the Consolidated Statement of Cash Flows; (4) the Consolidated Balance Sheet; (5) the Consolidated Statement of Changes in Equity; and (6) the Notes to Consolidated Financial Statements.</w:t>
      </w:r>
    </w:p>
    <w:p>
      <w:pPr>
        <w:spacing w:after="0" w:line="2"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4" w:lineRule="exact"/>
        <w:rPr>
          <w:sz w:val="20"/>
          <w:szCs w:val="20"/>
          <w:color w:val="auto"/>
        </w:rPr>
      </w:pPr>
    </w:p>
    <w:p>
      <w:pPr>
        <w:ind w:left="960" w:hanging="941"/>
        <w:spacing w:after="0"/>
        <w:tabs>
          <w:tab w:leader="none" w:pos="96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Constitutes a management contract or compensatory plan or arrangement.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006EBF"/>
        </w:rPr>
        <w:t>Item 16: Form 10-K Summary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Comcast 2023 Annual Report on Form 10-K</w:t>
            </w:r>
          </w:p>
        </w:tc>
        <w:tc>
          <w:tcPr>
            <w:tcW w:w="7480" w:type="dxa"/>
            <w:vAlign w:val="bottom"/>
          </w:tcPr>
          <w:p>
            <w:pPr>
              <w:jc w:val="right"/>
              <w:ind w:right="5563"/>
              <w:spacing w:after="0"/>
              <w:rPr>
                <w:sz w:val="20"/>
                <w:szCs w:val="20"/>
                <w:color w:val="auto"/>
              </w:rPr>
            </w:pPr>
            <w:r>
              <w:rPr>
                <w:rFonts w:ascii="Times New Roman" w:cs="Times New Roman" w:eastAsia="Times New Roman" w:hAnsi="Times New Roman"/>
                <w:sz w:val="11"/>
                <w:szCs w:val="11"/>
                <w:b w:val="1"/>
                <w:bCs w:val="1"/>
                <w:color w:val="auto"/>
              </w:rPr>
              <w:t>98</w:t>
            </w:r>
          </w:p>
        </w:tc>
      </w:tr>
      <w:tr>
        <w:trPr>
          <w:trHeight w:val="264"/>
        </w:trPr>
        <w:tc>
          <w:tcPr>
            <w:tcW w:w="380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Signatures</w:t>
      </w:r>
    </w:p>
    <w:p>
      <w:pPr>
        <w:spacing w:after="0" w:line="17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 in Philadelphia, Pennsylvania on January 31, 2024.</w:t>
      </w:r>
    </w:p>
    <w:p>
      <w:pPr>
        <w:spacing w:after="0" w:line="71" w:lineRule="exact"/>
        <w:rPr>
          <w:sz w:val="20"/>
          <w:szCs w:val="20"/>
          <w:color w:val="auto"/>
        </w:rPr>
      </w:pPr>
    </w:p>
    <w:tbl>
      <w:tblPr>
        <w:tblLayout w:type="fixed"/>
        <w:tblInd w:w="384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6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BRIAN L. ROBERTS</w:t>
            </w:r>
          </w:p>
        </w:tc>
      </w:tr>
      <w:tr>
        <w:trPr>
          <w:trHeight w:val="165"/>
        </w:trPr>
        <w:tc>
          <w:tcPr>
            <w:tcW w:w="1140" w:type="dxa"/>
            <w:vAlign w:val="bottom"/>
          </w:tcPr>
          <w:p>
            <w:pPr>
              <w:spacing w:after="0"/>
              <w:rPr>
                <w:sz w:val="14"/>
                <w:szCs w:val="14"/>
                <w:color w:val="auto"/>
              </w:rPr>
            </w:pPr>
          </w:p>
        </w:tc>
        <w:tc>
          <w:tcPr>
            <w:tcW w:w="6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Brian L. Roberts</w:t>
            </w:r>
          </w:p>
        </w:tc>
      </w:tr>
      <w:tr>
        <w:trPr>
          <w:trHeight w:val="186"/>
        </w:trPr>
        <w:tc>
          <w:tcPr>
            <w:tcW w:w="1140" w:type="dxa"/>
            <w:vAlign w:val="bottom"/>
          </w:tcPr>
          <w:p>
            <w:pPr>
              <w:spacing w:after="0"/>
              <w:rPr>
                <w:sz w:val="16"/>
                <w:szCs w:val="16"/>
                <w:color w:val="auto"/>
              </w:rPr>
            </w:pPr>
          </w:p>
        </w:tc>
        <w:tc>
          <w:tcPr>
            <w:tcW w:w="630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Chairman and Chief Executive Officer</w:t>
            </w:r>
          </w:p>
        </w:tc>
      </w:tr>
    </w:tbl>
    <w:p>
      <w:pPr>
        <w:spacing w:after="0" w:line="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69" w:lineRule="exact"/>
        <w:rPr>
          <w:sz w:val="20"/>
          <w:szCs w:val="20"/>
          <w:color w:val="auto"/>
        </w:rPr>
      </w:pPr>
    </w:p>
    <w:p>
      <w:pPr>
        <w:ind w:left="1680"/>
        <w:spacing w:after="0"/>
        <w:tabs>
          <w:tab w:leader="none" w:pos="6140" w:val="left"/>
          <w:tab w:leader="none" w:pos="9880" w:val="left"/>
        </w:tabs>
        <w:rPr>
          <w:sz w:val="20"/>
          <w:szCs w:val="20"/>
          <w:color w:val="auto"/>
        </w:rPr>
      </w:pPr>
      <w:r>
        <w:rPr>
          <w:rFonts w:ascii="Times New Roman" w:cs="Times New Roman" w:eastAsia="Times New Roman" w:hAnsi="Times New Roman"/>
          <w:sz w:val="11"/>
          <w:szCs w:val="11"/>
          <w:color w:val="auto"/>
        </w:rPr>
        <w:t>Signature</w:t>
      </w:r>
      <w:r>
        <w:rPr>
          <w:sz w:val="20"/>
          <w:szCs w:val="20"/>
          <w:color w:val="auto"/>
        </w:rPr>
        <w:tab/>
      </w:r>
      <w:r>
        <w:rPr>
          <w:rFonts w:ascii="Times New Roman" w:cs="Times New Roman" w:eastAsia="Times New Roman" w:hAnsi="Times New Roman"/>
          <w:sz w:val="11"/>
          <w:szCs w:val="11"/>
          <w:color w:val="auto"/>
        </w:rPr>
        <w:t>Title</w:t>
      </w:r>
      <w:r>
        <w:rPr>
          <w:sz w:val="20"/>
          <w:szCs w:val="20"/>
          <w:color w:val="auto"/>
        </w:rPr>
        <w:tab/>
      </w:r>
      <w:r>
        <w:rPr>
          <w:rFonts w:ascii="Times New Roman" w:cs="Times New Roman" w:eastAsia="Times New Roman" w:hAnsi="Times New Roman"/>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p>
      <w:pPr>
        <w:spacing w:after="0" w:line="27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173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Brian L. Roberts</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173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Jason S. Armstrong</w:t>
      </w:r>
    </w:p>
    <w:p>
      <w:pPr>
        <w:spacing w:after="0" w:line="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241173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Daniel C. Murdock</w:t>
      </w:r>
    </w:p>
    <w:p>
      <w:pPr>
        <w:spacing w:after="0" w:line="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 KENNETH J.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173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Kenneth J. Bacon</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/s/ THOMAS J. BALTIMORE,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173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Thomas J. Baltimore, Jr.</w:t>
      </w:r>
    </w:p>
    <w:p>
      <w:pPr>
        <w:spacing w:after="0" w:line="9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 LOUISE F.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173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Louise F. Brady</w:t>
      </w:r>
    </w:p>
    <w:p>
      <w:pPr>
        <w:spacing w:after="0" w:line="9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/s/ MADELINE S.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173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Madeline S. Bell</w:t>
      </w:r>
    </w:p>
    <w:p>
      <w:pPr>
        <w:spacing w:after="0" w:line="9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/s/ EDWARD D.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173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Edward D. Breen</w:t>
      </w:r>
    </w:p>
    <w:p>
      <w:pPr>
        <w:spacing w:after="0" w:line="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/s/ 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173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Gerald L. Hassell</w:t>
      </w:r>
    </w:p>
    <w:p>
      <w:pPr>
        <w:spacing w:after="0" w:line="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 JEFFREY A. HONICKMAN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173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Jeffrey A. Honickman</w:t>
      </w:r>
    </w:p>
    <w:p>
      <w:pPr>
        <w:spacing w:after="0" w:line="9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/s/ MARITZA G. MONTIEL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173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Maritza G. Montiel</w:t>
      </w:r>
    </w:p>
    <w:p>
      <w:pPr>
        <w:spacing w:after="0" w:line="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 ASUKA NAKAHARA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173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Asuka Nakahara</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 DAVID C.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173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David C. Novak</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jc w:val="center"/>
              <w:ind w:right="869"/>
              <w:spacing w:after="0"/>
              <w:rPr>
                <w:sz w:val="20"/>
                <w:szCs w:val="20"/>
                <w:color w:val="auto"/>
              </w:rPr>
            </w:pPr>
            <w:r>
              <w:rPr>
                <w:rFonts w:ascii="Times New Roman" w:cs="Times New Roman" w:eastAsia="Times New Roman" w:hAnsi="Times New Roman"/>
                <w:sz w:val="14"/>
                <w:szCs w:val="14"/>
                <w:color w:val="auto"/>
              </w:rPr>
              <w:t>Chairman and Chief Executive Officer; Director</w:t>
            </w: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January 31, 2024</w:t>
            </w:r>
          </w:p>
        </w:tc>
      </w:tr>
      <w:tr>
        <w:trPr>
          <w:trHeight w:val="184"/>
        </w:trPr>
        <w:tc>
          <w:tcPr>
            <w:tcW w:w="368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900" w:type="dxa"/>
            <w:vAlign w:val="bottom"/>
          </w:tcPr>
          <w:p>
            <w:pPr>
              <w:spacing w:after="0"/>
              <w:rPr>
                <w:sz w:val="16"/>
                <w:szCs w:val="16"/>
                <w:color w:val="auto"/>
              </w:rPr>
            </w:pPr>
          </w:p>
        </w:tc>
      </w:tr>
      <w:tr>
        <w:trPr>
          <w:trHeight w:val="240"/>
        </w:trPr>
        <w:tc>
          <w:tcPr>
            <w:tcW w:w="368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Chief Financial Officer</w:t>
            </w: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January 31, 2024</w:t>
            </w:r>
          </w:p>
        </w:tc>
      </w:tr>
      <w:tr>
        <w:trPr>
          <w:trHeight w:val="184"/>
        </w:trPr>
        <w:tc>
          <w:tcPr>
            <w:tcW w:w="368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900" w:type="dxa"/>
            <w:vAlign w:val="bottom"/>
          </w:tcPr>
          <w:p>
            <w:pPr>
              <w:spacing w:after="0"/>
              <w:rPr>
                <w:sz w:val="16"/>
                <w:szCs w:val="16"/>
                <w:color w:val="auto"/>
              </w:rPr>
            </w:pPr>
          </w:p>
        </w:tc>
      </w:tr>
      <w:tr>
        <w:trPr>
          <w:trHeight w:val="283"/>
        </w:trPr>
        <w:tc>
          <w:tcPr>
            <w:tcW w:w="3680" w:type="dxa"/>
            <w:vAlign w:val="bottom"/>
          </w:tcPr>
          <w:p>
            <w:pPr>
              <w:jc w:val="center"/>
              <w:ind w:right="869"/>
              <w:spacing w:after="0"/>
              <w:rPr>
                <w:sz w:val="20"/>
                <w:szCs w:val="20"/>
                <w:color w:val="auto"/>
              </w:rPr>
            </w:pPr>
            <w:r>
              <w:rPr>
                <w:rFonts w:ascii="Times New Roman" w:cs="Times New Roman" w:eastAsia="Times New Roman" w:hAnsi="Times New Roman"/>
                <w:sz w:val="14"/>
                <w:szCs w:val="14"/>
                <w:color w:val="auto"/>
              </w:rPr>
              <w:t>Executive Vice President, Chief Accounting</w:t>
            </w: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January 31, 2024</w:t>
            </w:r>
          </w:p>
        </w:tc>
      </w:tr>
      <w:tr>
        <w:trPr>
          <w:trHeight w:val="144"/>
        </w:trPr>
        <w:tc>
          <w:tcPr>
            <w:tcW w:w="3680" w:type="dxa"/>
            <w:vAlign w:val="bottom"/>
          </w:tcPr>
          <w:p>
            <w:pPr>
              <w:jc w:val="center"/>
              <w:ind w:right="869"/>
              <w:spacing w:after="0" w:line="145" w:lineRule="exact"/>
              <w:rPr>
                <w:sz w:val="20"/>
                <w:szCs w:val="20"/>
                <w:color w:val="auto"/>
              </w:rPr>
            </w:pPr>
            <w:r>
              <w:rPr>
                <w:rFonts w:ascii="Times New Roman" w:cs="Times New Roman" w:eastAsia="Times New Roman" w:hAnsi="Times New Roman"/>
                <w:sz w:val="14"/>
                <w:szCs w:val="14"/>
                <w:color w:val="auto"/>
              </w:rPr>
              <w:t>Officer and Controller</w:t>
            </w:r>
          </w:p>
        </w:tc>
        <w:tc>
          <w:tcPr>
            <w:tcW w:w="1900" w:type="dxa"/>
            <w:vAlign w:val="bottom"/>
          </w:tcPr>
          <w:p>
            <w:pPr>
              <w:spacing w:after="0"/>
              <w:rPr>
                <w:sz w:val="12"/>
                <w:szCs w:val="12"/>
                <w:color w:val="auto"/>
              </w:rPr>
            </w:pPr>
          </w:p>
        </w:tc>
      </w:tr>
      <w:tr>
        <w:trPr>
          <w:trHeight w:val="184"/>
        </w:trPr>
        <w:tc>
          <w:tcPr>
            <w:tcW w:w="3680" w:type="dxa"/>
            <w:vAlign w:val="bottom"/>
          </w:tcPr>
          <w:p>
            <w:pPr>
              <w:jc w:val="center"/>
              <w:ind w:right="869"/>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900" w:type="dxa"/>
            <w:vAlign w:val="bottom"/>
          </w:tcPr>
          <w:p>
            <w:pPr>
              <w:spacing w:after="0"/>
              <w:rPr>
                <w:sz w:val="16"/>
                <w:szCs w:val="16"/>
                <w:color w:val="auto"/>
              </w:rPr>
            </w:pPr>
          </w:p>
        </w:tc>
      </w:tr>
      <w:tr>
        <w:trPr>
          <w:trHeight w:val="223"/>
        </w:trPr>
        <w:tc>
          <w:tcPr>
            <w:tcW w:w="368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January 31, 2024</w:t>
            </w:r>
          </w:p>
        </w:tc>
      </w:tr>
      <w:tr>
        <w:trPr>
          <w:trHeight w:val="467"/>
        </w:trPr>
        <w:tc>
          <w:tcPr>
            <w:tcW w:w="368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January 31, 2024</w:t>
            </w:r>
          </w:p>
        </w:tc>
      </w:tr>
      <w:tr>
        <w:trPr>
          <w:trHeight w:val="467"/>
        </w:trPr>
        <w:tc>
          <w:tcPr>
            <w:tcW w:w="368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January 31, 2024</w:t>
            </w:r>
          </w:p>
        </w:tc>
      </w:tr>
      <w:tr>
        <w:trPr>
          <w:trHeight w:val="467"/>
        </w:trPr>
        <w:tc>
          <w:tcPr>
            <w:tcW w:w="368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January 31, 2024</w:t>
            </w:r>
          </w:p>
        </w:tc>
      </w:tr>
      <w:tr>
        <w:trPr>
          <w:trHeight w:val="467"/>
        </w:trPr>
        <w:tc>
          <w:tcPr>
            <w:tcW w:w="368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January 31, 2024</w:t>
            </w:r>
          </w:p>
        </w:tc>
      </w:tr>
      <w:tr>
        <w:trPr>
          <w:trHeight w:val="467"/>
        </w:trPr>
        <w:tc>
          <w:tcPr>
            <w:tcW w:w="368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January 31, 2024</w:t>
            </w:r>
          </w:p>
        </w:tc>
      </w:tr>
      <w:tr>
        <w:trPr>
          <w:trHeight w:val="467"/>
        </w:trPr>
        <w:tc>
          <w:tcPr>
            <w:tcW w:w="368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January 31, 2024</w:t>
            </w:r>
          </w:p>
        </w:tc>
      </w:tr>
      <w:tr>
        <w:trPr>
          <w:trHeight w:val="467"/>
        </w:trPr>
        <w:tc>
          <w:tcPr>
            <w:tcW w:w="368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January 31, 2024</w:t>
            </w:r>
          </w:p>
        </w:tc>
      </w:tr>
      <w:tr>
        <w:trPr>
          <w:trHeight w:val="467"/>
        </w:trPr>
        <w:tc>
          <w:tcPr>
            <w:tcW w:w="368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January 31, 2024</w:t>
            </w:r>
          </w:p>
        </w:tc>
      </w:tr>
      <w:tr>
        <w:trPr>
          <w:trHeight w:val="467"/>
        </w:trPr>
        <w:tc>
          <w:tcPr>
            <w:tcW w:w="368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January 31, 2024</w:t>
            </w:r>
          </w:p>
        </w:tc>
      </w:tr>
    </w:tbl>
    <w:p>
      <w:pPr>
        <w:spacing w:after="0" w:line="420" w:lineRule="exact"/>
        <w:rPr>
          <w:sz w:val="20"/>
          <w:szCs w:val="20"/>
          <w:color w:val="auto"/>
        </w:rPr>
      </w:pPr>
    </w:p>
    <w:p>
      <w:pPr>
        <w:sectPr>
          <w:pgSz w:w="11900" w:h="16838" w:orient="portrait"/>
          <w:cols w:equalWidth="0" w:num="2">
            <w:col w:w="4180" w:space="720"/>
            <w:col w:w="6380"/>
          </w:cols>
          <w:pgMar w:left="300" w:top="123" w:right="31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left="5560"/>
        <w:spacing w:after="0"/>
        <w:tabs>
          <w:tab w:leader="none" w:pos="9180" w:val="left"/>
        </w:tabs>
        <w:rPr>
          <w:sz w:val="20"/>
          <w:szCs w:val="20"/>
          <w:color w:val="auto"/>
        </w:rPr>
      </w:pPr>
      <w:r>
        <w:rPr>
          <w:rFonts w:ascii="Times New Roman" w:cs="Times New Roman" w:eastAsia="Times New Roman" w:hAnsi="Times New Roman"/>
          <w:sz w:val="11"/>
          <w:szCs w:val="11"/>
          <w:b w:val="1"/>
          <w:bCs w:val="1"/>
          <w:color w:val="auto"/>
        </w:rPr>
        <w:t>99</w:t>
      </w:r>
      <w:r>
        <w:rPr>
          <w:sz w:val="20"/>
          <w:szCs w:val="20"/>
          <w:color w:val="auto"/>
        </w:rPr>
        <w:tab/>
      </w:r>
      <w:r>
        <w:rPr>
          <w:rFonts w:ascii="Times New Roman" w:cs="Times New Roman" w:eastAsia="Times New Roman" w:hAnsi="Times New Roman"/>
          <w:sz w:val="11"/>
          <w:szCs w:val="11"/>
          <w:color w:val="auto"/>
        </w:rPr>
        <w:t>Comcast 2023 Annual Report on Form 10-K</w:t>
      </w:r>
    </w:p>
    <w:p>
      <w:pPr>
        <w:sectPr>
          <w:pgSz w:w="11900" w:h="16838" w:orient="portrait"/>
          <w:cols w:equalWidth="0" w:num="1">
            <w:col w:w="11280"/>
          </w:cols>
          <w:pgMar w:left="300" w:top="123" w:right="319" w:bottom="1440" w:gutter="0" w:footer="0" w:header="0"/>
          <w:type w:val="continuous"/>
        </w:sectPr>
      </w:pPr>
    </w:p>
    <w:bookmarkStart w:id="102" w:name="page103"/>
    <w:bookmarkEnd w:id="102"/>
    <w:p>
      <w:pPr>
        <w:spacing w:after="0"/>
        <w:tabs>
          <w:tab w:leader="none" w:pos="91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tabs>
          <w:tab w:leader="none" w:pos="9180" w:val="left"/>
        </w:tabs>
        <w:rPr>
          <w:sz w:val="20"/>
          <w:szCs w:val="20"/>
          <w:color w:val="auto"/>
        </w:rPr>
      </w:pP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7"/>
          <w:szCs w:val="17"/>
          <w:b w:val="1"/>
          <w:bCs w:val="1"/>
          <w:color w:val="auto"/>
        </w:rPr>
        <w:t>Exhibit 4.15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COMCAST CORPORATION’S SECURITIES</w:t>
      </w:r>
    </w:p>
    <w:p>
      <w:pPr>
        <w:jc w:val="center"/>
        <w:spacing w:after="0" w:line="208" w:lineRule="auto"/>
        <w:rPr>
          <w:sz w:val="20"/>
          <w:szCs w:val="20"/>
          <w:color w:val="auto"/>
        </w:rPr>
      </w:pPr>
      <w:r>
        <w:rPr>
          <w:rFonts w:ascii="Times New Roman" w:cs="Times New Roman" w:eastAsia="Times New Roman" w:hAnsi="Times New Roman"/>
          <w:sz w:val="17"/>
          <w:szCs w:val="17"/>
          <w:b w:val="1"/>
          <w:bCs w:val="1"/>
          <w:color w:val="auto"/>
        </w:rPr>
        <w:t>REGISTERED PURSUANT TO SECTION 12 OF THE SECURITIES</w:t>
      </w: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OF 1934</w:t>
      </w:r>
    </w:p>
    <w:p>
      <w:pPr>
        <w:spacing w:after="0" w:line="143"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7"/>
          <w:szCs w:val="17"/>
          <w:i w:val="1"/>
          <w:iCs w:val="1"/>
          <w:color w:val="auto"/>
        </w:rPr>
        <w:t>As of December 31, 2023, Comcast Corporation (“Comcast,” the “Company,” “we,” “us” or “our”) had ten classes of securities registered under Section 12 of the Securities Exchange Act of 1934, as amended (the “Exchange Act”): (1) our common stock, (2) our 2.0% Exchangeable Subordinated Debentures due 2029, (3) our 5.50% Notes due 2029, (4) our 0.000% Notes due 2026, (5) our 0.250% Notes due 2027, (6) our 1.500% Notes due 2029, (7) our 0.250% Notes due 2029, (8) our 0.750% Notes due 2032, (9) our 1.875% Notes due 2036 and (10) our 1.250% Notes due 2040.</w:t>
      </w:r>
    </w:p>
    <w:p>
      <w:pPr>
        <w:spacing w:after="0" w:line="140" w:lineRule="exact"/>
        <w:rPr>
          <w:sz w:val="20"/>
          <w:szCs w:val="20"/>
          <w:color w:val="auto"/>
        </w:rPr>
      </w:pPr>
    </w:p>
    <w:p>
      <w:pPr>
        <w:ind w:left="380" w:hanging="375"/>
        <w:spacing w:after="0"/>
        <w:tabs>
          <w:tab w:leader="none" w:pos="38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OUR COMMON STOCK</w:t>
      </w:r>
    </w:p>
    <w:p>
      <w:pPr>
        <w:spacing w:after="0" w:line="169"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In the following summary, references to the “Company,” “we,” “us” and “our” refer only to Comcast and not any of its subsidiaries. The statements made under this caption include summaries of certain provisions contained in our articles of incorporation and by-laws. This summary does not purport to be complete and is qualified in its entirety by reference to such articles of incorporation and by-laws.</w:t>
      </w:r>
    </w:p>
    <w:p>
      <w:pPr>
        <w:spacing w:after="0" w:line="143"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(the “Board”) may issue preferred stock, in one or more series, without par value, with full, limited, multiple, fractional, or no voting rights, and with such designations, preferences, qualifications, privileges, limitations, restrictions, options, conversion rights and other special rights as our Board shall determine.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69"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169"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w:t>
      </w:r>
    </w:p>
    <w:p>
      <w:pPr>
        <w:sectPr>
          <w:pgSz w:w="11900" w:h="16838" w:orient="portrait"/>
          <w:cols w:equalWidth="0" w:num="1">
            <w:col w:w="11280"/>
          </w:cols>
          <w:pgMar w:left="300" w:top="1123" w:right="319" w:bottom="1440" w:gutter="0" w:footer="0" w:header="0"/>
        </w:sectPr>
      </w:pPr>
    </w:p>
    <w:bookmarkStart w:id="105" w:name="page106"/>
    <w:bookmarkEnd w:id="105"/>
    <w:p>
      <w:pPr>
        <w:jc w:val="both"/>
        <w:spacing w:after="0" w:line="228" w:lineRule="auto"/>
        <w:rPr>
          <w:sz w:val="20"/>
          <w:szCs w:val="20"/>
          <w:color w:val="auto"/>
        </w:rPr>
      </w:pPr>
      <w:r>
        <w:rPr>
          <w:rFonts w:ascii="Times New Roman" w:cs="Times New Roman" w:eastAsia="Times New Roman" w:hAnsi="Times New Roman"/>
          <w:sz w:val="17"/>
          <w:szCs w:val="17"/>
          <w:color w:val="auto"/>
        </w:rPr>
        <w:t>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Approval Rights</w:t>
      </w:r>
    </w:p>
    <w:p>
      <w:pPr>
        <w:spacing w:after="0" w:line="169" w:lineRule="exact"/>
        <w:rPr>
          <w:sz w:val="20"/>
          <w:szCs w:val="20"/>
          <w:color w:val="auto"/>
        </w:rPr>
      </w:pPr>
    </w:p>
    <w:p>
      <w:pPr>
        <w:jc w:val="both"/>
        <w:ind w:firstLine="509"/>
        <w:spacing w:after="0" w:line="215" w:lineRule="auto"/>
        <w:rPr>
          <w:sz w:val="20"/>
          <w:szCs w:val="20"/>
          <w:color w:val="auto"/>
        </w:rPr>
      </w:pPr>
      <w:r>
        <w:rPr>
          <w:rFonts w:ascii="Times New Roman" w:cs="Times New Roman" w:eastAsia="Times New Roman" w:hAnsi="Times New Roman"/>
          <w:sz w:val="17"/>
          <w:szCs w:val="17"/>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Conversion of Class B Common Stock</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Class B common stock is convertible share for share into Class A common stock, subject to certain restrictions.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Preference on Liquidation</w:t>
      </w:r>
    </w:p>
    <w:p>
      <w:pPr>
        <w:spacing w:after="0" w:line="169"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Mergers, Consolidations, Etc.</w:t>
      </w:r>
    </w:p>
    <w:p>
      <w:pPr>
        <w:spacing w:after="0" w:line="169"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69"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w:t>
      </w:r>
    </w:p>
    <w:p>
      <w:pPr>
        <w:sectPr>
          <w:pgSz w:w="11900" w:h="16838" w:orient="portrait"/>
          <w:cols w:equalWidth="0" w:num="1">
            <w:col w:w="11280"/>
          </w:cols>
          <w:pgMar w:left="300" w:top="1127" w:right="319" w:bottom="1440" w:gutter="0" w:footer="0" w:header="0"/>
        </w:sectPr>
      </w:pPr>
    </w:p>
    <w:bookmarkStart w:id="106" w:name="page107"/>
    <w:bookmarkEnd w:id="106"/>
    <w:p>
      <w:pPr>
        <w:ind w:left="380" w:hanging="375"/>
        <w:spacing w:after="0"/>
        <w:tabs>
          <w:tab w:leader="none" w:pos="38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OUR 2.0% EXCHANGEABLE SUBORDINATED DEBENTURES DUE 2029</w:t>
      </w:r>
    </w:p>
    <w:p>
      <w:pPr>
        <w:spacing w:after="0" w:line="169"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The following summary of our 2.0% Exchangeable Subordinated Debentures due 2029 (the “ZONES”) is based on the indenture dated as of June 15, 1999 between Comcast Holdings Corporation (“Comcast Holdings” or the “Issuer”) and Deutsche Bank Trust Company Americas (formerly known as Bankers Trust Company), as Trustee (the “Trustee”) (the “Base Indenture”), as amended by the first supplemental indenture dated as of September 12, 2005 among Comcast Holdings, the Trustee and Comcast (together with the Base Indenture, the “Indenture”). This summary does not purport to be complete and is qualified in its entirety by reference to such Indenture. For the purposes of this summary, references to “we” and “our” refer only to Comcast Holdings.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ZONES are unsecured, subordinated obligations of Comcast Holdings and will mature on November 15, 2029.</w:t>
      </w:r>
    </w:p>
    <w:p>
      <w:pPr>
        <w:spacing w:after="0" w:line="165"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Principal, premium, if any, and interest on the ZONES are payable at the office or agency we maintain for such purpose within the City and State of New York or, at our option, payment of interest may be made by check mailed to the holders of the ZONES at their respective addresses set forth in the register of holders of the ZONES, provided that all payments with respect to ZONES, the holders of which have given wire transfer instructions, on or prior to the relevant record date, to the paying agent, are made by wire transfer of immediately available funds to the accounts specified by the holders. Until we otherwise designate, our office or agency in New York will be the office of the trustee maintained for that purpose. The ZONES are issued in denominations of one ZONES and integral multiples thereof.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w:t>
      </w:r>
    </w:p>
    <w:p>
      <w:pPr>
        <w:spacing w:after="0" w:line="169"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We make quarterly interest payments in an amount equal to $0.4082 per ZONES, or 2.0% per year of the original principal amount, plus the amount of any quarterly cash dividend paid on the reference shares attributable to each ZONES. Holders of the ZONES are not expected to receive interest attributable to any cash dividend on the reference shares for this payment period because Sprint has never paid a cash dividend on its Sprint PCS stock.</w:t>
      </w:r>
    </w:p>
    <w:p>
      <w:pPr>
        <w:spacing w:after="0" w:line="143" w:lineRule="exact"/>
        <w:rPr>
          <w:sz w:val="20"/>
          <w:szCs w:val="20"/>
          <w:color w:val="auto"/>
        </w:rPr>
      </w:pPr>
    </w:p>
    <w:p>
      <w:pPr>
        <w:jc w:val="both"/>
        <w:ind w:firstLine="509"/>
        <w:spacing w:after="0" w:line="219" w:lineRule="auto"/>
        <w:rPr>
          <w:sz w:val="20"/>
          <w:szCs w:val="20"/>
          <w:color w:val="auto"/>
        </w:rPr>
      </w:pPr>
      <w:r>
        <w:rPr>
          <w:rFonts w:ascii="Times New Roman" w:cs="Times New Roman" w:eastAsia="Times New Roman" w:hAnsi="Times New Roman"/>
          <w:sz w:val="17"/>
          <w:szCs w:val="17"/>
          <w:color w:val="auto"/>
        </w:rPr>
        <w:t>Interest on the ZONES accrues from the issue date of the ZONES. We pay this interest quarterly in arrears on February 15, May 15, August 15 and November 15 of each year, beginning February 15, 2000, but subject to our right to defer quarterly payments of interest.</w:t>
      </w:r>
    </w:p>
    <w:p>
      <w:pPr>
        <w:spacing w:after="0" w:line="1" w:lineRule="exact"/>
        <w:rPr>
          <w:sz w:val="20"/>
          <w:szCs w:val="20"/>
          <w:color w:val="auto"/>
        </w:rPr>
      </w:pPr>
    </w:p>
    <w:p>
      <w:pPr>
        <w:jc w:val="both"/>
        <w:ind w:firstLine="509"/>
        <w:spacing w:after="0" w:line="213" w:lineRule="auto"/>
        <w:rPr>
          <w:sz w:val="20"/>
          <w:szCs w:val="20"/>
          <w:color w:val="auto"/>
        </w:rPr>
      </w:pPr>
      <w:r>
        <w:rPr>
          <w:rFonts w:ascii="Times New Roman" w:cs="Times New Roman" w:eastAsia="Times New Roman" w:hAnsi="Times New Roman"/>
          <w:sz w:val="17"/>
          <w:szCs w:val="17"/>
          <w:color w:val="auto"/>
        </w:rPr>
        <w:t>We also distribute, as additional interest on the ZONES, any property, including cash (other than any quarterly cash dividend), distributed on or with respect to the reference shares (other than publicly traded equity securities, which will themselves become reference shares). If the additional interest on the reference shares includes publicly traded securities (other than equity securities), we will distribute those securities. We will not, however, distribute fractional units of securities. We will pay cash instead of distributing the fractional units. Otherwise, we will distribute the fair market value of any property comprising additional interest as determined in good faith by our board of directors. We will distribute any additional interest to holders of the ZONES on the 20th business day after it is distributed on the reference shares. The record date for any distribution of additional interest is the 10th business day after the date any cash or property is distributed on the reference shares.</w:t>
      </w:r>
    </w:p>
    <w:p>
      <w:pPr>
        <w:spacing w:after="0" w:line="147"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If extraordinary dividends on the reference shares are paid, the contingent principal amount will be reduced on a quarterly basis to the extent necessary so that the yield to the date of</w:t>
      </w:r>
    </w:p>
    <w:p>
      <w:pPr>
        <w:sectPr>
          <w:pgSz w:w="11900" w:h="16838" w:orient="portrait"/>
          <w:cols w:equalWidth="0" w:num="1">
            <w:col w:w="11280"/>
          </w:cols>
          <w:pgMar w:left="300" w:top="1313" w:right="319" w:bottom="1440" w:gutter="0" w:footer="0" w:header="0"/>
        </w:sectPr>
      </w:pPr>
    </w:p>
    <w:bookmarkStart w:id="107" w:name="page108"/>
    <w:bookmarkEnd w:id="107"/>
    <w:p>
      <w:pPr>
        <w:jc w:val="both"/>
        <w:spacing w:after="0" w:line="238" w:lineRule="auto"/>
        <w:rPr>
          <w:sz w:val="20"/>
          <w:szCs w:val="20"/>
          <w:color w:val="auto"/>
        </w:rPr>
      </w:pPr>
      <w:r>
        <w:rPr>
          <w:rFonts w:ascii="Times New Roman" w:cs="Times New Roman" w:eastAsia="Times New Roman" w:hAnsi="Times New Roman"/>
          <w:sz w:val="17"/>
          <w:szCs w:val="17"/>
          <w:color w:val="auto"/>
        </w:rPr>
        <w:t>computation (including all interest payments other than those attributable to regular periodic cash dividends) does not exceed 2.0%. In no event will the contingent principal amount be less than zero. Changes in the contingent principal amount will not affect the amount of the quarterly interest payments.</w:t>
      </w:r>
    </w:p>
    <w:p>
      <w:pPr>
        <w:spacing w:after="0" w:line="143"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If interest or additional interest is payable on a date that is not a business day (as defined at the end of this paragraph), payment will be made on the next business day (and without any interest or other payment in respect of this delay). However, if the next business day is in the next calendar year, payment of interest will be made on the preceding business day. A “business day” means each Monday, Tuesday, Wednesday, Thursday and Friday which is not a day on which banking institutions in The City of New York are authorized or obligated by law or regulation to close.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Deferral of interest payments</w:t>
      </w:r>
    </w:p>
    <w:p>
      <w:pPr>
        <w:spacing w:after="0" w:line="169"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If no event of default has occurred and is continuing under the ZONES, we can, on one or more occasions, defer quarterly interest payments on the ZONES for up to 20 consecutive quarterly periods. If we terminate a deferral period and subsequently elect to defer quarterly interest payments, we will again be subject to the 20 consecutive quarterly period limitation.</w:t>
      </w:r>
    </w:p>
    <w:p>
      <w:pPr>
        <w:spacing w:after="0" w:line="14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We will not, however, be subject to the 20 consecutive quarterly period limitation on deferral if, as a result of a tender offer, an exchange offer, a business combination or otherwise, all reference shares cease to be outstanding, and we subsequently elect to defer quarterly payments of interest on the ZONES.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Any deferral of interest payments cannot extend, however, beyond the maturity date of the ZONES. We can never defer distributions of additional interest.</w:t>
      </w:r>
    </w:p>
    <w:p>
      <w:pPr>
        <w:spacing w:after="0" w:line="165" w:lineRule="exact"/>
        <w:rPr>
          <w:sz w:val="20"/>
          <w:szCs w:val="20"/>
          <w:color w:val="auto"/>
        </w:rPr>
      </w:pPr>
    </w:p>
    <w:p>
      <w:pPr>
        <w:jc w:val="both"/>
        <w:ind w:firstLine="509"/>
        <w:spacing w:after="0" w:line="213" w:lineRule="auto"/>
        <w:rPr>
          <w:sz w:val="20"/>
          <w:szCs w:val="20"/>
          <w:color w:val="auto"/>
        </w:rPr>
      </w:pPr>
      <w:r>
        <w:rPr>
          <w:rFonts w:ascii="Times New Roman" w:cs="Times New Roman" w:eastAsia="Times New Roman" w:hAnsi="Times New Roman"/>
          <w:sz w:val="17"/>
          <w:szCs w:val="17"/>
          <w:color w:val="auto"/>
        </w:rPr>
        <w:t>If we defer quarterly payments of interest, the contingent principal amount of the ZONES will increase by the amount of the deferred quarterly payments of interest, plus accrued interest thereon at an annual rate of 2.0%, compounded quarterly, and the early exchange ratio will be 100% for the quarter following each deferral of a payment of quarterly interest. Once we have paid all deferred quarterly interest, plus accrued interest thereon, together with the quarterly interest payment for the current quarterly interest payment period, the contingent principal amount will reduce by the amount of that payment of deferred quarterly interest plus accrued interest thereon, the early exchange ratio will decrease to 95% and we can again defer quarterly interest payments as described above. Instead of accruing cash interest on the ZONES during a quarterly deferral period, so long as the current market value of the reference shares exceeds the original principal amount of the ZONES, we may at our option, but are not obligated to, increase the number of reference shares attributable to each ZONES by an annual rate of 2.0%. If we elect to make this increase, we will be deemed current on that quarterly payment of interest and will not increase the contingent principal amount, although the early exchange ratio will remain at 100% only for the five business days immediately following the scheduled quarterly interest payment date related to the deferral. After that five day period, the early exchange ratio will decrease to 95%. At the time we give notice that we intend to defer a quarterly payment of interest, we must elect to either accrue cash interest on the ZONES for that quarterly interest period or increase the number of reference shares attributable to the ZONES, each as described above.</w:t>
      </w:r>
    </w:p>
    <w:p>
      <w:pPr>
        <w:spacing w:after="0" w:line="146"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If we elect to defer interest on the ZONES in any particular quarter, we will give the trustee notice. We will also prepare a press release and provide it to DTC for dissemination through the DTC broadcast facility. We will give this notice one business day before the earlier of:</w:t>
      </w:r>
    </w:p>
    <w:p>
      <w:pPr>
        <w:sectPr>
          <w:pgSz w:w="11900" w:h="16838" w:orient="portrait"/>
          <w:cols w:equalWidth="0" w:num="1">
            <w:col w:w="11280"/>
          </w:cols>
          <w:pgMar w:left="300" w:top="1126" w:right="319" w:bottom="1440" w:gutter="0" w:footer="0" w:header="0"/>
        </w:sectPr>
      </w:pPr>
    </w:p>
    <w:bookmarkStart w:id="108" w:name="page109"/>
    <w:bookmarkEnd w:id="108"/>
    <w:p>
      <w:pPr>
        <w:ind w:left="1040" w:hanging="257"/>
        <w:spacing w:after="0"/>
        <w:tabs>
          <w:tab w:leader="none" w:pos="10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record date for the next date that interest on the ZONES is payable; or</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right="260" w:hanging="257"/>
        <w:spacing w:after="0" w:line="238" w:lineRule="auto"/>
        <w:tabs>
          <w:tab w:leader="none" w:pos="103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we are required to give notice to the NYSE (or any other applicable self-regulatory organization) or to holders of the ZONES of the record date or the date any quarterly interest payment is payable.</w:t>
      </w:r>
    </w:p>
    <w:p>
      <w:pPr>
        <w:spacing w:after="0" w:line="228"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We refer to the last date on which we can give notice that we intend to defer the payment of interest in respect of a quarterly payment of interest as a deferral notice date. When applicable, we will state in any deferral notice that we are not subject to the 20 consecutive period limitation on deferrals and may continue to defer the payment of quarterly interest until maturity or earlier redemption.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amount</w:t>
      </w:r>
    </w:p>
    <w:p>
      <w:pPr>
        <w:spacing w:after="0" w:line="169"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The original principal amount per ZONES is equal to its initial purchase price, or $81.6325. The minimum amount payable upon redemption or maturity of a ZONES (which we refer to as the contingent principal amount) will initially be equal to the original principal amount. If an “extraordinary dividend” is ever paid on the reference shares, the contingent principal amount will be reduced on a quarterly basis to the extent necessary so that the yield to the date of computation (including all quarterly interest payments other than those attributable to regular periodic cash dividends) does not exceed a 2.0% annual yield. In no event will the contingent principal amount be less than zero.</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An “extraordinary dividend” means a dividend or distribution consisting of cash or any other property (other than additional reference shares), except for regular periodic cash dividends.</w:t>
      </w:r>
    </w:p>
    <w:p>
      <w:pPr>
        <w:spacing w:after="0" w:line="14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If all of the reference shares cease to be outstanding as a result of a tender offer, an exchange offer, a business combination or otherwise, the maturity of the ZONES will not be accelerated and the ZONES will continue to remain outstanding until the maturity date unless earlier redeemed by us.</w:t>
      </w:r>
    </w:p>
    <w:p>
      <w:pPr>
        <w:spacing w:after="0" w:line="143"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At maturity, holders will be entitled to receive the higher of (a) the contingent principal amount of the ZONES or (b) the sum of the current market value of the reference shares on the maturity date plus any deferred quarterly payments of interest (including any accrued interest thereon), plus, in each case, the final period distribution.</w:t>
      </w:r>
    </w:p>
    <w:p>
      <w:pPr>
        <w:spacing w:after="0" w:line="139"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final period distribution</w:t>
      </w:r>
      <w:r>
        <w:rPr>
          <w:rFonts w:ascii="Times New Roman" w:cs="Times New Roman" w:eastAsia="Times New Roman" w:hAnsi="Times New Roman"/>
          <w:sz w:val="17"/>
          <w:szCs w:val="17"/>
          <w:color w:val="auto"/>
        </w:rPr>
        <w:t>” means, in respect of (a) the maturity date, a distribution determined in accordance with clauses (2), (3) and (4) below, and (b) the redemption date, a distribution determined in accordance with clauses (1), (2), (3) and (4) below. If the redemption date is in connection with a rollover offering, the distribution determined in accordance with clause (4) shall be all dividends and distributions on or in respect of the reference shares which a holder of reference shares on the pricing date (defined below) would be entitled to receive.</w:t>
      </w:r>
    </w:p>
    <w:p>
      <w:pPr>
        <w:sectPr>
          <w:pgSz w:w="11900" w:h="16838" w:orient="portrait"/>
          <w:cols w:equalWidth="0" w:num="1">
            <w:col w:w="11280"/>
          </w:cols>
          <w:pgMar w:left="300" w:top="1371" w:right="319" w:bottom="1440" w:gutter="0" w:footer="0" w:header="0"/>
        </w:sectPr>
      </w:pPr>
    </w:p>
    <w:bookmarkStart w:id="109" w:name="page110"/>
    <w:bookmarkEnd w:id="109"/>
    <w:p>
      <w:pPr>
        <w:ind w:left="1040" w:right="360" w:hanging="257"/>
        <w:spacing w:after="0" w:line="228" w:lineRule="auto"/>
        <w:tabs>
          <w:tab w:leader="none" w:pos="10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 the scheduled redemption date of the ZONES is also a scheduled quarterly interest payment date or (b) quarterly interest has been deferred for the then current quarterly dividend period, an amount equal to an annual rate of 2.0% on the original principal amount of the ZONES from the most recent scheduled interest payment date to the date of redemption, plus</w:t>
      </w:r>
    </w:p>
    <w:p>
      <w:pPr>
        <w:spacing w:after="0" w:line="200" w:lineRule="exact"/>
        <w:rPr>
          <w:rFonts w:ascii="Times New Roman" w:cs="Times New Roman" w:eastAsia="Times New Roman" w:hAnsi="Times New Roman"/>
          <w:sz w:val="17"/>
          <w:szCs w:val="17"/>
          <w:color w:val="auto"/>
        </w:rPr>
      </w:pPr>
    </w:p>
    <w:p>
      <w:pPr>
        <w:spacing w:after="0" w:line="293" w:lineRule="exact"/>
        <w:rPr>
          <w:rFonts w:ascii="Times New Roman" w:cs="Times New Roman" w:eastAsia="Times New Roman" w:hAnsi="Times New Roman"/>
          <w:sz w:val="17"/>
          <w:szCs w:val="17"/>
          <w:color w:val="auto"/>
        </w:rPr>
      </w:pPr>
    </w:p>
    <w:p>
      <w:pPr>
        <w:jc w:val="both"/>
        <w:ind w:left="1040" w:right="100" w:hanging="257"/>
        <w:spacing w:after="0" w:line="228" w:lineRule="auto"/>
        <w:tabs>
          <w:tab w:leader="none" w:pos="10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dividends and distributions on or in respect of the reference shares declared by the applicable reference company and for which the ex- date for the dividend or distribution falls during the period from the date of original issuance of the ZONES to the most recent scheduled interest payment date and which have not been distributed to holders of reference shares prior to the most recent scheduled interest payment date, plus</w:t>
      </w:r>
    </w:p>
    <w:p>
      <w:pPr>
        <w:spacing w:after="0" w:line="200" w:lineRule="exact"/>
        <w:rPr>
          <w:rFonts w:ascii="Times New Roman" w:cs="Times New Roman" w:eastAsia="Times New Roman" w:hAnsi="Times New Roman"/>
          <w:sz w:val="17"/>
          <w:szCs w:val="17"/>
          <w:color w:val="auto"/>
        </w:rPr>
      </w:pPr>
    </w:p>
    <w:p>
      <w:pPr>
        <w:spacing w:after="0" w:line="272" w:lineRule="exact"/>
        <w:rPr>
          <w:rFonts w:ascii="Times New Roman" w:cs="Times New Roman" w:eastAsia="Times New Roman" w:hAnsi="Times New Roman"/>
          <w:sz w:val="17"/>
          <w:szCs w:val="17"/>
          <w:color w:val="auto"/>
        </w:rPr>
      </w:pPr>
    </w:p>
    <w:p>
      <w:pPr>
        <w:ind w:left="1040" w:right="100" w:hanging="257"/>
        <w:spacing w:after="0" w:line="238" w:lineRule="auto"/>
        <w:tabs>
          <w:tab w:leader="none" w:pos="10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dividends and distributions on or in respect of the reference shares which a holder of reference shares during the period from the most recent scheduled quarterly interest payment date to the date immediately preceding the first trading day of the averaging period is entitled to receive, plus</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right="120" w:hanging="257"/>
        <w:spacing w:after="0" w:line="238" w:lineRule="auto"/>
        <w:tabs>
          <w:tab w:leader="none" w:pos="10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distribution equal to the sum of, for each successive day in the averaging period that is anticipated on the first day of the averaging period to be a trading day, the amounts determined in accordance with the following formula:</w:t>
      </w: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E x (1 - 0.05n)</w:t>
      </w:r>
    </w:p>
    <w:p>
      <w:pPr>
        <w:ind w:left="520"/>
        <w:spacing w:after="0"/>
        <w:rPr>
          <w:sz w:val="20"/>
          <w:szCs w:val="20"/>
          <w:color w:val="auto"/>
        </w:rPr>
      </w:pPr>
      <w:r>
        <w:rPr>
          <w:rFonts w:ascii="Times New Roman" w:cs="Times New Roman" w:eastAsia="Times New Roman" w:hAnsi="Times New Roman"/>
          <w:sz w:val="17"/>
          <w:szCs w:val="17"/>
          <w:color w:val="auto"/>
        </w:rPr>
        <w:t>where:</w:t>
      </w:r>
    </w:p>
    <w:p>
      <w:pPr>
        <w:spacing w:after="0" w:line="200" w:lineRule="exact"/>
        <w:rPr>
          <w:sz w:val="20"/>
          <w:szCs w:val="20"/>
          <w:color w:val="auto"/>
        </w:rPr>
      </w:pPr>
    </w:p>
    <w:p>
      <w:pPr>
        <w:spacing w:after="0" w:line="212" w:lineRule="exact"/>
        <w:rPr>
          <w:sz w:val="20"/>
          <w:szCs w:val="20"/>
          <w:color w:val="auto"/>
        </w:rPr>
      </w:pPr>
    </w:p>
    <w:p>
      <w:pPr>
        <w:ind w:left="560" w:right="620"/>
        <w:spacing w:after="0" w:line="228" w:lineRule="auto"/>
        <w:rPr>
          <w:sz w:val="20"/>
          <w:szCs w:val="20"/>
          <w:color w:val="auto"/>
        </w:rPr>
      </w:pPr>
      <w:r>
        <w:rPr>
          <w:rFonts w:ascii="Times New Roman" w:cs="Times New Roman" w:eastAsia="Times New Roman" w:hAnsi="Times New Roman"/>
          <w:sz w:val="17"/>
          <w:szCs w:val="17"/>
          <w:color w:val="auto"/>
        </w:rPr>
        <w:t>E = all dividends and distributions on or in respect of the reference shares which a holder of reference shares on the applicable day would be entitled to receive, provided that an ex- date that occurs on a day that is not a scheduled trading day shall be deemed to have occurred on the immediately preceding scheduled trading day; and</w:t>
      </w:r>
    </w:p>
    <w:p>
      <w:pPr>
        <w:spacing w:after="0" w:line="200" w:lineRule="exact"/>
        <w:rPr>
          <w:sz w:val="20"/>
          <w:szCs w:val="20"/>
          <w:color w:val="auto"/>
        </w:rPr>
      </w:pPr>
    </w:p>
    <w:p>
      <w:pPr>
        <w:spacing w:after="0" w:line="325" w:lineRule="exact"/>
        <w:rPr>
          <w:sz w:val="20"/>
          <w:szCs w:val="20"/>
          <w:color w:val="auto"/>
        </w:rPr>
      </w:pPr>
    </w:p>
    <w:p>
      <w:pPr>
        <w:ind w:left="560" w:right="740"/>
        <w:spacing w:after="0" w:line="238" w:lineRule="auto"/>
        <w:rPr>
          <w:sz w:val="20"/>
          <w:szCs w:val="20"/>
          <w:color w:val="auto"/>
        </w:rPr>
      </w:pPr>
      <w:r>
        <w:rPr>
          <w:rFonts w:ascii="Times New Roman" w:cs="Times New Roman" w:eastAsia="Times New Roman" w:hAnsi="Times New Roman"/>
          <w:sz w:val="17"/>
          <w:szCs w:val="17"/>
          <w:color w:val="auto"/>
        </w:rPr>
        <w:t>n = the number of scheduled trading days that have elapsed in the averaging period with the first trading day of the averaging period being counted as zero.</w:t>
      </w:r>
    </w:p>
    <w:p>
      <w:pPr>
        <w:spacing w:after="0" w:line="249" w:lineRule="exact"/>
        <w:rPr>
          <w:sz w:val="20"/>
          <w:szCs w:val="20"/>
          <w:color w:val="auto"/>
        </w:rPr>
      </w:pPr>
    </w:p>
    <w:p>
      <w:pPr>
        <w:jc w:val="both"/>
        <w:ind w:firstLine="509"/>
        <w:spacing w:after="0" w:line="233" w:lineRule="auto"/>
        <w:rPr>
          <w:sz w:val="20"/>
          <w:szCs w:val="20"/>
          <w:color w:val="auto"/>
        </w:rPr>
      </w:pPr>
      <w:r>
        <w:rPr>
          <w:rFonts w:ascii="Times New Roman" w:cs="Times New Roman" w:eastAsia="Times New Roman" w:hAnsi="Times New Roman"/>
          <w:sz w:val="16"/>
          <w:szCs w:val="16"/>
          <w:color w:val="auto"/>
        </w:rPr>
        <w:t>A holder of the ZONES is only entitled to receive distributions determined in accordance with clauses (2), (3) or (4) to the extent actually distributed by the applicable reference company. Amounts calculated with respect to cash amounts paid by the applicable reference company on reference shares as described in clauses</w:t>
      </w:r>
    </w:p>
    <w:p>
      <w:pPr>
        <w:jc w:val="both"/>
        <w:spacing w:after="0" w:line="221" w:lineRule="auto"/>
        <w:rPr>
          <w:sz w:val="20"/>
          <w:szCs w:val="20"/>
          <w:color w:val="auto"/>
        </w:rPr>
      </w:pPr>
      <w:r>
        <w:rPr>
          <w:rFonts w:ascii="Times New Roman" w:cs="Times New Roman" w:eastAsia="Times New Roman" w:hAnsi="Times New Roman"/>
          <w:sz w:val="17"/>
          <w:szCs w:val="17"/>
          <w:color w:val="auto"/>
        </w:rPr>
        <w:t>(2), (3) or (4) before the redemption date or the maturity date, as the case may be, will be paid on the redemption date or the maturity date, as the case may be. Amounts calculated with respect to all other property distributed, or the cash value of the property, will be distributed within 20 business days after it is distributed on the reference shares.</w:t>
      </w:r>
    </w:p>
    <w:p>
      <w:pPr>
        <w:sectPr>
          <w:pgSz w:w="11900" w:h="16838" w:orient="portrait"/>
          <w:cols w:equalWidth="0" w:num="1">
            <w:col w:w="11280"/>
          </w:cols>
          <w:pgMar w:left="300" w:top="1403"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color w:val="auto"/>
        </w:rPr>
        <w:t>Exchange option</w:t>
      </w:r>
    </w:p>
    <w:p>
      <w:pPr>
        <w:spacing w:after="0" w:line="169"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At any time or from time to time, holders of the ZONES may exchange the ZONES for an amount of cash equal to 95% (which we refer to as the early exchange ratio) of the exchange market value of the reference shares attributable to each ZONES. The early exchange ratio will be equal to (a) 95% of the exchange market value of the reference shares attributable to each ZONES or (b) during a deferral of the quarterly interest payments on the ZONES or, if we so elect, during the pendency of any tender or exchange offer for any of the reference shares, 100% of the exchange market value of the reference shares attributable to each ZONES.</w:t>
      </w:r>
    </w:p>
    <w:p>
      <w:pPr>
        <w:spacing w:after="0" w:line="14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We will pay the amount due upon exchange as soon as reasonably practicable after delivery of an exchange notice to the trustee, but in no event earlier than three trading days after the date of the notice or later than ten trading days after the date of the notice.</w:t>
      </w:r>
    </w:p>
    <w:p>
      <w:pPr>
        <w:spacing w:after="0" w:line="143"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The “exchange market value” means the closing price (as defined below) on the trading day (as defined below) following the date of delivery of an exchange notice to the trustee, unless more than 500,000 ZONES have been delivered for exchange on that date. If more than 500,000 ZONES have been delivered for exchange, then the exchange market value shall be the average closing price on the five trading days following that date.</w:t>
      </w:r>
    </w:p>
    <w:p>
      <w:pPr>
        <w:spacing w:after="0" w:line="143"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If more than 500,000 ZONES are delivered for exchange on any one day, we will give the trustee notice. We will also issue a press release prior to 9:00 a.m., New York City time, on the next trading day, and provide it to DTC for dissemination through the DTC broadcast facility. Our failure to provide these notices, however, will not affect the determination of exchange market value as described above.</w:t>
      </w:r>
    </w:p>
    <w:p>
      <w:pPr>
        <w:spacing w:after="0" w:line="14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So long as the ZONES are held through DTC, a holder may exercise his or her exchange right through the relevant direct participant in the DTC ATOP system. If the ZONES are held in certificated form, such holder may exercise his or her exchange right as follows:</w:t>
      </w:r>
    </w:p>
    <w:p>
      <w:pPr>
        <w:spacing w:after="0" w:line="387" w:lineRule="exact"/>
        <w:rPr>
          <w:sz w:val="20"/>
          <w:szCs w:val="20"/>
          <w:color w:val="auto"/>
        </w:rPr>
      </w:pPr>
    </w:p>
    <w:p>
      <w:pPr>
        <w:ind w:left="1040" w:right="20" w:hanging="257"/>
        <w:spacing w:after="0" w:line="238" w:lineRule="auto"/>
        <w:tabs>
          <w:tab w:leader="none" w:pos="103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and manually sign an exchange notice in the form available from the trustee and deliver this notice to the trustee at the office maintained by the trustee for this purpose;</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surrender the ZONES to the trustee;</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furnish appropriate endorsement and transfer documents; and</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pay all transfer or similar taxes.</w:t>
      </w:r>
    </w:p>
    <w:p>
      <w:pPr>
        <w:spacing w:after="0" w:line="261"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Pursuant to the Indenture, the date on which all of the foregoing requirements have been satisfied is the redemption date with respect to the ZONES delivered for exchange.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Redemption</w:t>
      </w:r>
    </w:p>
    <w:p>
      <w:pPr>
        <w:sectPr>
          <w:pgSz w:w="11900" w:h="16838" w:orient="portrait"/>
          <w:cols w:equalWidth="0" w:num="1">
            <w:col w:w="11280"/>
          </w:cols>
          <w:pgMar w:left="300" w:top="1314" w:right="319" w:bottom="1440" w:gutter="0" w:footer="0" w:header="0"/>
        </w:sectPr>
      </w:pPr>
    </w:p>
    <w:bookmarkStart w:id="111" w:name="page112"/>
    <w:bookmarkEnd w:id="111"/>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We may redeem at any time all but not some of the ZONES at a redemption price equal to the sum of the higher of the contingent principal amount of the ZONES or the sum of the current market value of the reference shares plus any deferred quarterly payments of interest, plus, in either case, the final period distribution.</w:t>
      </w:r>
    </w:p>
    <w:p>
      <w:pPr>
        <w:spacing w:after="0" w:line="139" w:lineRule="exact"/>
        <w:rPr>
          <w:sz w:val="20"/>
          <w:szCs w:val="20"/>
          <w:color w:val="auto"/>
        </w:rPr>
      </w:pPr>
    </w:p>
    <w:p>
      <w:pPr>
        <w:jc w:val="both"/>
        <w:ind w:firstLine="509"/>
        <w:spacing w:after="0" w:line="216"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current market value</w:t>
      </w:r>
      <w:r>
        <w:rPr>
          <w:rFonts w:ascii="Times New Roman" w:cs="Times New Roman" w:eastAsia="Times New Roman" w:hAnsi="Times New Roman"/>
          <w:sz w:val="17"/>
          <w:szCs w:val="17"/>
          <w:color w:val="auto"/>
        </w:rPr>
        <w:t>” (other than in the case of a rollover offering, which is described below) is defined as the average closing price per reference share on the 20 trading days (which we refer to as the averaging period) immediately prior to (but not including) the fifth business day preceding the redemption date; provided, however, that for purposes of determining the payment required upon redemption in connection with a rollover offering, “current market value” means the closing price per reference share on the trading day immediately preceding the date that the rollover offering is priced (which we refer to as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us.</w:t>
      </w:r>
    </w:p>
    <w:p>
      <w:pPr>
        <w:spacing w:after="0" w:line="142" w:lineRule="exact"/>
        <w:rPr>
          <w:sz w:val="20"/>
          <w:szCs w:val="20"/>
          <w:color w:val="auto"/>
        </w:rPr>
      </w:pPr>
    </w:p>
    <w:p>
      <w:pPr>
        <w:jc w:val="both"/>
        <w:ind w:firstLine="509"/>
        <w:spacing w:after="0" w:line="214"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rollover offering</w:t>
      </w:r>
      <w:r>
        <w:rPr>
          <w:rFonts w:ascii="Times New Roman" w:cs="Times New Roman" w:eastAsia="Times New Roman" w:hAnsi="Times New Roman"/>
          <w:sz w:val="17"/>
          <w:szCs w:val="17"/>
          <w:color w:val="auto"/>
        </w:rPr>
        <w:t>” means a refinancing by us of the ZONES by way of either (a) a sale of the reference shares or (b) a sale of securities that are priced by reference to the reference shares, in either case, by means of a completed public offering or offerings by us (which may include one or more exchange offers) and which is expected to yield net proceeds which are sufficient to pay the redemption amount for all of the ZONES. The trustee will notify holders if we elect to redeem their ZONES in connection with a rollover offering not less than 30 nor more than 60 business days prior to the redemption date. We will also issue a press release prior to 4:00 p.m., New York City time, on the business day immediately before the day on which the closing price of the reference shares is to be measured for the purpose of determining the current market value in connection with a rollover offering. The notice will state we are firmly committed to price the rollover offering, will specify the date on which the rollover offering is to be priced (including whether the rollover offering will be priced during trading on the pricing date or after the close of trading on the pricing date) and consequently, whether the closing price for the reference shares by which the current market value will be measured will be the closing price on the trading date immediately preceding the pricing date or the closing price on the pricing date. We will provide that press release to DTC for dissemination through the DTC broadcast facility.</w:t>
      </w:r>
    </w:p>
    <w:p>
      <w:pPr>
        <w:spacing w:after="0" w:line="145" w:lineRule="exact"/>
        <w:rPr>
          <w:sz w:val="20"/>
          <w:szCs w:val="20"/>
          <w:color w:val="auto"/>
        </w:rPr>
      </w:pPr>
    </w:p>
    <w:p>
      <w:pPr>
        <w:jc w:val="both"/>
        <w:ind w:firstLine="509"/>
        <w:spacing w:after="0" w:line="214"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closing price</w:t>
      </w:r>
      <w:r>
        <w:rPr>
          <w:rFonts w:ascii="Times New Roman" w:cs="Times New Roman" w:eastAsia="Times New Roman" w:hAnsi="Times New Roman"/>
          <w:sz w:val="17"/>
          <w:szCs w:val="17"/>
          <w:color w:val="auto"/>
        </w:rPr>
        <w:t>” of any security on any date of determination means the closing sale price (or, if no closing sale price is reported, the last reported sale price) of that security (regular way) on the NYSE on that date or, if that security is not listed for trading on the NYSE on that date, as reported in the composite transactions for the principal United States securities exchange on which that security is so listed, or if that security is not so listed on a United States national or regional securities exchange, as reported by the Nasdaq National Market, or if that security is not so reported, the last quoted bid price for that security in the over-the-counter market as reported by the National Quotation Bureau or similar organization. In the event that no such quotation is available for any day, our board of directors will be entitled to determine the closing price on the basis of those quotations that it in good faith considers appropriate. To the extent that trading of reference shares regular way continues past 4:00 p.m., New York City time, “closing price” shall be deemed to refer to the price at the time that is then customary for determining the trading day’s index levels for stocks traded on the primary national securities exchange or automated quotation system on which the reference shares are then traded or quoted. All references to 4:00 p.m., New York City time, in the definition of “current market value” shall thereafter be deemed to refer to the then customary determination time.</w:t>
      </w:r>
    </w:p>
    <w:p>
      <w:pPr>
        <w:sectPr>
          <w:pgSz w:w="11900" w:h="16838" w:orient="portrait"/>
          <w:cols w:equalWidth="0" w:num="1">
            <w:col w:w="11280"/>
          </w:cols>
          <w:pgMar w:left="300" w:top="1127" w:right="319" w:bottom="1440" w:gutter="0" w:footer="0" w:header="0"/>
        </w:sectPr>
      </w:pPr>
    </w:p>
    <w:bookmarkStart w:id="112" w:name="page113"/>
    <w:bookmarkEnd w:id="112"/>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that security.</w:t>
      </w:r>
    </w:p>
    <w:p>
      <w:pPr>
        <w:spacing w:after="0" w:line="138"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7"/>
          <w:szCs w:val="17"/>
          <w:color w:val="auto"/>
        </w:rPr>
        <w:t>In addition, if at any time on or prior to January 30, 2000, a “</w:t>
      </w:r>
      <w:r>
        <w:rPr>
          <w:rFonts w:ascii="Times New Roman" w:cs="Times New Roman" w:eastAsia="Times New Roman" w:hAnsi="Times New Roman"/>
          <w:sz w:val="17"/>
          <w:szCs w:val="17"/>
          <w:b w:val="1"/>
          <w:bCs w:val="1"/>
          <w:i w:val="1"/>
          <w:iCs w:val="1"/>
          <w:color w:val="auto"/>
        </w:rPr>
        <w:t>tax event</w:t>
      </w:r>
      <w:r>
        <w:rPr>
          <w:rFonts w:ascii="Times New Roman" w:cs="Times New Roman" w:eastAsia="Times New Roman" w:hAnsi="Times New Roman"/>
          <w:sz w:val="17"/>
          <w:szCs w:val="17"/>
          <w:color w:val="auto"/>
        </w:rPr>
        <w:t>” shall occur and be continuing, we will have the right exercisable within 180 days after such “tax event”, upon not less than 15 business days’ notice, to redeem the ZONES, in whole, at a redemption price equal to the higher of the contingent principal amount of the ZONES or the sum of the current market value of the reference shares, determined by reference to an averaging period of 5 rather than 20 trading days, plus, in either case, the final period distribution (computed by accounting for the 5-day averaging period), plus any deferred quarterly payments of interest.</w:t>
      </w:r>
    </w:p>
    <w:p>
      <w:pPr>
        <w:spacing w:after="0" w:line="140" w:lineRule="exact"/>
        <w:rPr>
          <w:sz w:val="20"/>
          <w:szCs w:val="20"/>
          <w:color w:val="auto"/>
        </w:rPr>
      </w:pPr>
    </w:p>
    <w:p>
      <w:pPr>
        <w:jc w:val="both"/>
        <w:ind w:firstLine="509"/>
        <w:spacing w:after="0" w:line="21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tax event</w:t>
      </w:r>
      <w:r>
        <w:rPr>
          <w:rFonts w:ascii="Times New Roman" w:cs="Times New Roman" w:eastAsia="Times New Roman" w:hAnsi="Times New Roman"/>
          <w:sz w:val="17"/>
          <w:szCs w:val="17"/>
          <w:color w:val="auto"/>
        </w:rPr>
        <w:t>” means that the trustee shall have received an opinion of nationally recognized independent tax counsel experienced in such matters to the effect that as a result of (a) any amendment to, clarification of, or change (including any announced prospective change) in the laws, or any regulations thereunder, of the United States or any political subdivision or taxing authority thereof or therein, or (b) any judicial decision, official administrative pronouncement, ruling, regulatory procedure, notice or announcement, including any notice or announcement of intent to adopt such procedures or regulations, in each case, on or after the date of this prospectus supplement (a “change in tax law”), there is the creation by such change in tax law of a substantial risk that, as a result of entrance into the ZONES, we will be treated for purposes of Section 1259 of the Internal Revenue Code as having constructively sold some or all of our Sprint PCS Stock.</w:t>
      </w:r>
    </w:p>
    <w:p>
      <w:pPr>
        <w:spacing w:after="0" w:line="143"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We will give holders 30 business days’ notice before the redemption of the ZONES (in the case of a redemption not pursuant to a “tax event”) and will irrevocably deposit with the trustee sufficient funds to pay the redemption amount. Distributions to be paid on or before the redemption date of the ZONES will be payable to the holders on the record dates for the related dates of distribution.</w:t>
      </w:r>
    </w:p>
    <w:p>
      <w:pPr>
        <w:spacing w:after="0" w:line="143"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Once notice of redemption is given and funds are irrevocably deposited, interest on the ZONES will cease to accrue on and after the date of redemption and all rights of the holders of the ZONES will cease, except for the right of the holders to receive the redemption amount (but without interest on that redemption amount), including, if applicable, the final period distribution.</w:t>
      </w:r>
    </w:p>
    <w:p>
      <w:pPr>
        <w:spacing w:after="0" w:line="14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If the redemption date is not a business day, then the redemption amount will be payable on the next business day (and without any interest or other payment in respect of that delay). However, if the next business day is in the next calendar year, the redemption amount will be payable on the preceding business day.</w:t>
      </w:r>
    </w:p>
    <w:p>
      <w:pPr>
        <w:spacing w:after="0" w:line="143"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If we improperly withhold or refuse to pay the redemption amount for the ZONES, interest on the ZONES will continue to accrue at an annual rate of 2.0% from the original redemption date to the actual date of payment. In this case, the actual payment date will be considered the redemption date for purposes of calculating the redemption amount. The final period distribution will be deemed paid on the original redemption date scheduled to the extent paid as set forth in the definition of final period distribution above.</w:t>
      </w:r>
    </w:p>
    <w:p>
      <w:pPr>
        <w:spacing w:after="0" w:line="14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In compliance with applicable law (including the United States federal securities laws), we and our affiliates may, at any time, purchase outstanding ZONES by tender, in the open market or by private agreement.</w:t>
      </w:r>
    </w:p>
    <w:p>
      <w:pPr>
        <w:sectPr>
          <w:pgSz w:w="11900" w:h="16838" w:orient="portrait"/>
          <w:cols w:equalWidth="0" w:num="1">
            <w:col w:w="11280"/>
          </w:cols>
          <w:pgMar w:left="300" w:top="1123"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color w:val="auto"/>
        </w:rPr>
        <w:t>Subordination</w:t>
      </w:r>
    </w:p>
    <w:p>
      <w:pPr>
        <w:spacing w:after="0" w:line="169"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The ZONES are unsecured and junior in right of payment to all senior indebtedness (as we define below). This means that no payment of principal, premium (if any) or interest on the ZONES may be made if:</w:t>
      </w:r>
    </w:p>
    <w:p>
      <w:pPr>
        <w:spacing w:after="0" w:line="387" w:lineRule="exact"/>
        <w:rPr>
          <w:sz w:val="20"/>
          <w:szCs w:val="20"/>
          <w:color w:val="auto"/>
        </w:rPr>
      </w:pPr>
    </w:p>
    <w:p>
      <w:pPr>
        <w:ind w:left="1040" w:right="20" w:hanging="257"/>
        <w:spacing w:after="0" w:line="238" w:lineRule="auto"/>
        <w:tabs>
          <w:tab w:leader="none" w:pos="103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senior indebtedness is not paid when due, any applicable grace period with respect to any default for non-payment of principal, premium, interest or any other payment due on any senior indebtedness has ended and that default has not been cured or waived or ceased to exist; or</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of any senior indebtedness has been accelerated because of a default.</w:t>
      </w:r>
    </w:p>
    <w:p>
      <w:pPr>
        <w:spacing w:after="0" w:line="250"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On any distribution of our assets to creditors upon any dissolution, winding-up, liquidation or reorganization, whether voluntary or involuntary or in bankruptcy, insolvency, receivership, reorganization or other similar proceedings, all principal of, premium, if any, interest and any other amounts due or to become due on, all senior indebtedness must be paid in full before the holders of the ZONES are entitled to receive or retain any payment. Because of this subordination, if we dissolve or otherwise liquidate, holders of senior indebtedness may receive more, ratably, and holders of subordinated debt, including the ZONES, may receive less, ratably, than our other creditors. Upon payment in full of the senior indebtedness, the holders of the ZONES will assume rights similar to the holders of senior indebtedness to receive any remaining payments or distributions applicable to senior indebtedness until all amounts owing on the ZONES are paid in full. The ZONES are intended to rank equally with all other existing and future subordinated debt and trade obligations of Comcast Holdings.</w:t>
      </w:r>
    </w:p>
    <w:p>
      <w:pPr>
        <w:spacing w:after="0" w:line="13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Senior indebtedness</w:t>
      </w:r>
      <w:r>
        <w:rPr>
          <w:rFonts w:ascii="Times New Roman" w:cs="Times New Roman" w:eastAsia="Times New Roman" w:hAnsi="Times New Roman"/>
          <w:sz w:val="17"/>
          <w:szCs w:val="17"/>
          <w:color w:val="auto"/>
        </w:rPr>
        <w:t>” means the principal of, premium, if any, interest on, and any other payment due pursuant to any of the following, whether outstanding today or incurred by us in the future:</w:t>
      </w:r>
    </w:p>
    <w:p>
      <w:pPr>
        <w:spacing w:after="0" w:line="395" w:lineRule="exact"/>
        <w:rPr>
          <w:sz w:val="20"/>
          <w:szCs w:val="20"/>
          <w:color w:val="auto"/>
        </w:rPr>
      </w:pPr>
    </w:p>
    <w:p>
      <w:pPr>
        <w:jc w:val="both"/>
        <w:ind w:left="1040" w:right="20" w:hanging="257"/>
        <w:spacing w:after="0" w:line="228" w:lineRule="auto"/>
        <w:tabs>
          <w:tab w:leader="none" w:pos="103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indebtedness evidenced by notes, debentures, bonds or other securities sold by us for money;</w:t>
      </w:r>
    </w:p>
    <w:p>
      <w:pPr>
        <w:spacing w:after="0" w:line="218"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lease obligations which are capitalized on our books in accordance with generally accepted accounting principles;</w:t>
      </w:r>
    </w:p>
    <w:p>
      <w:pPr>
        <w:sectPr>
          <w:pgSz w:w="11900" w:h="16838" w:orient="portrait"/>
          <w:cols w:equalWidth="0" w:num="1">
            <w:col w:w="11280"/>
          </w:cols>
          <w:pgMar w:left="300" w:top="1123" w:right="319" w:bottom="1440" w:gutter="0" w:footer="0" w:header="0"/>
        </w:sectPr>
      </w:pPr>
    </w:p>
    <w:bookmarkStart w:id="114" w:name="page115"/>
    <w:bookmarkEnd w:id="114"/>
    <w:p>
      <w:pPr>
        <w:jc w:val="both"/>
        <w:ind w:left="1040" w:right="20" w:hanging="257"/>
        <w:spacing w:after="0" w:line="228" w:lineRule="auto"/>
        <w:tabs>
          <w:tab w:leader="none" w:pos="103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228"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subordinated debt securities. Our senior debt securities, and any indebtedness outstanding under our senior subordinated debentures indenture dated as of October 17, 1991 between us and Harris Trust and Savings Bank as successor trustee to Morgan Guaranty Trust Company of New York, constitute senior indebtedness for purposes of the Indenture. Senior Indebtedness does not include any indebtedness that is by its terms junior or equal with the ZONES.</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The ZONES do not limit our ability or that of our subsidiaries to incur additional indebtedness, including indebtedness that ranks senior in priority of payment to the ZONES.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 payable upon bankruptcy</w:t>
      </w:r>
    </w:p>
    <w:p>
      <w:pPr>
        <w:spacing w:after="0" w:line="169"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Upon dissolution, winding-up, liquidation or reorganization, whether voluntary or involuntary or in bankruptcy, insolvency, receivership or other similar proceedings in respect of Comcast Holdings, holders of the ZONES should be entitled to a claim against us in an amount equal to the higher of (a) the contingent principal amount of the ZONES or (b) the sum of the current market value (without giving effect to the provisions relating to rollover offerings) of the reference shares plus any deferred quarterly payments of interest (including any accrued interest thereon), plus, in either case, the final period distribution determined as if the date of such event was the maturity date of the ZONES.</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Because of the subordination provisions contained in the Indenture, the amount holders actually receive is likely to be substantially less than the amount of their claim.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Dilution adjustments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For purposes of this document, “reference company” means Sprint and any other issuer of a reference share.</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reference share</w:t>
      </w:r>
      <w:r>
        <w:rPr>
          <w:rFonts w:ascii="Times New Roman" w:cs="Times New Roman" w:eastAsia="Times New Roman" w:hAnsi="Times New Roman"/>
          <w:sz w:val="17"/>
          <w:szCs w:val="17"/>
          <w:color w:val="auto"/>
        </w:rPr>
        <w:t>” means, collectively:</w:t>
      </w:r>
    </w:p>
    <w:p>
      <w:pPr>
        <w:spacing w:after="0" w:line="200" w:lineRule="exact"/>
        <w:rPr>
          <w:sz w:val="20"/>
          <w:szCs w:val="20"/>
          <w:color w:val="auto"/>
        </w:rPr>
      </w:pPr>
    </w:p>
    <w:p>
      <w:pPr>
        <w:spacing w:after="0" w:line="213" w:lineRule="exact"/>
        <w:rPr>
          <w:sz w:val="20"/>
          <w:szCs w:val="20"/>
          <w:color w:val="auto"/>
        </w:rPr>
      </w:pPr>
    </w:p>
    <w:p>
      <w:pPr>
        <w:ind w:left="1040" w:hanging="257"/>
        <w:spacing w:after="0"/>
        <w:tabs>
          <w:tab w:leader="none" w:pos="10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initially, one share of Sprint PCS stock; and</w:t>
      </w:r>
    </w:p>
    <w:p>
      <w:pPr>
        <w:sectPr>
          <w:pgSz w:w="11900" w:h="16838" w:orient="portrait"/>
          <w:cols w:equalWidth="0" w:num="1">
            <w:col w:w="11280"/>
          </w:cols>
          <w:pgMar w:left="300" w:top="1371" w:right="319" w:bottom="1440" w:gutter="0" w:footer="0" w:header="0"/>
        </w:sectPr>
      </w:pPr>
    </w:p>
    <w:bookmarkStart w:id="115" w:name="page116"/>
    <w:bookmarkEnd w:id="115"/>
    <w:p>
      <w:pPr>
        <w:jc w:val="both"/>
        <w:ind w:left="257" w:hanging="257"/>
        <w:spacing w:after="0" w:line="228" w:lineRule="auto"/>
        <w:tabs>
          <w:tab w:leader="none" w:pos="25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issuance of the ZONES, each share or fraction of a share of publicly traded equity securities received by a holder of a reference share in respect of that reference share, and, to the extent the reference share remains outstanding after any of the following events but without duplication, including the reference share, in each case directly or as the result of successive applications of this paragraph upon any of the following events:</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757" w:hanging="248"/>
        <w:spacing w:after="0"/>
        <w:tabs>
          <w:tab w:leader="none" w:pos="757"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distribution on or in respect of a reference share in reference shares;</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757" w:hanging="248"/>
        <w:spacing w:after="0"/>
        <w:tabs>
          <w:tab w:leader="none" w:pos="757"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combination of reference shares into a smaller number of shares or other units;</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757" w:hanging="248"/>
        <w:spacing w:after="0"/>
        <w:tabs>
          <w:tab w:leader="none" w:pos="757"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subdivision of outstanding shares or other units of reference shares;</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757" w:hanging="248"/>
        <w:spacing w:after="0"/>
        <w:tabs>
          <w:tab w:leader="none" w:pos="757"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or reclassification of reference shares by issuance or exchange of other securities;</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jc w:val="both"/>
        <w:ind w:left="757" w:hanging="248"/>
        <w:spacing w:after="0" w:line="223" w:lineRule="auto"/>
        <w:tabs>
          <w:tab w:leader="none" w:pos="754"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consolidation or merger of a reference company, or any surviving entity or subsequent surviving entity of a reference company (which we refer to as a reference company successor), with or into another entity (other than a merger or consolidation in which the reference company is the continuing corporation and in which the reference company common stock outstanding immediately prior to the merger or consolidation is not exchanged for cash, securities or other property of the reference company or another corporation);</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jc w:val="both"/>
        <w:ind w:left="757" w:right="20" w:hanging="248"/>
        <w:spacing w:after="0" w:line="223" w:lineRule="auto"/>
        <w:tabs>
          <w:tab w:leader="none" w:pos="764"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statutory exchange of securities of the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 or other property of the reference company or another corporation); and</w:t>
      </w:r>
    </w:p>
    <w:p>
      <w:pPr>
        <w:sectPr>
          <w:pgSz w:w="11900" w:h="16838" w:orient="portrait"/>
          <w:cols w:equalWidth="0" w:num="1">
            <w:col w:w="10477"/>
          </w:cols>
          <w:pgMar w:left="1083" w:top="1371" w:right="339" w:bottom="1440" w:gutter="0" w:footer="0" w:header="0"/>
        </w:sectPr>
      </w:pPr>
    </w:p>
    <w:bookmarkStart w:id="116" w:name="page117"/>
    <w:bookmarkEnd w:id="116"/>
    <w:p>
      <w:pPr>
        <w:ind w:left="520" w:right="2580" w:firstLine="772"/>
        <w:spacing w:after="0" w:line="589" w:lineRule="auto"/>
        <w:tabs>
          <w:tab w:leader="none" w:pos="1549"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liquidation, dissolution or winding up of the reference company or any reference company successor. For purposes of the foregoing:</w:t>
      </w:r>
    </w:p>
    <w:p>
      <w:pPr>
        <w:spacing w:after="0" w:line="101" w:lineRule="exact"/>
        <w:rPr>
          <w:rFonts w:ascii="Times New Roman" w:cs="Times New Roman" w:eastAsia="Times New Roman" w:hAnsi="Times New Roman"/>
          <w:sz w:val="17"/>
          <w:szCs w:val="17"/>
          <w:color w:val="auto"/>
        </w:rPr>
      </w:pPr>
    </w:p>
    <w:p>
      <w:pPr>
        <w:jc w:val="both"/>
        <w:ind w:left="1040" w:right="20" w:hanging="257"/>
        <w:spacing w:after="0" w:line="220" w:lineRule="auto"/>
        <w:tabs>
          <w:tab w:leader="none" w:pos="103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conversion or redemption by Sprint of all shares of Sprint PCS stock pursuant to Article Sixth, Section 7.1 of its Articles of Incorporation shall be deemed a consolidation or merger, with the Sprint PCS Group deemed to be the reference company, with Sprint deemed to be the reference company successor if Sprint FON stock or any other common stock of Sprint is issued in exchange for the Sprint PCS stock or with the relevant acquiror of the Sprint PCS Group assets deemed to be the reference company successor if common stock other than Sprint FON stock is issued in exchange for the Sprint PCS stock; and</w:t>
      </w:r>
    </w:p>
    <w:p>
      <w:pPr>
        <w:spacing w:after="0" w:line="200" w:lineRule="exact"/>
        <w:rPr>
          <w:rFonts w:ascii="Times New Roman" w:cs="Times New Roman" w:eastAsia="Times New Roman" w:hAnsi="Times New Roman"/>
          <w:sz w:val="17"/>
          <w:szCs w:val="17"/>
          <w:color w:val="auto"/>
        </w:rPr>
      </w:pPr>
    </w:p>
    <w:p>
      <w:pPr>
        <w:spacing w:after="0" w:line="272" w:lineRule="exact"/>
        <w:rPr>
          <w:rFonts w:ascii="Times New Roman" w:cs="Times New Roman" w:eastAsia="Times New Roman" w:hAnsi="Times New Roman"/>
          <w:sz w:val="17"/>
          <w:szCs w:val="17"/>
          <w:color w:val="auto"/>
        </w:rPr>
      </w:pPr>
    </w:p>
    <w:p>
      <w:pPr>
        <w:jc w:val="both"/>
        <w:ind w:left="1040" w:right="40" w:hanging="257"/>
        <w:spacing w:after="0" w:line="228" w:lineRule="auto"/>
        <w:tabs>
          <w:tab w:leader="none" w:pos="103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redemption by Sprint pursuant to Article Sixth, Section 7.2 of its Articles of Incorporation of all of the outstanding shares of Sprint PCS stock in exchange for common stock of one or more wholly-owned subsidiaries that collectively hold all of the assets and liabilities attributed to its PCS Group shall be deemed an exchange of shares of Sprint PCS stock for shares of common stock of the relevant subsidiary or subsidiaries.</w:t>
      </w:r>
    </w:p>
    <w:p>
      <w:pPr>
        <w:spacing w:after="0" w:line="239"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As described above under “Interest,” we will pay as additional interest to holders of the ZONES any property received in distribution on a reference share, unless it is also a reference share, in which case it shall become part of a reference share. Upon any distribution of fractional shares or units of securities, other than fractional reference shares, we will pay the holders cash in lieu of distribution of such fractional shares or other units.</w:t>
      </w:r>
    </w:p>
    <w:p>
      <w:pPr>
        <w:spacing w:after="0" w:line="139"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reference share offer</w:t>
      </w:r>
      <w:r>
        <w:rPr>
          <w:rFonts w:ascii="Times New Roman" w:cs="Times New Roman" w:eastAsia="Times New Roman" w:hAnsi="Times New Roman"/>
          <w:sz w:val="17"/>
          <w:szCs w:val="17"/>
          <w:color w:val="auto"/>
        </w:rPr>
        <w:t>” means any tender offer or exchange offer made for all or a portion of a class of reference shares of a reference company. A “reference share offer” shall include a conversion or redemption by Sprint of less than all shares of Sprint PCS stock pursuant to Article Sixth, Section 7.1 of its Articles of Incorporation.</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If a reference share offer is made, we may, at our option, either:</w:t>
      </w:r>
    </w:p>
    <w:p>
      <w:pPr>
        <w:spacing w:after="0" w:line="218" w:lineRule="exact"/>
        <w:rPr>
          <w:sz w:val="20"/>
          <w:szCs w:val="20"/>
          <w:color w:val="auto"/>
        </w:rPr>
      </w:pPr>
    </w:p>
    <w:p>
      <w:pPr>
        <w:ind w:left="1040" w:hanging="257"/>
        <w:spacing w:after="0"/>
        <w:tabs>
          <w:tab w:leader="none" w:pos="10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pendency of the offer, increase the early exchange ratio to 100%; or</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 reference share offer adjustment.</w:t>
      </w:r>
    </w:p>
    <w:p>
      <w:pPr>
        <w:spacing w:after="0" w:line="24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i w:val="1"/>
          <w:iCs w:val="1"/>
          <w:color w:val="auto"/>
        </w:rPr>
        <w:t>reference share offer adjustment</w:t>
      </w:r>
      <w:r>
        <w:rPr>
          <w:rFonts w:ascii="Times New Roman" w:cs="Times New Roman" w:eastAsia="Times New Roman" w:hAnsi="Times New Roman"/>
          <w:sz w:val="17"/>
          <w:szCs w:val="17"/>
          <w:color w:val="auto"/>
        </w:rPr>
        <w:t>” means including as part of a reference share each share of publicly traded equity securities, if any, deemed to be distributed on or in respect of a reference share as average transaction consideration less the reference share proportionate reduction (as defined below).</w:t>
      </w:r>
    </w:p>
    <w:p>
      <w:pPr>
        <w:spacing w:after="0" w:line="140"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The average transaction consideration deemed to be received by a holder of one reference share in a reference share offer will be equal to (a) the aggregate consideration actually paid or</w:t>
      </w:r>
    </w:p>
    <w:p>
      <w:pPr>
        <w:sectPr>
          <w:pgSz w:w="11900" w:h="16838" w:orient="portrait"/>
          <w:cols w:equalWidth="0" w:num="1">
            <w:col w:w="11280"/>
          </w:cols>
          <w:pgMar w:left="300" w:top="1371" w:right="319" w:bottom="1440" w:gutter="0" w:footer="0" w:header="0"/>
        </w:sectPr>
      </w:pPr>
    </w:p>
    <w:bookmarkStart w:id="117" w:name="page118"/>
    <w:bookmarkEnd w:id="117"/>
    <w:p>
      <w:pPr>
        <w:jc w:val="both"/>
        <w:spacing w:after="0" w:line="238" w:lineRule="auto"/>
        <w:rPr>
          <w:sz w:val="20"/>
          <w:szCs w:val="20"/>
          <w:color w:val="auto"/>
        </w:rPr>
      </w:pPr>
      <w:r>
        <w:rPr>
          <w:rFonts w:ascii="Times New Roman" w:cs="Times New Roman" w:eastAsia="Times New Roman" w:hAnsi="Times New Roman"/>
          <w:sz w:val="17"/>
          <w:szCs w:val="17"/>
          <w:color w:val="auto"/>
        </w:rPr>
        <w:t>distributed to all holders of reference shares in the reference share offer, divided by (b) the total number of reference shares outstanding immediately prior to the expiration of the reference share offer and entitled to participate in that reference share offer.</w:t>
      </w:r>
    </w:p>
    <w:p>
      <w:pPr>
        <w:spacing w:after="0" w:line="13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reference share proportionate reduction</w:t>
      </w:r>
      <w:r>
        <w:rPr>
          <w:rFonts w:ascii="Times New Roman" w:cs="Times New Roman" w:eastAsia="Times New Roman" w:hAnsi="Times New Roman"/>
          <w:sz w:val="17"/>
          <w:szCs w:val="17"/>
          <w:color w:val="auto"/>
        </w:rPr>
        <w:t>” means a proportionate reduction in the number of reference shares which are the subject of the applicable reference share offer and attributable to one ZONES calculated in accordance with the following formula:</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where:</w:t>
      </w:r>
    </w:p>
    <w:p>
      <w:pPr>
        <w:ind w:left="520"/>
        <w:spacing w:after="0"/>
        <w:rPr>
          <w:sz w:val="20"/>
          <w:szCs w:val="20"/>
          <w:color w:val="auto"/>
        </w:rPr>
      </w:pPr>
      <w:r>
        <w:rPr>
          <w:rFonts w:ascii="Times New Roman" w:cs="Times New Roman" w:eastAsia="Times New Roman" w:hAnsi="Times New Roman"/>
          <w:sz w:val="17"/>
          <w:szCs w:val="17"/>
          <w:color w:val="auto"/>
        </w:rPr>
        <w:t>R = X / N</w:t>
      </w:r>
    </w:p>
    <w:p>
      <w:pPr>
        <w:spacing w:after="0" w:line="200" w:lineRule="exact"/>
        <w:rPr>
          <w:sz w:val="20"/>
          <w:szCs w:val="20"/>
          <w:color w:val="auto"/>
        </w:rPr>
      </w:pPr>
    </w:p>
    <w:p>
      <w:pPr>
        <w:spacing w:after="0" w:line="223" w:lineRule="exact"/>
        <w:rPr>
          <w:sz w:val="20"/>
          <w:szCs w:val="20"/>
          <w:color w:val="auto"/>
        </w:rPr>
      </w:pPr>
    </w:p>
    <w:p>
      <w:pPr>
        <w:ind w:left="560" w:right="160"/>
        <w:spacing w:after="0" w:line="238" w:lineRule="auto"/>
        <w:rPr>
          <w:sz w:val="20"/>
          <w:szCs w:val="20"/>
          <w:color w:val="auto"/>
        </w:rPr>
      </w:pPr>
      <w:r>
        <w:rPr>
          <w:rFonts w:ascii="Times New Roman" w:cs="Times New Roman" w:eastAsia="Times New Roman" w:hAnsi="Times New Roman"/>
          <w:sz w:val="17"/>
          <w:szCs w:val="17"/>
          <w:color w:val="auto"/>
        </w:rPr>
        <w:t>R = the fraction by which the number of reference shares of the class of reference shares subject to the reference share offer and attributable to one ZONES will be reduced.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X = the aggregate number of reference shares of the class of reference shares subject to the reference share offer accepted in the reference share offer.</w:t>
      </w:r>
    </w:p>
    <w:p>
      <w:pPr>
        <w:spacing w:after="0" w:line="200" w:lineRule="exact"/>
        <w:rPr>
          <w:sz w:val="20"/>
          <w:szCs w:val="20"/>
          <w:color w:val="auto"/>
        </w:rPr>
      </w:pPr>
    </w:p>
    <w:p>
      <w:pPr>
        <w:spacing w:after="0" w:line="337" w:lineRule="exact"/>
        <w:rPr>
          <w:sz w:val="20"/>
          <w:szCs w:val="20"/>
          <w:color w:val="auto"/>
        </w:rPr>
      </w:pPr>
    </w:p>
    <w:p>
      <w:pPr>
        <w:ind w:left="560" w:right="580"/>
        <w:spacing w:after="0" w:line="238" w:lineRule="auto"/>
        <w:rPr>
          <w:sz w:val="20"/>
          <w:szCs w:val="20"/>
          <w:color w:val="auto"/>
        </w:rPr>
      </w:pPr>
      <w:r>
        <w:rPr>
          <w:rFonts w:ascii="Times New Roman" w:cs="Times New Roman" w:eastAsia="Times New Roman" w:hAnsi="Times New Roman"/>
          <w:sz w:val="17"/>
          <w:szCs w:val="17"/>
          <w:color w:val="auto"/>
        </w:rPr>
        <w:t>N = the aggregate number of reference shares of the class of reference shares subject to the reference share offer outstanding immediately prior to the expiration of the reference share offer.</w:t>
      </w:r>
    </w:p>
    <w:p>
      <w:pPr>
        <w:spacing w:after="0" w:line="249"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If we elect to make a reference share offer adjustment, we will distribute as additional interest on each ZONES the average transaction consideration deemed to be received on the reference shares of the class subject to the reference share offer and attributable to each ZONES immediately prior to giving effect to the reference share proportionate reduction relating to that reference share offer (other than average transaction consideration that is publicly traded equity securities which will themselves become reference shares as a result of a reference share offer adjustment).</w:t>
      </w:r>
    </w:p>
    <w:p>
      <w:pPr>
        <w:spacing w:after="0" w:line="143"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If we elect to make a reference share offer adjustment, and during the pendency of the reference share offer another reference share offer is commenced in relation to the reference shares the subject of the then existing reference share offer, we can change our original election by electing to increase the early exchange ratio to 100% during the pendency of the new reference share offer, or we can continue to elect to make a reference share offer adjustment. We will similarly be entitled to change our election for each further reference share offer made during the pendency of any reference share offer for the same class of reference shares. For the purposes of these adjustments, a material change to the terms of an existing reference share offer will be deemed to be a new reference share offer.</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If we elect to increase the early exchange ratio to 100% in connection with a reference share offer, no reference share offer adjustment will be made and we cannot change our election if any further reference share offer is made.</w:t>
      </w:r>
    </w:p>
    <w:p>
      <w:pPr>
        <w:spacing w:after="0" w:line="14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We will give the trustee notice of our election in the event of any reference share offer. We will also prepare a press release and provide it to DTC for dissemination through the DTC broadcast facility. We will give this notice no later than 10 business days before the scheduled expiration of the reference share offer.</w:t>
      </w:r>
    </w:p>
    <w:p>
      <w:pPr>
        <w:sectPr>
          <w:pgSz w:w="11900" w:h="16838" w:orient="portrait"/>
          <w:cols w:equalWidth="0" w:num="1">
            <w:col w:w="11280"/>
          </w:cols>
          <w:pgMar w:left="300" w:top="1126"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color w:val="auto"/>
        </w:rPr>
        <w:t>Calculations in respect of the ZONES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will be responsible for making all calculations called for under the ZONES. These calculations include, but are not limited to, determination of:</w:t>
      </w:r>
    </w:p>
    <w:p>
      <w:pPr>
        <w:spacing w:after="0" w:line="200" w:lineRule="exact"/>
        <w:rPr>
          <w:sz w:val="20"/>
          <w:szCs w:val="20"/>
          <w:color w:val="auto"/>
        </w:rPr>
      </w:pPr>
    </w:p>
    <w:p>
      <w:pPr>
        <w:spacing w:after="0" w:line="209" w:lineRule="exact"/>
        <w:rPr>
          <w:sz w:val="20"/>
          <w:szCs w:val="20"/>
          <w:color w:val="auto"/>
        </w:rPr>
      </w:pPr>
    </w:p>
    <w:p>
      <w:pPr>
        <w:ind w:left="1040" w:hanging="257"/>
        <w:spacing w:after="0"/>
        <w:tabs>
          <w:tab w:leader="none" w:pos="10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contingent principal amount of the ZONES;</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market value of the reference shares;</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exchange market value of the reference shares;</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final period distribution on the ZONES;</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cash value of any property distributed on the reference shares;</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transaction consideration in a reference share offer;</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composition of a reference share; and</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accrued interest payable upon redemption or at maturity of the ZONES.</w:t>
      </w:r>
    </w:p>
    <w:p>
      <w:pPr>
        <w:spacing w:after="0" w:line="250"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We will make all these calculations in good faith and, absent manifest error, our calculations are final and binding on holders of the ZONES. We will provide a schedule of our calculations to the trustee and the trustee is entitled to rely upon the accuracy of our calculations without independent verification.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Modification and Waiver</w:t>
      </w:r>
    </w:p>
    <w:p>
      <w:pPr>
        <w:spacing w:after="0" w:line="169"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Comcast Holdings, when authorized by a resolution of its Board certified to the Trustee, and the Trustee, without consent of holders, may from time to time and at any time enter into an indenture or indentures supplemental hereto for one or more of the following purposes:</w:t>
      </w:r>
    </w:p>
    <w:p>
      <w:pPr>
        <w:spacing w:after="0" w:line="143" w:lineRule="exact"/>
        <w:rPr>
          <w:sz w:val="20"/>
          <w:szCs w:val="20"/>
          <w:color w:val="auto"/>
        </w:rPr>
      </w:pPr>
    </w:p>
    <w:p>
      <w:pPr>
        <w:ind w:firstLine="514"/>
        <w:spacing w:after="0" w:line="238" w:lineRule="auto"/>
        <w:tabs>
          <w:tab w:leader="none" w:pos="77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the succession of another corporation to the Issuer, or successive successions, and the assumption by the successor corporation of the covenants, agreements and obligations of the Issuer;</w:t>
      </w:r>
    </w:p>
    <w:p>
      <w:pPr>
        <w:sectPr>
          <w:pgSz w:w="11900" w:h="16838" w:orient="portrait"/>
          <w:cols w:equalWidth="0" w:num="1">
            <w:col w:w="11280"/>
          </w:cols>
          <w:pgMar w:left="300" w:top="1314" w:right="319" w:bottom="1440" w:gutter="0" w:footer="0" w:header="0"/>
        </w:sectPr>
      </w:pPr>
    </w:p>
    <w:bookmarkStart w:id="119" w:name="page120"/>
    <w:bookmarkEnd w:id="119"/>
    <w:p>
      <w:pPr>
        <w:jc w:val="both"/>
        <w:ind w:firstLine="514"/>
        <w:spacing w:after="0" w:line="223" w:lineRule="auto"/>
        <w:tabs>
          <w:tab w:leader="none" w:pos="75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the Indenture or under any supplemental indenture as the Board may deem necessary or desirable and which shall not adversely affect the interests of the holders of the ZONES in any material respect;</w:t>
      </w:r>
    </w:p>
    <w:p>
      <w:pPr>
        <w:spacing w:after="0" w:line="143" w:lineRule="exact"/>
        <w:rPr>
          <w:rFonts w:ascii="Times New Roman" w:cs="Times New Roman" w:eastAsia="Times New Roman" w:hAnsi="Times New Roman"/>
          <w:sz w:val="17"/>
          <w:szCs w:val="17"/>
          <w:color w:val="auto"/>
        </w:rPr>
      </w:pPr>
    </w:p>
    <w:p>
      <w:pPr>
        <w:ind w:left="740" w:hanging="226"/>
        <w:spacing w:after="0"/>
        <w:tabs>
          <w:tab w:leader="none" w:pos="7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the form or terms of securities of any series as permitted by Sections 2.01 and 2.03 to the Base Indenture;</w:t>
      </w:r>
    </w:p>
    <w:p>
      <w:pPr>
        <w:spacing w:after="0" w:line="165" w:lineRule="exact"/>
        <w:rPr>
          <w:rFonts w:ascii="Times New Roman" w:cs="Times New Roman" w:eastAsia="Times New Roman" w:hAnsi="Times New Roman"/>
          <w:sz w:val="17"/>
          <w:szCs w:val="17"/>
          <w:color w:val="auto"/>
        </w:rPr>
      </w:pPr>
    </w:p>
    <w:p>
      <w:pPr>
        <w:jc w:val="both"/>
        <w:ind w:firstLine="514"/>
        <w:spacing w:after="0" w:line="228" w:lineRule="auto"/>
        <w:tabs>
          <w:tab w:leader="none" w:pos="75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hereunder by a successor trustee with respect to the ZONES and to add to or change any of the provisions of the Base Indenture as shall be necessary to provide for or facilitate the administration of the trusts hereunder by more than one trustee, pursuant to the requirements of Section 5.10 to the Base Indenture;</w:t>
      </w:r>
    </w:p>
    <w:p>
      <w:pPr>
        <w:spacing w:after="0" w:line="143" w:lineRule="exact"/>
        <w:rPr>
          <w:rFonts w:ascii="Times New Roman" w:cs="Times New Roman" w:eastAsia="Times New Roman" w:hAnsi="Times New Roman"/>
          <w:sz w:val="17"/>
          <w:szCs w:val="17"/>
          <w:color w:val="auto"/>
        </w:rPr>
      </w:pPr>
    </w:p>
    <w:p>
      <w:pPr>
        <w:ind w:left="740" w:hanging="226"/>
        <w:spacing w:after="0"/>
        <w:tabs>
          <w:tab w:leader="none" w:pos="7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any requirements in connection with the qualification of the Indenture under the Trust Indenture Act of 1939;</w:t>
      </w:r>
    </w:p>
    <w:p>
      <w:pPr>
        <w:spacing w:after="0" w:line="165" w:lineRule="exact"/>
        <w:rPr>
          <w:rFonts w:ascii="Times New Roman" w:cs="Times New Roman" w:eastAsia="Times New Roman" w:hAnsi="Times New Roman"/>
          <w:sz w:val="17"/>
          <w:szCs w:val="17"/>
          <w:color w:val="auto"/>
        </w:rPr>
      </w:pPr>
    </w:p>
    <w:p>
      <w:pPr>
        <w:ind w:left="720" w:hanging="206"/>
        <w:spacing w:after="0"/>
        <w:tabs>
          <w:tab w:leader="none" w:pos="7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or unregistered securities and to make all appropriate changes for such purpose;</w:t>
      </w:r>
    </w:p>
    <w:p>
      <w:pPr>
        <w:spacing w:after="0" w:line="16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rights of any holder;</w:t>
      </w:r>
    </w:p>
    <w:p>
      <w:pPr>
        <w:spacing w:after="0" w:line="16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provided by or pursuant to a board resolution or indenture supplemental hereto establishing the terms of one or more series of ZONES;</w:t>
      </w:r>
    </w:p>
    <w:p>
      <w:pPr>
        <w:spacing w:after="0" w:line="165" w:lineRule="exact"/>
        <w:rPr>
          <w:rFonts w:ascii="Times New Roman" w:cs="Times New Roman" w:eastAsia="Times New Roman" w:hAnsi="Times New Roman"/>
          <w:sz w:val="17"/>
          <w:szCs w:val="17"/>
          <w:color w:val="auto"/>
        </w:rPr>
      </w:pPr>
    </w:p>
    <w:p>
      <w:pPr>
        <w:jc w:val="both"/>
        <w:ind w:firstLine="514"/>
        <w:spacing w:after="0" w:line="217" w:lineRule="auto"/>
        <w:tabs>
          <w:tab w:leader="none" w:pos="72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the covenants of the Issuer such new covenants, restrictions, conditions or provisions as its Board shall consider to be for the protection of the holders of ZONES,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ZONES to waive such an Event of Default; or</w:t>
      </w:r>
    </w:p>
    <w:p>
      <w:pPr>
        <w:spacing w:after="0" w:line="142" w:lineRule="exact"/>
        <w:rPr>
          <w:rFonts w:ascii="Times New Roman" w:cs="Times New Roman" w:eastAsia="Times New Roman" w:hAnsi="Times New Roman"/>
          <w:sz w:val="17"/>
          <w:szCs w:val="17"/>
          <w:color w:val="auto"/>
        </w:rPr>
      </w:pPr>
    </w:p>
    <w:p>
      <w:pPr>
        <w:ind w:left="720" w:hanging="206"/>
        <w:spacing w:after="0"/>
        <w:tabs>
          <w:tab w:leader="none" w:pos="7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so long as no ZONES are outstanding.</w:t>
      </w:r>
    </w:p>
    <w:p>
      <w:pPr>
        <w:spacing w:after="0" w:line="165"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With the consent of the holders of not less than a majority in aggregate principal amount of the ZONES at the time outstanding of all series affected by such supplemental indenture (voting as one class), the Issuer, when authorized by a resolution of its Board, and the Trustee may, from time to time and at any time, enter into an indenture or indentures supplemental hereto for the purpose of adding any provisions to or changing in any manner or eliminating any of the provisions of the Indenture or of any supplemental indenture or of modifying in any manner the rights of the holders of the ZONES; provided, that no such supplemental indenture shall without the consent of each holder affected thereby:</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change the stated maturity of the principal of, or any sinking fund obligation or any installment of interest on the ZONES;</w:t>
      </w:r>
    </w:p>
    <w:p>
      <w:pPr>
        <w:sectPr>
          <w:pgSz w:w="11900" w:h="16838" w:orient="portrait"/>
          <w:cols w:equalWidth="0" w:num="1">
            <w:col w:w="11280"/>
          </w:cols>
          <w:pgMar w:left="300" w:top="1318" w:right="319" w:bottom="1440" w:gutter="0" w:footer="0" w:header="0"/>
        </w:sectPr>
      </w:pPr>
    </w:p>
    <w:bookmarkStart w:id="120" w:name="page121"/>
    <w:bookmarkEnd w:id="120"/>
    <w:p>
      <w:pPr>
        <w:ind w:left="760" w:hanging="246"/>
        <w:spacing w:after="0"/>
        <w:tabs>
          <w:tab w:leader="none" w:pos="7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thereof or the rate of interest thereon, or any premium payable with respect thereto;</w:t>
      </w:r>
    </w:p>
    <w:p>
      <w:pPr>
        <w:spacing w:after="0" w:line="165" w:lineRule="exact"/>
        <w:rPr>
          <w:rFonts w:ascii="Times New Roman" w:cs="Times New Roman" w:eastAsia="Times New Roman" w:hAnsi="Times New Roman"/>
          <w:sz w:val="17"/>
          <w:szCs w:val="17"/>
          <w:color w:val="auto"/>
        </w:rPr>
      </w:pPr>
    </w:p>
    <w:p>
      <w:pPr>
        <w:ind w:left="740" w:hanging="226"/>
        <w:spacing w:after="0"/>
        <w:tabs>
          <w:tab w:leader="none" w:pos="7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any place of payment where, or the currency in which, any ZONES or any premium or the interest thereon is payable;</w:t>
      </w:r>
    </w:p>
    <w:p>
      <w:pPr>
        <w:spacing w:after="0" w:line="165" w:lineRule="exact"/>
        <w:rPr>
          <w:rFonts w:ascii="Times New Roman" w:cs="Times New Roman" w:eastAsia="Times New Roman" w:hAnsi="Times New Roman"/>
          <w:sz w:val="17"/>
          <w:szCs w:val="17"/>
          <w:color w:val="auto"/>
        </w:rPr>
      </w:pPr>
    </w:p>
    <w:p>
      <w:pPr>
        <w:ind w:left="520" w:hanging="6"/>
        <w:spacing w:after="0" w:line="238" w:lineRule="auto"/>
        <w:tabs>
          <w:tab w:leader="none" w:pos="76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provisions for calculating the optional redemption price, including the definitions relating thereto; make any change to Section 4.07 or 4.10 to the Base Indenture;</w:t>
      </w:r>
    </w:p>
    <w:p>
      <w:pPr>
        <w:spacing w:after="0" w:line="142" w:lineRule="exact"/>
        <w:rPr>
          <w:rFonts w:ascii="Times New Roman" w:cs="Times New Roman" w:eastAsia="Times New Roman" w:hAnsi="Times New Roman"/>
          <w:sz w:val="17"/>
          <w:szCs w:val="17"/>
          <w:color w:val="auto"/>
        </w:rPr>
      </w:pPr>
    </w:p>
    <w:p>
      <w:pPr>
        <w:ind w:left="520" w:hanging="6"/>
        <w:spacing w:after="0" w:line="238" w:lineRule="auto"/>
        <w:tabs>
          <w:tab w:leader="none" w:pos="7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percentage in principal amount of outstanding ZONES the consent of whose holders is required for any such supplemental indenture, for any waiver of compliance with any provisions of the Indenture or any defaults and their consequences provided for in the Base Indenture;</w:t>
      </w:r>
    </w:p>
    <w:p>
      <w:pPr>
        <w:spacing w:after="0" w:line="142" w:lineRule="exact"/>
        <w:rPr>
          <w:rFonts w:ascii="Times New Roman" w:cs="Times New Roman" w:eastAsia="Times New Roman" w:hAnsi="Times New Roman"/>
          <w:sz w:val="17"/>
          <w:szCs w:val="17"/>
          <w:color w:val="auto"/>
        </w:rPr>
      </w:pPr>
    </w:p>
    <w:p>
      <w:pPr>
        <w:ind w:left="720" w:hanging="206"/>
        <w:spacing w:after="0"/>
        <w:tabs>
          <w:tab w:leader="none" w:pos="7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 or impair the right to convert any ZONES at the rate and upon the terms provided in Article 13 to the Base Indenture;</w:t>
      </w:r>
    </w:p>
    <w:p>
      <w:pPr>
        <w:spacing w:after="0" w:line="16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default in the payment of principal of or interest on any ZONES;</w:t>
      </w:r>
    </w:p>
    <w:p>
      <w:pPr>
        <w:spacing w:after="0" w:line="165" w:lineRule="exact"/>
        <w:rPr>
          <w:rFonts w:ascii="Times New Roman" w:cs="Times New Roman" w:eastAsia="Times New Roman" w:hAnsi="Times New Roman"/>
          <w:sz w:val="17"/>
          <w:szCs w:val="17"/>
          <w:color w:val="auto"/>
        </w:rPr>
      </w:pPr>
    </w:p>
    <w:p>
      <w:pPr>
        <w:ind w:left="520" w:hanging="6"/>
        <w:spacing w:after="0" w:line="238" w:lineRule="auto"/>
        <w:tabs>
          <w:tab w:leader="none" w:pos="76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the rights of such holder under any mandatory redemption or repurchase provision or any right of redemption or repurchase at the option of such holder;</w:t>
      </w:r>
    </w:p>
    <w:p>
      <w:pPr>
        <w:spacing w:after="0" w:line="142" w:lineRule="exact"/>
        <w:rPr>
          <w:rFonts w:ascii="Times New Roman" w:cs="Times New Roman" w:eastAsia="Times New Roman" w:hAnsi="Times New Roman"/>
          <w:sz w:val="17"/>
          <w:szCs w:val="17"/>
          <w:color w:val="auto"/>
        </w:rPr>
      </w:pPr>
    </w:p>
    <w:p>
      <w:pPr>
        <w:ind w:left="520" w:hanging="6"/>
        <w:spacing w:after="0" w:line="238" w:lineRule="auto"/>
        <w:tabs>
          <w:tab w:leader="none" w:pos="723"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any of the provisions of Section 7.02 to the Base Indenture, except to increase any such percentage or to provide that certain other provisions of the Indenture cannot be modified or waived without the consent of the holder of ZONES affected thereby; or</w:t>
      </w:r>
    </w:p>
    <w:p>
      <w:pPr>
        <w:spacing w:after="0" w:line="142" w:lineRule="exact"/>
        <w:rPr>
          <w:rFonts w:ascii="Times New Roman" w:cs="Times New Roman" w:eastAsia="Times New Roman" w:hAnsi="Times New Roman"/>
          <w:sz w:val="17"/>
          <w:szCs w:val="17"/>
          <w:color w:val="auto"/>
        </w:rPr>
      </w:pPr>
    </w:p>
    <w:p>
      <w:pPr>
        <w:ind w:left="520" w:hanging="6"/>
        <w:spacing w:after="0" w:line="238" w:lineRule="auto"/>
        <w:tabs>
          <w:tab w:leader="none" w:pos="72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or waive any provision that, pursuant to a board resolution or indenture supplemental hereto establishing the terms of the ZONES, is prohibited to be so changed or waived.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“Event of Default” means each one of the following events which shall have occurred and be continuing:</w:t>
      </w:r>
    </w:p>
    <w:p>
      <w:pPr>
        <w:spacing w:after="0" w:line="200" w:lineRule="exact"/>
        <w:rPr>
          <w:sz w:val="20"/>
          <w:szCs w:val="20"/>
          <w:color w:val="auto"/>
        </w:rPr>
      </w:pPr>
    </w:p>
    <w:p>
      <w:pPr>
        <w:spacing w:after="0" w:line="209" w:lineRule="exact"/>
        <w:rPr>
          <w:sz w:val="20"/>
          <w:szCs w:val="20"/>
          <w:color w:val="auto"/>
        </w:rPr>
      </w:pPr>
    </w:p>
    <w:p>
      <w:pPr>
        <w:ind w:left="1040" w:right="20" w:hanging="257"/>
        <w:spacing w:after="0" w:line="238" w:lineRule="auto"/>
        <w:tabs>
          <w:tab w:leader="none" w:pos="103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of any installment of interest upon any ZONES as and when the same shall become due and payable, and continuance of such default for a period of 30 days;</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of all or any part of the principal on any ZONES as and when the same shall become due and payable either at maturity, upon redemption, by declaration or otherwise;</w:t>
      </w:r>
    </w:p>
    <w:p>
      <w:pPr>
        <w:sectPr>
          <w:pgSz w:w="11900" w:h="16838" w:orient="portrait"/>
          <w:cols w:equalWidth="0" w:num="1">
            <w:col w:w="11280"/>
          </w:cols>
          <w:pgMar w:left="300" w:top="1126" w:right="319" w:bottom="1440" w:gutter="0" w:footer="0" w:header="0"/>
        </w:sectPr>
      </w:pPr>
    </w:p>
    <w:bookmarkStart w:id="121" w:name="page122"/>
    <w:bookmarkEnd w:id="121"/>
    <w:p>
      <w:pPr>
        <w:jc w:val="both"/>
        <w:ind w:left="1040" w:right="20" w:hanging="257"/>
        <w:spacing w:after="0" w:line="220" w:lineRule="auto"/>
        <w:tabs>
          <w:tab w:leader="none" w:pos="103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performance, or breach, of any covenant or warranty of the Issuer in respect of the ZONES (other than a covenant or warranty in respect of the ZONES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ZONES affected thereby, a written notice specifying such default or breach and requiring it to be remedied and stating that such notice is a “Notice of Default” pursuant to the Indenture;</w:t>
      </w:r>
    </w:p>
    <w:p>
      <w:pPr>
        <w:spacing w:after="0" w:line="200" w:lineRule="exact"/>
        <w:rPr>
          <w:rFonts w:ascii="Times New Roman" w:cs="Times New Roman" w:eastAsia="Times New Roman" w:hAnsi="Times New Roman"/>
          <w:sz w:val="17"/>
          <w:szCs w:val="17"/>
          <w:color w:val="auto"/>
        </w:rPr>
      </w:pPr>
    </w:p>
    <w:p>
      <w:pPr>
        <w:spacing w:after="0" w:line="283" w:lineRule="exact"/>
        <w:rPr>
          <w:rFonts w:ascii="Times New Roman" w:cs="Times New Roman" w:eastAsia="Times New Roman" w:hAnsi="Times New Roman"/>
          <w:sz w:val="17"/>
          <w:szCs w:val="17"/>
          <w:color w:val="auto"/>
        </w:rPr>
      </w:pPr>
    </w:p>
    <w:p>
      <w:pPr>
        <w:ind w:left="1040" w:right="120" w:hanging="257"/>
        <w:spacing w:after="0" w:line="223" w:lineRule="auto"/>
        <w:tabs>
          <w:tab w:leader="none" w:pos="103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any substantial part of its property or ordering the winding up or liquidation of its affairs, and such decree or order shall remain unstayed and in effect for a period of 180 consecutive days;</w:t>
      </w:r>
    </w:p>
    <w:p>
      <w:pPr>
        <w:spacing w:after="0" w:line="200" w:lineRule="exact"/>
        <w:rPr>
          <w:rFonts w:ascii="Times New Roman" w:cs="Times New Roman" w:eastAsia="Times New Roman" w:hAnsi="Times New Roman"/>
          <w:sz w:val="17"/>
          <w:szCs w:val="17"/>
          <w:color w:val="auto"/>
        </w:rPr>
      </w:pPr>
    </w:p>
    <w:p>
      <w:pPr>
        <w:spacing w:after="0" w:line="272" w:lineRule="exact"/>
        <w:rPr>
          <w:rFonts w:ascii="Times New Roman" w:cs="Times New Roman" w:eastAsia="Times New Roman" w:hAnsi="Times New Roman"/>
          <w:sz w:val="17"/>
          <w:szCs w:val="17"/>
          <w:color w:val="auto"/>
        </w:rPr>
      </w:pPr>
    </w:p>
    <w:p>
      <w:pPr>
        <w:jc w:val="both"/>
        <w:ind w:left="1040" w:right="20" w:hanging="257"/>
        <w:spacing w:after="0" w:line="223" w:lineRule="auto"/>
        <w:tabs>
          <w:tab w:leader="none" w:pos="103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 or</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of Default provided in the supplemental indenture or resolution of the Board under which such ZONES are issued or in the form of security for such series.</w:t>
      </w:r>
    </w:p>
    <w:p>
      <w:pPr>
        <w:spacing w:after="0" w:line="47" w:lineRule="exact"/>
        <w:rPr>
          <w:sz w:val="20"/>
          <w:szCs w:val="20"/>
          <w:color w:val="auto"/>
        </w:rPr>
      </w:pPr>
    </w:p>
    <w:p>
      <w:pPr>
        <w:jc w:val="both"/>
        <w:ind w:firstLine="806"/>
        <w:spacing w:after="0" w:line="217" w:lineRule="auto"/>
        <w:rPr>
          <w:sz w:val="20"/>
          <w:szCs w:val="20"/>
          <w:color w:val="auto"/>
        </w:rPr>
      </w:pPr>
      <w:r>
        <w:rPr>
          <w:rFonts w:ascii="Times New Roman" w:cs="Times New Roman" w:eastAsia="Times New Roman" w:hAnsi="Times New Roman"/>
          <w:sz w:val="17"/>
          <w:szCs w:val="17"/>
          <w:color w:val="auto"/>
        </w:rPr>
        <w:t>If an Event of Default described in clauses (a), (b), (c), or (f) above occurs and is continuing, then, and in each and every such case, unless the principal of all ZONES shall have already become due and payable, either the Trustee or the holders of not less than 25% in aggregate principal amount of the ZONES then outstanding hereunder (each such series voting as a separate class) by notice in writing to the Issuer (and to the Trustee if given by holders), may declare the entire principal of all ZONES and the interest accrued thereon, if any, to be due and payable immediately, and upon any such declaration the same shall become immediately due and payable. If an Event of Default described in clauses (d) or (e) occurs and is continuing, then the principal amount of all ZONES then outstanding and interest accrued thereon, if any, shall be and become immediately due and payable, without any notice or other action by any holder or the Trustee, to the full extent permitted by applicable law.</w:t>
      </w:r>
    </w:p>
    <w:p>
      <w:pPr>
        <w:spacing w:after="0" w:line="138" w:lineRule="exact"/>
        <w:rPr>
          <w:sz w:val="20"/>
          <w:szCs w:val="20"/>
          <w:color w:val="auto"/>
        </w:rPr>
      </w:pPr>
    </w:p>
    <w:p>
      <w:pPr>
        <w:ind w:left="380" w:hanging="375"/>
        <w:spacing w:after="0"/>
        <w:tabs>
          <w:tab w:leader="none" w:pos="38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OUR 5.50% NOTES DUE 2029</w:t>
      </w:r>
    </w:p>
    <w:p>
      <w:pPr>
        <w:spacing w:after="0" w:line="169"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The following summary of our 5.50% Notes due 2029 (the “2029 Notes”) is based on the indenture dated as of January 7, 2003 among Comcast as the issuer (the “Issuer”), certain guarantors named therein and the Bank of New York (the “Base Indenture”), as amended by the</w:t>
      </w:r>
    </w:p>
    <w:p>
      <w:pPr>
        <w:sectPr>
          <w:pgSz w:w="11900" w:h="16838" w:orient="portrait"/>
          <w:cols w:equalWidth="0" w:num="1">
            <w:col w:w="11280"/>
          </w:cols>
          <w:pgMar w:left="300" w:top="1371" w:right="319" w:bottom="1440" w:gutter="0" w:footer="0" w:header="0"/>
        </w:sectPr>
      </w:pPr>
    </w:p>
    <w:bookmarkStart w:id="122" w:name="page123"/>
    <w:bookmarkEnd w:id="122"/>
    <w:p>
      <w:pPr>
        <w:jc w:val="both"/>
        <w:spacing w:after="0" w:line="220" w:lineRule="auto"/>
        <w:rPr>
          <w:sz w:val="20"/>
          <w:szCs w:val="20"/>
          <w:color w:val="auto"/>
        </w:rPr>
      </w:pPr>
      <w:r>
        <w:rPr>
          <w:rFonts w:ascii="Times New Roman" w:cs="Times New Roman" w:eastAsia="Times New Roman" w:hAnsi="Times New Roman"/>
          <w:sz w:val="17"/>
          <w:szCs w:val="17"/>
          <w:color w:val="auto"/>
        </w:rPr>
        <w:t>first supplemental indenture dated as of March 25, 2003, the second supplemental indenture dated as of August 31, 2009, the third supplemental indenture dated as of March 27, 2013 and the fourth supplemental indenture dated as of October 1, 2015 among Comcast, Comcast Cable Communications, LLC, NBCUniversal Media, LLC (together with Comcast Cable Communications, LLC, the “Guarantors”), and The Bank of New York Mellon (f/k/a The Bank of New York), as trustee (the “Trustee”) (collectively with the Base Indenture, the “Indenture”). This summary does not purport to be complete and is qualified in its entirety by reference to such Indenture.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Payments</w:t>
      </w:r>
    </w:p>
    <w:p>
      <w:pPr>
        <w:spacing w:after="0" w:line="169"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The 2029 Notes bears interest at a rate of 5.50% per annum and we will pay interest on the 2029 Notes on November 23 of each year, beginning November 23, 2011. Interest on the 2029 Notes is computed on the basis of the actual number of days in the period for which interest is being calculated and the actual number of days from and including the date from which interest begins to accrue for the period (or November 23, 2010 if no interest has been paid on the 2029 Notes), to but excluding the next scheduled interest payment date. If the scheduled interest payment date is not a business day, then interest will be paid on the first business day following the scheduled interest payment date. Interest periods are unadjusted. The day count convention is ACTUAL/ACTUAL (ICMA).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Guarantees</w:t>
      </w:r>
    </w:p>
    <w:p>
      <w:pPr>
        <w:spacing w:after="0" w:line="169"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Our obligations under the 2029 Notes and the Indenture, including the payment of principal, premium, if any, and interest, are fully and unconditionally guaranteed by each of the Guarantors</w:t>
      </w:r>
    </w:p>
    <w:p>
      <w:pPr>
        <w:spacing w:after="0" w:line="143"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Optional Redemption</w:t>
      </w:r>
    </w:p>
    <w:p>
      <w:pPr>
        <w:spacing w:after="0" w:line="169"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We have the right at our option to redeem any of the 2029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Comparable Government Bond Rate plus 28 basis points (the “Make-Whole Amount”) plus, in each case, accrued and unpaid interest thereon to the date of redemption.</w:t>
      </w:r>
    </w:p>
    <w:p>
      <w:pPr>
        <w:spacing w:after="0" w:line="140" w:lineRule="exact"/>
        <w:rPr>
          <w:sz w:val="20"/>
          <w:szCs w:val="20"/>
          <w:color w:val="auto"/>
        </w:rPr>
      </w:pPr>
    </w:p>
    <w:p>
      <w:pPr>
        <w:jc w:val="both"/>
        <w:ind w:firstLine="509"/>
        <w:spacing w:after="0" w:line="22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Comparable Government Bond Rate</w:t>
      </w:r>
      <w:r>
        <w:rPr>
          <w:rFonts w:ascii="Times New Roman" w:cs="Times New Roman" w:eastAsia="Times New Roman" w:hAnsi="Times New Roman"/>
          <w:sz w:val="17"/>
          <w:szCs w:val="17"/>
          <w:color w:val="auto"/>
        </w:rPr>
        <w:t>” means the price, expressed as a percentage (rounded to three decimal places, 0.0005 being rounded upwards), at which the gross redemption yield (as calculated by the trustee) on the 2029 Notes,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w:t>
      </w:r>
    </w:p>
    <w:p>
      <w:pPr>
        <w:sectPr>
          <w:pgSz w:w="11900" w:h="16838" w:orient="portrait"/>
          <w:cols w:equalWidth="0" w:num="1">
            <w:col w:w="11280"/>
          </w:cols>
          <w:pgMar w:left="300" w:top="1127" w:right="319" w:bottom="1440" w:gutter="0" w:footer="0" w:header="0"/>
        </w:sectPr>
      </w:pPr>
    </w:p>
    <w:bookmarkStart w:id="123" w:name="page124"/>
    <w:bookmarkEnd w:id="123"/>
    <w:p>
      <w:pPr>
        <w:jc w:val="both"/>
        <w:ind w:firstLine="509"/>
        <w:spacing w:after="0" w:line="22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Comparable Government Bond</w:t>
      </w:r>
      <w:r>
        <w:rPr>
          <w:rFonts w:ascii="Times New Roman" w:cs="Times New Roman" w:eastAsia="Times New Roman" w:hAnsi="Times New Roman"/>
          <w:sz w:val="17"/>
          <w:szCs w:val="17"/>
          <w:color w:val="auto"/>
        </w:rPr>
        <w:t>” means, in relation to any Comparable Government Bond Rate calculation, at the discretion of an independent investment bank selected by us, a United Kingdom government bond whose maturity is closest to the maturity of the 2029 Notes, or if such independent investment bank in its discretion considers that such similar bond is not in issue, such other United Kingdom government bond as such independent investment bank may, with the advice of three brokers of, and/or market makers in, United Kingdom government bonds selected by such independent investment bank, determine to be appropriate for determining the Comparable Government Bond Rate.</w:t>
      </w:r>
    </w:p>
    <w:p>
      <w:pPr>
        <w:spacing w:after="0" w:line="144"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On and after the redemption date, interest will cease to accrue on the 2029 Notes or any portion of the 2029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2029 Notes to be redeemed on such date. If less than all of the 2029 Notes of any series are to be redeemed, the 2029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44"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The 2029 Notes are also subject to redemption prior to maturity if certain events occur involving United States taxation. If any of these special tax events do occur, the 2029 Notes will be redeemed at a redemption price of 100% of their principal amount plus accrued and unpaid interest to the date fixed for redemption. See “-Redemption for Tax Reasons.”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Payment of Additional Amounts</w:t>
      </w:r>
    </w:p>
    <w:p>
      <w:pPr>
        <w:spacing w:after="0" w:line="169"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We are required, subject to the exceptions and limitations set forth below, to pay as additional interest on the 2029 Notes such additional amounts as are necessary in order that the net payment by us or a paying agent of the principal of and interest on the 2029 Notes to a holder who is not a United States person (as defined below), after withholding or deduction for any present or future tax, assessment or other governmental charge imposed by the United States or a taxing authority in the United States will not be less than the amount provided in the 2029 Notes to be then due and payable; provided, however, that the foregoing obligation to pay additional amounts shall not apply:</w:t>
      </w:r>
    </w:p>
    <w:p>
      <w:pPr>
        <w:spacing w:after="0" w:line="388" w:lineRule="exact"/>
        <w:rPr>
          <w:sz w:val="20"/>
          <w:szCs w:val="20"/>
          <w:color w:val="auto"/>
        </w:rPr>
      </w:pPr>
    </w:p>
    <w:p>
      <w:pPr>
        <w:jc w:val="both"/>
        <w:ind w:left="780" w:right="80" w:hanging="252"/>
        <w:spacing w:after="0" w:line="228" w:lineRule="auto"/>
        <w:tabs>
          <w:tab w:leader="none" w:pos="77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tax, assessment or other governmental charge that would not have been imposed but for the holder, or a fiduciary, settlor, beneficiary, member or shareholder of the holder if the holder is an estate, trust, partnership or corporation, or a person holding a power over an estate or trust administered by a fiduciary holder, being considered as:</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or having been engaged in a trade or business in the United States or having or having had a permanent establishment in the United States;</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having a current or former connection with the United States (other than a connection arising solely as a result of the ownership of the 2029 Notes, the receipt of any payment or the enforcement of any rights hereunder), including being or having been a citizen or resident of the United States;</w:t>
      </w:r>
    </w:p>
    <w:p>
      <w:pPr>
        <w:sectPr>
          <w:pgSz w:w="11900" w:h="16838" w:orient="portrait"/>
          <w:cols w:equalWidth="0" w:num="1">
            <w:col w:w="11280"/>
          </w:cols>
          <w:pgMar w:left="300" w:top="1123" w:right="319" w:bottom="1440" w:gutter="0" w:footer="0" w:header="0"/>
        </w:sectPr>
      </w:pPr>
    </w:p>
    <w:bookmarkStart w:id="124" w:name="page125"/>
    <w:bookmarkEnd w:id="124"/>
    <w:p>
      <w:pPr>
        <w:spacing w:after="0" w:line="122" w:lineRule="exact"/>
        <w:rPr>
          <w:sz w:val="20"/>
          <w:szCs w:val="20"/>
          <w:color w:val="auto"/>
        </w:rPr>
      </w:pPr>
    </w:p>
    <w:p>
      <w:pPr>
        <w:ind w:left="512" w:hanging="257"/>
        <w:spacing w:after="0" w:line="238" w:lineRule="auto"/>
        <w:tabs>
          <w:tab w:leader="none" w:pos="509"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or having been a personal holding company, a passive foreign investment company or a controlled foreign corporation with respect to the United States or a corporation that has accumulated earnings to avoid United States federal income tax;</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512" w:hanging="257"/>
        <w:spacing w:after="0" w:line="238" w:lineRule="auto"/>
        <w:tabs>
          <w:tab w:leader="none" w:pos="508"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or having been a “10-percent shareholder” of Comcast as defined in section 871(h)(3) of the United States Internal Revenue Code of 1986, as amended (the “Code”) or any successor provision; or</w:t>
      </w:r>
    </w:p>
    <w:p>
      <w:pPr>
        <w:spacing w:after="0" w:line="200" w:lineRule="exact"/>
        <w:rPr>
          <w:rFonts w:ascii="Times New Roman" w:cs="Times New Roman" w:eastAsia="Times New Roman" w:hAnsi="Times New Roman"/>
          <w:sz w:val="17"/>
          <w:szCs w:val="17"/>
          <w:color w:val="auto"/>
        </w:rPr>
      </w:pPr>
    </w:p>
    <w:p>
      <w:pPr>
        <w:spacing w:after="0" w:line="271" w:lineRule="exact"/>
        <w:rPr>
          <w:rFonts w:ascii="Times New Roman" w:cs="Times New Roman" w:eastAsia="Times New Roman" w:hAnsi="Times New Roman"/>
          <w:sz w:val="17"/>
          <w:szCs w:val="17"/>
          <w:color w:val="auto"/>
        </w:rPr>
      </w:pPr>
    </w:p>
    <w:p>
      <w:pPr>
        <w:ind w:left="512" w:hanging="257"/>
        <w:spacing w:after="0"/>
        <w:tabs>
          <w:tab w:leader="none" w:pos="512"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a bank receiving payments on an extension of credit made pursuant to a loan agreement entered into the ordinary course of its trade or business;</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jc w:val="both"/>
        <w:ind w:left="252" w:hanging="252"/>
        <w:spacing w:after="0" w:line="223" w:lineRule="auto"/>
        <w:tabs>
          <w:tab w:leader="none" w:pos="24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holder that is not the sole beneficial owner of the 2029 Notes, or a portion of the 2029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jc w:val="both"/>
        <w:ind w:left="252" w:hanging="252"/>
        <w:spacing w:after="0" w:line="220" w:lineRule="auto"/>
        <w:tabs>
          <w:tab w:leader="none" w:pos="24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2029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200" w:lineRule="exact"/>
        <w:rPr>
          <w:rFonts w:ascii="Times New Roman" w:cs="Times New Roman" w:eastAsia="Times New Roman" w:hAnsi="Times New Roman"/>
          <w:sz w:val="17"/>
          <w:szCs w:val="17"/>
          <w:color w:val="auto"/>
        </w:rPr>
      </w:pPr>
    </w:p>
    <w:p>
      <w:pPr>
        <w:spacing w:after="0" w:line="272" w:lineRule="exact"/>
        <w:rPr>
          <w:rFonts w:ascii="Times New Roman" w:cs="Times New Roman" w:eastAsia="Times New Roman" w:hAnsi="Times New Roman"/>
          <w:sz w:val="17"/>
          <w:szCs w:val="17"/>
          <w:color w:val="auto"/>
        </w:rPr>
      </w:pPr>
    </w:p>
    <w:p>
      <w:pPr>
        <w:ind w:left="252" w:hanging="252"/>
        <w:spacing w:after="0"/>
        <w:tabs>
          <w:tab w:leader="none" w:pos="252"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tax, assessment or other governmental charge that is imposed otherwise than by withholding by us or a paying agent from the payment;</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252" w:hanging="252"/>
        <w:spacing w:after="0" w:line="238" w:lineRule="auto"/>
        <w:tabs>
          <w:tab w:leader="none" w:pos="24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ectPr>
          <w:pgSz w:w="11900" w:h="16838" w:orient="portrait"/>
          <w:cols w:equalWidth="0" w:num="1">
            <w:col w:w="10732"/>
          </w:cols>
          <w:pgMar w:left="828" w:top="1440" w:right="339" w:bottom="1440" w:gutter="0" w:footer="0" w:header="0"/>
        </w:sectPr>
      </w:pPr>
    </w:p>
    <w:bookmarkStart w:id="125" w:name="page126"/>
    <w:bookmarkEnd w:id="125"/>
    <w:p>
      <w:pPr>
        <w:ind w:left="780" w:right="20" w:hanging="252"/>
        <w:spacing w:after="0" w:line="238" w:lineRule="auto"/>
        <w:tabs>
          <w:tab w:leader="none" w:pos="77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estate, inheritance, gift, sales, excise, transfer, wealth, capital gains or personal property tax or similar tax, assessment or other governmental charge;</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780" w:right="20" w:hanging="252"/>
        <w:spacing w:after="0" w:line="238" w:lineRule="auto"/>
        <w:tabs>
          <w:tab w:leader="none" w:pos="77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withholding or deduction that is imposed on a payment to an individual and that is required to be made pursuant to any law implementing or complying with, or introduced in order to conform to, any European Union Directive on the taxation of savings;</w:t>
      </w:r>
    </w:p>
    <w:p>
      <w:pPr>
        <w:spacing w:after="0" w:line="200" w:lineRule="exact"/>
        <w:rPr>
          <w:rFonts w:ascii="Times New Roman" w:cs="Times New Roman" w:eastAsia="Times New Roman" w:hAnsi="Times New Roman"/>
          <w:sz w:val="17"/>
          <w:szCs w:val="17"/>
          <w:color w:val="auto"/>
        </w:rPr>
      </w:pPr>
    </w:p>
    <w:p>
      <w:pPr>
        <w:spacing w:after="0" w:line="271" w:lineRule="exact"/>
        <w:rPr>
          <w:rFonts w:ascii="Times New Roman" w:cs="Times New Roman" w:eastAsia="Times New Roman" w:hAnsi="Times New Roman"/>
          <w:sz w:val="17"/>
          <w:szCs w:val="17"/>
          <w:color w:val="auto"/>
        </w:rPr>
      </w:pPr>
    </w:p>
    <w:p>
      <w:pPr>
        <w:ind w:left="780" w:right="20" w:hanging="252"/>
        <w:spacing w:after="0" w:line="238" w:lineRule="auto"/>
        <w:tabs>
          <w:tab w:leader="none" w:pos="77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jc w:val="both"/>
        <w:ind w:left="780" w:right="20" w:hanging="252"/>
        <w:spacing w:after="0" w:line="228" w:lineRule="auto"/>
        <w:tabs>
          <w:tab w:leader="none" w:pos="77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 or</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hanging="512"/>
        <w:spacing w:after="0"/>
        <w:tabs>
          <w:tab w:leader="none" w:pos="10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combination of items (1), (2), (3), (4), (5), (6), (7), (8), and (9).</w:t>
      </w:r>
    </w:p>
    <w:p>
      <w:pPr>
        <w:spacing w:after="0" w:line="250"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The 2029 Notes are subject in all cases to any tax, fiscal or other law or regulation or administrative or judicial interpretation applicable to the 2029 Notes. Except as specifically provided under this heading “-Payments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43"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As used under this heading “-Payments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United States federal income taxation regardless of its source.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Redemption for Tax Reasons</w:t>
      </w:r>
    </w:p>
    <w:p>
      <w:pPr>
        <w:spacing w:after="0" w:line="169"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w:t>
      </w:r>
    </w:p>
    <w:p>
      <w:pPr>
        <w:sectPr>
          <w:pgSz w:w="11900" w:h="16838" w:orient="portrait"/>
          <w:cols w:equalWidth="0" w:num="1">
            <w:col w:w="11280"/>
          </w:cols>
          <w:pgMar w:left="300" w:top="1371" w:right="319" w:bottom="1440" w:gutter="0" w:footer="0" w:header="0"/>
        </w:sectPr>
      </w:pPr>
    </w:p>
    <w:bookmarkStart w:id="126" w:name="page127"/>
    <w:bookmarkEnd w:id="126"/>
    <w:p>
      <w:pPr>
        <w:jc w:val="both"/>
        <w:spacing w:after="0" w:line="220" w:lineRule="auto"/>
        <w:rPr>
          <w:sz w:val="20"/>
          <w:szCs w:val="20"/>
          <w:color w:val="auto"/>
        </w:rPr>
      </w:pPr>
      <w:r>
        <w:rPr>
          <w:rFonts w:ascii="Times New Roman" w:cs="Times New Roman" w:eastAsia="Times New Roman" w:hAnsi="Times New Roman"/>
          <w:sz w:val="17"/>
          <w:szCs w:val="17"/>
          <w:color w:val="auto"/>
        </w:rPr>
        <w:t>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2029 Notes, then we may at any time at our option redeem, in whole, but not in part, the 2029 Notes on not less than 30 nor more than 60 days prior notice, at a redemption price equal to 100% of their principal amount, together with interest accrued but unpaid on those notes to the date fixed for redemption.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Mandatory Redemption or Sinking Fund</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There is no mandatory redemption prior to maturity or sinking fund payments for the 2029 Notes.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Debt</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indenture does not limit the amount of debt we may issue under the indenture or otherwise.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Covenants</w:t>
      </w:r>
    </w:p>
    <w:p>
      <w:pPr>
        <w:spacing w:after="0" w:line="169"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The Issuer and the Guarantors are subject to some restrictions on their activities for the benefit of holders of all series of debt securities issued under the Indenture. The restrictive covenants summarized below apply, unless the covenants are waived or amended, so long as any of the debt securities are outstanding.</w:t>
      </w:r>
    </w:p>
    <w:p>
      <w:pPr>
        <w:spacing w:after="0" w:line="143"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The Indenture does not contain any financial covenants other than those summarized below and does not restrict the Issuer or its subsidiaries from paying dividends or incurring additional debt. In addition, the Indenture will not protect holders of notes issued under it in the event of a highly leveraged transaction or a change in control.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 on Liens Securing Indebtedness</w:t>
      </w:r>
    </w:p>
    <w:p>
      <w:pPr>
        <w:spacing w:after="0" w:line="169"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Neither Issuer nor any Guarantor shall create, incur or assume any Lien (other than any Permitted Lien) on such person’s assets, including the Capital Stock of its wholly owned subsidiaries to secure the payment of Indebtedness of the Issuer or any Guarantor, unless the Issuer secures the outstanding 2029 Notes equally and ratably with (or prior to) all Indebtedness secured by such Lien, so long as such Indebtedness shall be so secured.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 on Sale and Leaseback Transactions</w:t>
      </w:r>
    </w:p>
    <w:p>
      <w:pPr>
        <w:spacing w:after="0" w:line="169"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Neither the Issuer nor any Guarantor shall enter into any Sale and Leaseback Transaction involving any of such person’s assets, including the Capital Stock of its wholly owned subsidiaries.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restriction in the foregoing paragraph shall not apply to any Sale and Leaseback Transaction if:</w:t>
      </w:r>
    </w:p>
    <w:p>
      <w:pPr>
        <w:spacing w:after="0" w:line="200" w:lineRule="exact"/>
        <w:rPr>
          <w:sz w:val="20"/>
          <w:szCs w:val="20"/>
          <w:color w:val="auto"/>
        </w:rPr>
      </w:pPr>
    </w:p>
    <w:p>
      <w:pPr>
        <w:spacing w:after="0" w:line="209" w:lineRule="exact"/>
        <w:rPr>
          <w:sz w:val="20"/>
          <w:szCs w:val="20"/>
          <w:color w:val="auto"/>
        </w:rPr>
      </w:pPr>
    </w:p>
    <w:p>
      <w:pPr>
        <w:ind w:left="1040" w:hanging="257"/>
        <w:spacing w:after="0"/>
        <w:tabs>
          <w:tab w:leader="none" w:pos="10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is for a period of not in excess of three years, including renewal of rights;</w:t>
      </w:r>
    </w:p>
    <w:p>
      <w:pPr>
        <w:sectPr>
          <w:pgSz w:w="11900" w:h="16838" w:orient="portrait"/>
          <w:cols w:equalWidth="0" w:num="1">
            <w:col w:w="11280"/>
          </w:cols>
          <w:pgMar w:left="300" w:top="1126" w:right="319" w:bottom="1440" w:gutter="0" w:footer="0" w:header="0"/>
        </w:sectPr>
      </w:pPr>
    </w:p>
    <w:bookmarkStart w:id="127" w:name="page128"/>
    <w:bookmarkEnd w:id="127"/>
    <w:p>
      <w:pPr>
        <w:ind w:left="1040" w:hanging="257"/>
        <w:spacing w:after="0"/>
        <w:tabs>
          <w:tab w:leader="none" w:pos="10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secures or relates to industrial revenue or similar financing;</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is solely between the Issuer and a Guarantor or between or among Guarantors; or</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jc w:val="both"/>
        <w:ind w:left="1040" w:right="20" w:hanging="257"/>
        <w:spacing w:after="0" w:line="228" w:lineRule="auto"/>
        <w:tabs>
          <w:tab w:leader="none" w:pos="103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or such Guarantor, within 270 days after the sale is completed, applies an amount equal to or greater than (a) the net proceeds of the sale of the assets or part thereof leased or (b) the fair market value of the assets or part thereof leased (as determined in good faith by the Issuer’s Board of Directors) either to:</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540" w:right="20" w:hanging="248"/>
        <w:spacing w:after="0" w:line="238" w:lineRule="auto"/>
        <w:tabs>
          <w:tab w:leader="none" w:pos="1547"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retirement (or open market purchase) of notes, other long-term Indebtedness of the Issuer ranking on a parity with or senior to the 2029 Notes or long-term Indebtedness of a Guarantor; or</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540" w:right="20" w:hanging="248"/>
        <w:spacing w:after="0" w:line="238" w:lineRule="auto"/>
        <w:tabs>
          <w:tab w:leader="none" w:pos="1537"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by the Issuer or any Guarantor of other property, plant or equipment related to the business of the Issuer or any Guarantor having a value at least equal to the value of the assets or part thereof leased.</w:t>
      </w:r>
    </w:p>
    <w:p>
      <w:pPr>
        <w:spacing w:after="0" w:line="224"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Capitalized Lease</w:t>
      </w:r>
      <w:r>
        <w:rPr>
          <w:rFonts w:ascii="Times New Roman" w:cs="Times New Roman" w:eastAsia="Times New Roman" w:hAnsi="Times New Roman"/>
          <w:sz w:val="17"/>
          <w:szCs w:val="17"/>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38"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 Stock</w:t>
      </w:r>
      <w:r>
        <w:rPr>
          <w:rFonts w:ascii="Times New Roman" w:cs="Times New Roman" w:eastAsia="Times New Roman" w:hAnsi="Times New Roman"/>
          <w:sz w:val="17"/>
          <w:szCs w:val="17"/>
          <w:color w:val="auto"/>
        </w:rPr>
        <w:t>” means, with respect to any person, any and all shares, interests, participations, or other equivalents (however designated, whether voting or non-voting) of such person’s capital stock or other ownership interests, whether now outstanding or issued after the date of the Indenture, including, without limitation, all common stock and preferred stock.</w:t>
      </w:r>
    </w:p>
    <w:p>
      <w:pPr>
        <w:spacing w:after="0" w:line="13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Currency Agreement</w:t>
      </w:r>
      <w:r>
        <w:rPr>
          <w:rFonts w:ascii="Times New Roman" w:cs="Times New Roman" w:eastAsia="Times New Roman" w:hAnsi="Times New Roman"/>
          <w:sz w:val="17"/>
          <w:szCs w:val="17"/>
          <w:color w:val="auto"/>
        </w:rPr>
        <w:t>” means any foreign exchange contract, currency swap agreement, or other similar agreement or arrangement designed to protect against the fluctuation in currency values.</w:t>
      </w:r>
    </w:p>
    <w:p>
      <w:pPr>
        <w:spacing w:after="0" w:line="136"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GAAP</w:t>
      </w:r>
      <w:r>
        <w:rPr>
          <w:rFonts w:ascii="Times New Roman" w:cs="Times New Roman" w:eastAsia="Times New Roman" w:hAnsi="Times New Roman"/>
          <w:sz w:val="17"/>
          <w:szCs w:val="17"/>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Indenture shall be computed in conformity with GAAP applied on a consistent basis.</w:t>
      </w:r>
    </w:p>
    <w:p>
      <w:pPr>
        <w:spacing w:after="0" w:line="14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Guarantee</w:t>
      </w:r>
      <w:r>
        <w:rPr>
          <w:rFonts w:ascii="Times New Roman" w:cs="Times New Roman" w:eastAsia="Times New Roman" w:hAnsi="Times New Roman"/>
          <w:sz w:val="17"/>
          <w:szCs w:val="17"/>
          <w:color w:val="auto"/>
        </w:rPr>
        <w:t>” means any obligation, contingent or otherwise, of any person directly or indirectly guaranteeing any Indebtedness or other obligation of any other person and, without</w:t>
      </w:r>
    </w:p>
    <w:p>
      <w:pPr>
        <w:sectPr>
          <w:pgSz w:w="11900" w:h="16838" w:orient="portrait"/>
          <w:cols w:equalWidth="0" w:num="1">
            <w:col w:w="11280"/>
          </w:cols>
          <w:pgMar w:left="300" w:top="1371"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color w:val="auto"/>
        </w:rPr>
        <w:t>limiting the generality of the foregoing, any obligation, direct or indirect, contingent or otherwise, of such person:</w:t>
      </w:r>
    </w:p>
    <w:p>
      <w:pPr>
        <w:spacing w:after="0" w:line="200" w:lineRule="exact"/>
        <w:rPr>
          <w:sz w:val="20"/>
          <w:szCs w:val="20"/>
          <w:color w:val="auto"/>
        </w:rPr>
      </w:pPr>
    </w:p>
    <w:p>
      <w:pPr>
        <w:spacing w:after="0" w:line="209" w:lineRule="exact"/>
        <w:rPr>
          <w:sz w:val="20"/>
          <w:szCs w:val="20"/>
          <w:color w:val="auto"/>
        </w:rPr>
      </w:pPr>
    </w:p>
    <w:p>
      <w:pPr>
        <w:jc w:val="both"/>
        <w:ind w:left="1040" w:right="20" w:hanging="257"/>
        <w:spacing w:after="0" w:line="228" w:lineRule="auto"/>
        <w:tabs>
          <w:tab w:leader="none" w:pos="10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for purposes of assuring in any other manner the obligee of such Indebtedness or other obligation of the payment thereof or to protect such obligee against loss in respect thereof (in whole or in part);</w:t>
      </w:r>
    </w:p>
    <w:p>
      <w:pPr>
        <w:spacing w:after="0" w:line="228"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provided that the term “Guarantee” shall not include endorsements for collection or deposit in the ordinary course of business. The term “Guarantee” used as a verb has a corresponding meaning.</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Indebtedness</w:t>
      </w:r>
      <w:r>
        <w:rPr>
          <w:rFonts w:ascii="Times New Roman" w:cs="Times New Roman" w:eastAsia="Times New Roman" w:hAnsi="Times New Roman"/>
          <w:sz w:val="17"/>
          <w:szCs w:val="17"/>
          <w:color w:val="auto"/>
        </w:rPr>
        <w:t>” means, with respect to any person at any date of determination (without duplication):</w:t>
      </w:r>
    </w:p>
    <w:p>
      <w:pPr>
        <w:spacing w:after="0" w:line="200" w:lineRule="exact"/>
        <w:rPr>
          <w:sz w:val="20"/>
          <w:szCs w:val="20"/>
          <w:color w:val="auto"/>
        </w:rPr>
      </w:pPr>
    </w:p>
    <w:p>
      <w:pPr>
        <w:spacing w:after="0" w:line="213" w:lineRule="exact"/>
        <w:rPr>
          <w:sz w:val="20"/>
          <w:szCs w:val="20"/>
          <w:color w:val="auto"/>
        </w:rPr>
      </w:pPr>
    </w:p>
    <w:p>
      <w:pPr>
        <w:ind w:left="1040" w:hanging="257"/>
        <w:spacing w:after="0"/>
        <w:tabs>
          <w:tab w:leader="none" w:pos="10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indebtedness of such person for borrowed money;</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of such person evidenced by bonds, debentures, notes, or other similar instruments;</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of such person in respect of letters of credit or other similar instruments (including reimbursement obligations with respect thereto);</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of such person to pay the deferred and unpaid purchase price of property or services (but excluding trade accounts payable or accrued liabilities arising in the ordinary course of business);</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of such person as lessee under Capitalized Leases;</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Indebtedness of other persons secured by a Lien on any asset of such person, whether or not such Indebtedness is assumed by such person; provided that the amount of such Indebtedness shall be the lesser of:</w:t>
      </w:r>
    </w:p>
    <w:p>
      <w:pPr>
        <w:sectPr>
          <w:pgSz w:w="11900" w:h="16838" w:orient="portrait"/>
          <w:cols w:equalWidth="0" w:num="1">
            <w:col w:w="11280"/>
          </w:cols>
          <w:pgMar w:left="300" w:top="1127" w:right="319" w:bottom="1440" w:gutter="0" w:footer="0" w:header="0"/>
        </w:sectPr>
      </w:pPr>
    </w:p>
    <w:bookmarkStart w:id="129" w:name="page130"/>
    <w:bookmarkEnd w:id="129"/>
    <w:p>
      <w:pPr>
        <w:ind w:left="1540" w:hanging="248"/>
        <w:spacing w:after="0"/>
        <w:tabs>
          <w:tab w:leader="none" w:pos="154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market value of such asset at such date of determination; and</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540" w:hanging="248"/>
        <w:spacing w:after="0"/>
        <w:tabs>
          <w:tab w:leader="none" w:pos="154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such Indebtedness;</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Indebtedness of other persons Guaranteed by such person to the extent such Indebtedness is Guaranteed by such person; and</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not otherwise included in this definition, obligations under Currency Agreements and Interest Rate Agreements.</w:t>
      </w:r>
    </w:p>
    <w:p>
      <w:pPr>
        <w:spacing w:after="0" w:line="261"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387" w:lineRule="exact"/>
        <w:rPr>
          <w:sz w:val="20"/>
          <w:szCs w:val="20"/>
          <w:color w:val="auto"/>
        </w:rPr>
      </w:pPr>
    </w:p>
    <w:p>
      <w:pPr>
        <w:ind w:left="1040" w:right="20" w:hanging="257"/>
        <w:spacing w:after="0" w:line="238" w:lineRule="auto"/>
        <w:tabs>
          <w:tab w:leader="none" w:pos="103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200" w:lineRule="exact"/>
        <w:rPr>
          <w:rFonts w:ascii="Times New Roman" w:cs="Times New Roman" w:eastAsia="Times New Roman" w:hAnsi="Times New Roman"/>
          <w:sz w:val="17"/>
          <w:szCs w:val="17"/>
          <w:color w:val="auto"/>
        </w:rPr>
      </w:pPr>
    </w:p>
    <w:p>
      <w:pPr>
        <w:spacing w:after="0" w:line="271"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Indebtedness shall not include any liability for federal, state, local, or other taxes.</w:t>
      </w:r>
    </w:p>
    <w:p>
      <w:pPr>
        <w:spacing w:after="0" w:line="257" w:lineRule="exact"/>
        <w:rPr>
          <w:sz w:val="20"/>
          <w:szCs w:val="20"/>
          <w:color w:val="auto"/>
        </w:rPr>
      </w:pPr>
    </w:p>
    <w:p>
      <w:pPr>
        <w:jc w:val="both"/>
        <w:ind w:firstLine="509"/>
        <w:spacing w:after="0" w:line="2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Interest Rate Agreements</w:t>
      </w:r>
      <w:r>
        <w:rPr>
          <w:rFonts w:ascii="Times New Roman" w:cs="Times New Roman" w:eastAsia="Times New Roman" w:hAnsi="Times New Roman"/>
          <w:sz w:val="17"/>
          <w:szCs w:val="17"/>
          <w:color w:val="auto"/>
        </w:rPr>
        <w:t>”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39"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Lien</w:t>
      </w:r>
      <w:r>
        <w:rPr>
          <w:rFonts w:ascii="Times New Roman" w:cs="Times New Roman" w:eastAsia="Times New Roman" w:hAnsi="Times New Roman"/>
          <w:sz w:val="17"/>
          <w:szCs w:val="17"/>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Indenture, the Issuer or any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Liens</w:t>
      </w:r>
      <w:r>
        <w:rPr>
          <w:rFonts w:ascii="Times New Roman" w:cs="Times New Roman" w:eastAsia="Times New Roman" w:hAnsi="Times New Roman"/>
          <w:sz w:val="17"/>
          <w:szCs w:val="17"/>
          <w:color w:val="auto"/>
        </w:rPr>
        <w:t>” means:</w:t>
      </w:r>
    </w:p>
    <w:p>
      <w:pPr>
        <w:sectPr>
          <w:pgSz w:w="11900" w:h="16838" w:orient="portrait"/>
          <w:cols w:equalWidth="0" w:num="1">
            <w:col w:w="11280"/>
          </w:cols>
          <w:pgMar w:left="300" w:top="1371" w:right="319" w:bottom="1440" w:gutter="0" w:footer="0" w:header="0"/>
        </w:sectPr>
      </w:pPr>
    </w:p>
    <w:bookmarkStart w:id="130" w:name="page131"/>
    <w:bookmarkEnd w:id="130"/>
    <w:p>
      <w:pPr>
        <w:spacing w:after="0" w:line="122" w:lineRule="exact"/>
        <w:rPr>
          <w:sz w:val="20"/>
          <w:szCs w:val="20"/>
          <w:color w:val="auto"/>
        </w:rPr>
      </w:pPr>
    </w:p>
    <w:p>
      <w:pPr>
        <w:ind w:left="1040" w:hanging="257"/>
        <w:spacing w:after="0"/>
        <w:tabs>
          <w:tab w:leader="none" w:pos="10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on any asset incurred prior to the date of the Indenture;</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jc w:val="both"/>
        <w:ind w:left="1040" w:right="20" w:hanging="257"/>
        <w:spacing w:after="0" w:line="223" w:lineRule="auto"/>
        <w:tabs>
          <w:tab w:leader="none" w:pos="103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on any assets acquired after the date of the Indenture (including by way of merger or consolidation) by the Issuer or any Guarantor, which Lien is created, incurred or assumed contemporaneously with such acquisition, or within 270 days thereafter, to secure or provide for the payment or financing of any part of the purchase price thereof, or any Lien upon any assets acquired after the date of the Indenture existing at the time of such acquisition (whether or not assumed by the Issuer or any Guarantor), provided that any such Lien shall attach only to the assets so acquired;</w:t>
      </w:r>
    </w:p>
    <w:p>
      <w:pPr>
        <w:spacing w:after="0" w:line="200" w:lineRule="exact"/>
        <w:rPr>
          <w:rFonts w:ascii="Times New Roman" w:cs="Times New Roman" w:eastAsia="Times New Roman" w:hAnsi="Times New Roman"/>
          <w:sz w:val="17"/>
          <w:szCs w:val="17"/>
          <w:color w:val="auto"/>
        </w:rPr>
      </w:pPr>
    </w:p>
    <w:p>
      <w:pPr>
        <w:spacing w:after="0" w:line="272"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on any assets in favor of the Issuer or any Guarantor;</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on assets incurred in connection with the issuance of tax-exempt governmental obligations (including, without limitation, industrial revenue bonds and similar financing);</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granted by any Guarantor on assets to the extent limitations on the incurrence of such Liens are prohibited by any agreement to which such Guarantor is subject as of the date of the Indenture; and</w:t>
      </w:r>
    </w:p>
    <w:p>
      <w:pPr>
        <w:spacing w:after="0" w:line="200" w:lineRule="exact"/>
        <w:rPr>
          <w:rFonts w:ascii="Times New Roman" w:cs="Times New Roman" w:eastAsia="Times New Roman" w:hAnsi="Times New Roman"/>
          <w:sz w:val="17"/>
          <w:szCs w:val="17"/>
          <w:color w:val="auto"/>
        </w:rPr>
      </w:pPr>
    </w:p>
    <w:p>
      <w:pPr>
        <w:spacing w:after="0" w:line="271" w:lineRule="exact"/>
        <w:rPr>
          <w:rFonts w:ascii="Times New Roman" w:cs="Times New Roman" w:eastAsia="Times New Roman" w:hAnsi="Times New Roman"/>
          <w:sz w:val="17"/>
          <w:szCs w:val="17"/>
          <w:color w:val="auto"/>
        </w:rPr>
      </w:pPr>
    </w:p>
    <w:p>
      <w:pPr>
        <w:jc w:val="both"/>
        <w:ind w:left="1040" w:right="20" w:hanging="257"/>
        <w:spacing w:after="0" w:line="228" w:lineRule="auto"/>
        <w:tabs>
          <w:tab w:leader="none" w:pos="103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235"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Sale and Leaseback Transaction</w:t>
      </w:r>
      <w:r>
        <w:rPr>
          <w:rFonts w:ascii="Times New Roman" w:cs="Times New Roman" w:eastAsia="Times New Roman" w:hAnsi="Times New Roman"/>
          <w:sz w:val="17"/>
          <w:szCs w:val="17"/>
          <w:color w:val="auto"/>
        </w:rPr>
        <w:t>” means any direct or indirect arrangement with any person or to which any such person is a party, providing for the leasing to the Issuer or a Guarantor of any property, whether owned by the Issuer or such Guarantor at the date of the original issuance of the 2029 Notes or later acquired, which has been or is to be sold or transferred by the Issuer or such Guarantor to such person or to any other person by whom funds have been or are to be advanced on the security of such property.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Consolidation, Merger and Sale of Assets</w:t>
      </w:r>
    </w:p>
    <w:p>
      <w:pPr>
        <w:spacing w:after="0" w:line="169"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The Indenture restricts the Issuer’s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w:t>
      </w:r>
    </w:p>
    <w:p>
      <w:pPr>
        <w:sectPr>
          <w:pgSz w:w="11900" w:h="16838" w:orient="portrait"/>
          <w:cols w:equalWidth="0" w:num="1">
            <w:col w:w="11280"/>
          </w:cols>
          <w:pgMar w:left="300" w:top="1440" w:right="319" w:bottom="1440" w:gutter="0" w:footer="0" w:header="0"/>
        </w:sectPr>
      </w:pPr>
    </w:p>
    <w:bookmarkStart w:id="131" w:name="page132"/>
    <w:bookmarkEnd w:id="131"/>
    <w:p>
      <w:pPr>
        <w:spacing w:after="0" w:line="238" w:lineRule="auto"/>
        <w:rPr>
          <w:sz w:val="20"/>
          <w:szCs w:val="20"/>
          <w:color w:val="auto"/>
        </w:rPr>
      </w:pPr>
      <w:r>
        <w:rPr>
          <w:rFonts w:ascii="Times New Roman" w:cs="Times New Roman" w:eastAsia="Times New Roman" w:hAnsi="Times New Roman"/>
          <w:sz w:val="17"/>
          <w:szCs w:val="17"/>
          <w:color w:val="auto"/>
        </w:rPr>
        <w:t>in connection with any merger of the Issuer and a wholly-owned subsidiary, no consideration other than common stock in the surviving person shall be issued or distributed to the Issuer’s stockholders) or permit any person to merge with or into such party unless:</w:t>
      </w:r>
    </w:p>
    <w:p>
      <w:pPr>
        <w:spacing w:after="0" w:line="387" w:lineRule="exact"/>
        <w:rPr>
          <w:sz w:val="20"/>
          <w:szCs w:val="20"/>
          <w:color w:val="auto"/>
        </w:rPr>
      </w:pPr>
    </w:p>
    <w:p>
      <w:pPr>
        <w:jc w:val="both"/>
        <w:ind w:left="1040" w:right="20" w:hanging="257"/>
        <w:spacing w:after="0" w:line="223" w:lineRule="auto"/>
        <w:tabs>
          <w:tab w:leader="none" w:pos="103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the Issuer’s obligations on all of the 2029 Notes and under the Indenture;</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such transaction, no default or event of default shall have occurred and be continuing; and</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jc w:val="both"/>
        <w:ind w:left="1040" w:right="20" w:hanging="257"/>
        <w:spacing w:after="0" w:line="228" w:lineRule="auto"/>
        <w:tabs>
          <w:tab w:leader="none" w:pos="103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delivers to the Trustee an officers’ certificate and opinion of counsel, in each case stating that such consolidation, merger, or transfer and such supplemental indenture complies with this provision and that all conditions precedent provided for in the Indenture and notes relating to such transaction have been complied with;</w:t>
      </w:r>
    </w:p>
    <w:p>
      <w:pPr>
        <w:spacing w:after="0" w:line="239"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provided, however, that the foregoing limitations will not apply if, in the good faith determination of the Issuer’s board of directors, whose determination must be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14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Upon any express assumption of the Issuer’s obligations as described above, the Issuer shall be released and discharged from all obligations and covenants under the Indenture and all the 2029 Notes.</w:t>
      </w:r>
    </w:p>
    <w:p>
      <w:pPr>
        <w:spacing w:after="0" w:line="143"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The Indenture and the guarantees do not limit the ability of any guarantor to consolidate with or merge into or sell all or substantially all its assets. Upon the sale or disposition of any guarantor (by merger, consolidation, the sale of its capital stock or the sale of all or substantially all of its assets) to any person, that guarantor will be deemed released from all its obligations under the Indenture and its guarantee.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Modification and Waiver</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Issuer and the Trustee may amend or supplement the Indenture or the 2029 Notes without notice to or the consent of any holder:</w:t>
      </w:r>
    </w:p>
    <w:p>
      <w:pPr>
        <w:spacing w:after="0" w:line="200" w:lineRule="exact"/>
        <w:rPr>
          <w:sz w:val="20"/>
          <w:szCs w:val="20"/>
          <w:color w:val="auto"/>
        </w:rPr>
      </w:pPr>
    </w:p>
    <w:p>
      <w:pPr>
        <w:spacing w:after="0" w:line="209" w:lineRule="exact"/>
        <w:rPr>
          <w:sz w:val="20"/>
          <w:szCs w:val="20"/>
          <w:color w:val="auto"/>
        </w:rPr>
      </w:pPr>
    </w:p>
    <w:p>
      <w:pPr>
        <w:ind w:left="1040" w:right="20" w:hanging="257"/>
        <w:spacing w:after="0" w:line="238" w:lineRule="auto"/>
        <w:tabs>
          <w:tab w:leader="none" w:pos="103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 in the Indenture; provided that such amendments or supplements shall not adversely affect the interests of the holders in any material respect;</w:t>
      </w:r>
    </w:p>
    <w:p>
      <w:pPr>
        <w:sectPr>
          <w:pgSz w:w="11900" w:h="16838" w:orient="portrait"/>
          <w:cols w:equalWidth="0" w:num="1">
            <w:col w:w="11280"/>
          </w:cols>
          <w:pgMar w:left="300" w:top="1126" w:right="319" w:bottom="1440" w:gutter="0" w:footer="0" w:header="0"/>
        </w:sectPr>
      </w:pPr>
    </w:p>
    <w:bookmarkStart w:id="132" w:name="page133"/>
    <w:bookmarkEnd w:id="132"/>
    <w:p>
      <w:pPr>
        <w:ind w:left="1040" w:hanging="257"/>
        <w:spacing w:after="0"/>
        <w:tabs>
          <w:tab w:leader="none" w:pos="10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the provisions described under “-Certain Covenants-Consolidation, Merger and Sale of Assets;”</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any requirements of the SEC in connection with the qualification of the Indenture under the Trust Indenture Act;</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hereunder by a successor Trustee;</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the form or forms or terms of the 2029 Notes as permitted by the Indenture;</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notes and to make all appropriate changes for such purpose;</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rights of any holder;</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so long as no 2029 Notes are outstanding.</w:t>
      </w:r>
    </w:p>
    <w:p>
      <w:pPr>
        <w:spacing w:after="0" w:line="250"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Subject to certain conditions, without prior notice to any holder of 2029 Notes, modifications and amendments of the Indenture may be made by the Issuer and the Trustee with respect to any series of 2029 Notes with the written consent of the holders of a majority in principal amount of the affected series of 2029 Notes, and compliance by the Issuer with any provision of the Indenture with respect to any series of 2029 Notes may be waived by written notice to the Trustee by the holders of a majority in principal amount of the affected series of 2029 Notes outstanding; provided, however, that each affected holder must consent to any modification, amendment or waiver that:</w:t>
      </w:r>
    </w:p>
    <w:p>
      <w:pPr>
        <w:spacing w:after="0" w:line="388" w:lineRule="exact"/>
        <w:rPr>
          <w:sz w:val="20"/>
          <w:szCs w:val="20"/>
          <w:color w:val="auto"/>
        </w:rPr>
      </w:pPr>
    </w:p>
    <w:p>
      <w:pPr>
        <w:ind w:left="1040" w:hanging="257"/>
        <w:spacing w:after="0"/>
        <w:tabs>
          <w:tab w:leader="none" w:pos="10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the stated maturity of the principal of, or any installment of interest on, the 2029 Notes of the affected series;</w:t>
      </w:r>
    </w:p>
    <w:p>
      <w:pPr>
        <w:sectPr>
          <w:pgSz w:w="11900" w:h="16838" w:orient="portrait"/>
          <w:cols w:equalWidth="0" w:num="1">
            <w:col w:w="11280"/>
          </w:cols>
          <w:pgMar w:left="300" w:top="1371" w:right="319" w:bottom="1440" w:gutter="0" w:footer="0" w:header="0"/>
        </w:sectPr>
      </w:pPr>
    </w:p>
    <w:bookmarkStart w:id="133" w:name="page134"/>
    <w:bookmarkEnd w:id="133"/>
    <w:p>
      <w:pPr>
        <w:ind w:left="1040" w:hanging="257"/>
        <w:spacing w:after="0"/>
        <w:tabs>
          <w:tab w:leader="none" w:pos="10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reduces the principal amount of, or premium, if any, or interest on, the 2029 Notes of the affected series;</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the place or currency of payment of principal of, or premium, if any, or interest on, the 2029 Notes of the affected series;</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the provisions for calculating the optional redemption price, including the definitions relating thereto;</w:t>
      </w:r>
    </w:p>
    <w:p>
      <w:pPr>
        <w:spacing w:after="0" w:line="218"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the provisions relating to the waiver of past defaults or changes or impairs the right of holders to receive payment or to institute suit for the enforcement of any payment of the 2029 Notes of the affected series on or after the due date therefor;</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reduces the above-stated percentage of outstanding 2029 Notes of the affected series the consent of whose holders is necessary to modify or amend or to waive certain provisions of or defaults under the Indenture;</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waives a default in the payment of principal of, premium, if any, or interest on the 2029 Notes; or</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modifies any of the provisions of this paragraph, except to increase any required percentage or to provide that certain other provisions cannot be modified or waived without the consent of the holder of each 2029 Note of the series affected by the modification.</w:t>
      </w:r>
    </w:p>
    <w:p>
      <w:pPr>
        <w:spacing w:after="0" w:line="238"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It is not necessary for the consent of the holders under the Indenture to approve the particular form of any note amendment, supplement or waiver, but it shall be sufficient if such consent approves the substance thereof. After an amendment, supplement or waiver under the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For purposes of this section, the term “Obligor” shall mean each of the Issuer and Guarantors, in each case excluding such entities’ subsidiaries.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An event of default for a series of 2029 Notes is defined under the Indenture as being:</w:t>
      </w:r>
    </w:p>
    <w:p>
      <w:pPr>
        <w:sectPr>
          <w:pgSz w:w="11900" w:h="16838" w:orient="portrait"/>
          <w:cols w:equalWidth="0" w:num="1">
            <w:col w:w="11280"/>
          </w:cols>
          <w:pgMar w:left="300" w:top="1371" w:right="319" w:bottom="1440" w:gutter="0" w:footer="0" w:header="0"/>
        </w:sectPr>
      </w:pPr>
    </w:p>
    <w:bookmarkStart w:id="134" w:name="page135"/>
    <w:bookmarkEnd w:id="134"/>
    <w:p>
      <w:pPr>
        <w:ind w:left="257" w:hanging="257"/>
        <w:spacing w:after="0" w:line="238" w:lineRule="auto"/>
        <w:tabs>
          <w:tab w:leader="none" w:pos="25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by any Obligor in the payment of principal or premium on the 2029 Notes of such series when the same becomes due and payable whether at maturity, upon acceleration, redemption or otherwise;</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257" w:hanging="257"/>
        <w:spacing w:after="0" w:line="238" w:lineRule="auto"/>
        <w:tabs>
          <w:tab w:leader="none" w:pos="25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by any Obligor in the payment of interest on the 2029 Notes of such series when the same becomes due and payable, if that default continues for a period of 30 days;</w:t>
      </w:r>
    </w:p>
    <w:p>
      <w:pPr>
        <w:spacing w:after="0" w:line="200" w:lineRule="exact"/>
        <w:rPr>
          <w:rFonts w:ascii="Times New Roman" w:cs="Times New Roman" w:eastAsia="Times New Roman" w:hAnsi="Times New Roman"/>
          <w:sz w:val="17"/>
          <w:szCs w:val="17"/>
          <w:color w:val="auto"/>
        </w:rPr>
      </w:pPr>
    </w:p>
    <w:p>
      <w:pPr>
        <w:spacing w:after="0" w:line="271" w:lineRule="exact"/>
        <w:rPr>
          <w:rFonts w:ascii="Times New Roman" w:cs="Times New Roman" w:eastAsia="Times New Roman" w:hAnsi="Times New Roman"/>
          <w:sz w:val="17"/>
          <w:szCs w:val="17"/>
          <w:color w:val="auto"/>
        </w:rPr>
      </w:pPr>
    </w:p>
    <w:p>
      <w:pPr>
        <w:jc w:val="both"/>
        <w:ind w:left="257" w:hanging="257"/>
        <w:spacing w:after="0" w:line="228" w:lineRule="auto"/>
        <w:tabs>
          <w:tab w:leader="none" w:pos="25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by any Obligor in the performance of or breach by any Obligor of any of its other covenants or agreements in the Indenture applicable to all the 2029 Notes or applicable to the 2029 Notes of any series and that default or breach continues for a period of 30 consecutive days after written notice is received from the Trustee or from the holders of 25% or more in aggregate principal amount of the 2029 Notes of all affected series;</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257" w:hanging="257"/>
        <w:spacing w:after="0"/>
        <w:tabs>
          <w:tab w:leader="none" w:pos="25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guarantee is not in full force and effect;</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257" w:hanging="257"/>
        <w:spacing w:after="0"/>
        <w:tabs>
          <w:tab w:leader="none" w:pos="25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court having jurisdiction enters a decree or order for:</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757" w:hanging="248"/>
        <w:spacing w:after="0" w:line="238" w:lineRule="auto"/>
        <w:tabs>
          <w:tab w:leader="none" w:pos="764"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relief in respect of any Obligor in an involuntary case under any applicable bankruptcy, insolvency, or other similar law now or hereafter in effect;</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757" w:hanging="248"/>
        <w:spacing w:after="0" w:line="238" w:lineRule="auto"/>
        <w:tabs>
          <w:tab w:leader="none" w:pos="764"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appointment of a receiver, liquidator, assignee, custodian, Trustee, sequestrator or similar official of any Obligor for any substantial part of such party’s property and assets; or</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757" w:hanging="248"/>
        <w:spacing w:after="0" w:line="238" w:lineRule="auto"/>
        <w:tabs>
          <w:tab w:leader="none" w:pos="775"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winding up or liquidation of any Obligor’s affairs and such decree or order shall remain unstayed and in effect for a period of 180 consecutive days; or</w:t>
      </w:r>
    </w:p>
    <w:p>
      <w:pPr>
        <w:spacing w:after="0" w:line="200" w:lineRule="exact"/>
        <w:rPr>
          <w:rFonts w:ascii="Times New Roman" w:cs="Times New Roman" w:eastAsia="Times New Roman" w:hAnsi="Times New Roman"/>
          <w:sz w:val="17"/>
          <w:szCs w:val="17"/>
          <w:color w:val="auto"/>
        </w:rPr>
      </w:pPr>
    </w:p>
    <w:p>
      <w:pPr>
        <w:spacing w:after="0" w:line="271" w:lineRule="exact"/>
        <w:rPr>
          <w:rFonts w:ascii="Times New Roman" w:cs="Times New Roman" w:eastAsia="Times New Roman" w:hAnsi="Times New Roman"/>
          <w:sz w:val="17"/>
          <w:szCs w:val="17"/>
          <w:color w:val="auto"/>
        </w:rPr>
      </w:pPr>
    </w:p>
    <w:p>
      <w:pPr>
        <w:ind w:left="257" w:hanging="257"/>
        <w:spacing w:after="0"/>
        <w:tabs>
          <w:tab w:leader="none" w:pos="25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Obligor:</w:t>
      </w:r>
    </w:p>
    <w:p>
      <w:pPr>
        <w:sectPr>
          <w:pgSz w:w="11900" w:h="16838" w:orient="portrait"/>
          <w:cols w:equalWidth="0" w:num="1">
            <w:col w:w="10477"/>
          </w:cols>
          <w:pgMar w:left="1083" w:top="1370" w:right="339" w:bottom="1440" w:gutter="0" w:footer="0" w:header="0"/>
        </w:sectPr>
      </w:pPr>
    </w:p>
    <w:bookmarkStart w:id="135" w:name="page136"/>
    <w:bookmarkEnd w:id="135"/>
    <w:p>
      <w:pPr>
        <w:ind w:left="1540" w:right="20" w:hanging="248"/>
        <w:spacing w:after="0" w:line="238" w:lineRule="auto"/>
        <w:tabs>
          <w:tab w:leader="none" w:pos="154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commences a voluntary case under any applicable bankruptcy, insolvency, or other similar law now or hereafter in effect, or consent to the entry of an order for relief in an involuntary case under any such law;</w:t>
      </w: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540" w:right="20" w:hanging="248"/>
        <w:spacing w:after="0" w:line="238" w:lineRule="auto"/>
        <w:tabs>
          <w:tab w:leader="none" w:pos="154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the appointment of or taking possession by a receiver, liquidator, assignee, custodian, trustee, sequestrator, or similar official of such party or for any substantial part of such party’s property; or</w:t>
      </w:r>
    </w:p>
    <w:p>
      <w:pPr>
        <w:spacing w:after="0" w:line="200" w:lineRule="exact"/>
        <w:rPr>
          <w:rFonts w:ascii="Times New Roman" w:cs="Times New Roman" w:eastAsia="Times New Roman" w:hAnsi="Times New Roman"/>
          <w:sz w:val="17"/>
          <w:szCs w:val="17"/>
          <w:color w:val="auto"/>
        </w:rPr>
      </w:pPr>
    </w:p>
    <w:p>
      <w:pPr>
        <w:spacing w:after="0" w:line="271" w:lineRule="exact"/>
        <w:rPr>
          <w:rFonts w:ascii="Times New Roman" w:cs="Times New Roman" w:eastAsia="Times New Roman" w:hAnsi="Times New Roman"/>
          <w:sz w:val="17"/>
          <w:szCs w:val="17"/>
          <w:color w:val="auto"/>
        </w:rPr>
      </w:pPr>
    </w:p>
    <w:p>
      <w:pPr>
        <w:ind w:left="1540" w:hanging="248"/>
        <w:spacing w:after="0"/>
        <w:tabs>
          <w:tab w:leader="none" w:pos="15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any general assignment for the benefit of creditors.</w:t>
      </w:r>
    </w:p>
    <w:p>
      <w:pPr>
        <w:spacing w:after="0" w:line="2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default under any Obligor’s other indebtedness is not a default under the Indenture.</w:t>
      </w:r>
    </w:p>
    <w:p>
      <w:pPr>
        <w:spacing w:after="0" w:line="165" w:lineRule="exact"/>
        <w:rPr>
          <w:sz w:val="20"/>
          <w:szCs w:val="20"/>
          <w:color w:val="auto"/>
        </w:rPr>
      </w:pPr>
    </w:p>
    <w:p>
      <w:pPr>
        <w:jc w:val="both"/>
        <w:ind w:firstLine="509"/>
        <w:spacing w:after="0" w:line="216" w:lineRule="auto"/>
        <w:rPr>
          <w:sz w:val="20"/>
          <w:szCs w:val="20"/>
          <w:color w:val="auto"/>
        </w:rPr>
      </w:pPr>
      <w:r>
        <w:rPr>
          <w:rFonts w:ascii="Times New Roman" w:cs="Times New Roman" w:eastAsia="Times New Roman" w:hAnsi="Times New Roman"/>
          <w:sz w:val="17"/>
          <w:szCs w:val="17"/>
          <w:color w:val="auto"/>
        </w:rPr>
        <w:t>If an event of default other than an event of default specified in clauses (5) and (6) above occurs with respect to an issue of 2029 Notes and is continuing under the Indenture, then, and in each and every such case, either the Trustee or the holders of not less than 25% in aggregate principal amount of such 2029 Notes then outstanding under the Indenture by written notice to the Issuer and to the Trustee, if such notice is given by the holders, may, and the Trustee at the request of such holders shall, declare the principal amount of and accrued interest, if any, on such 2029 Notes to be immediately due and payable. The amount due upon acceleration shall include only the original issue price of the 2029 Notes and accrued to the date of acceleration and accrued interest, if any. Upon a declaration of acceleration, such principal amount of and accrued interest, if any, on such 2029 Notes shall be immediately due and payable. If an event of default specified in clauses (5) and (6) above occurs with respect to any Obligor, the principal amount of and accrued interest, if any, on each issue of 2029 Notes then outstanding shall be and become immediately due and payable without any notice or other action on the part of the Trustee or any holder.</w:t>
      </w:r>
    </w:p>
    <w:p>
      <w:pPr>
        <w:spacing w:after="0" w:line="142"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Upon certain conditions such declarations may be rescinded and annulled and past defaults may be waived by the holders of a majority in aggregate principal amount of an issue of 2029 Notes that has been accelerated. Furthermore, subject to various provisions in the Indenture, the holders of at least a majority in aggregate principal amount of an issue of 2029 Notes by notice to the Trustee may waive an existing default or event of default with respect to such 2029 Notes and its consequences, except a default in the payment of principal of or interest on such 2029 Notes or in respect of a covenant or provision of the Indenture which cannot be modified or amended without the consent of the holders of each such 2029 Notes. Upon any such waiver, such default shall cease to exist, and any event of default with respect to such 2029 Notes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42"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The holders of at least a majority in aggregate principal amount of an issue of 2029 Notes may direct the time, method, and place of conducting any proceeding for any remedy available to the Trustee or exercising any trust or power conferred on the Trustee with respect to such 2029 Notes. However, the Trustee may refuse to follow any direction that conflicts with law or the Indenture, that may involve the Trustee in personal liability, or that the Trustee determines in good faith may be unduly prejudicial to the rights of holders of such issue of 2029 Notes not joining in the giving of such direction and may take any other action it deems proper that is not</w:t>
      </w:r>
    </w:p>
    <w:p>
      <w:pPr>
        <w:sectPr>
          <w:pgSz w:w="11900" w:h="16838" w:orient="portrait"/>
          <w:cols w:equalWidth="0" w:num="1">
            <w:col w:w="11280"/>
          </w:cols>
          <w:pgMar w:left="300" w:top="1371" w:right="319" w:bottom="1440" w:gutter="0" w:footer="0" w:header="0"/>
        </w:sectPr>
      </w:pPr>
    </w:p>
    <w:bookmarkStart w:id="136" w:name="page137"/>
    <w:bookmarkEnd w:id="136"/>
    <w:p>
      <w:pPr>
        <w:spacing w:after="0" w:line="238" w:lineRule="auto"/>
        <w:rPr>
          <w:sz w:val="20"/>
          <w:szCs w:val="20"/>
          <w:color w:val="auto"/>
        </w:rPr>
      </w:pPr>
      <w:r>
        <w:rPr>
          <w:rFonts w:ascii="Times New Roman" w:cs="Times New Roman" w:eastAsia="Times New Roman" w:hAnsi="Times New Roman"/>
          <w:sz w:val="17"/>
          <w:szCs w:val="17"/>
          <w:color w:val="auto"/>
        </w:rPr>
        <w:t>inconsistent with any such direction received from holders of such issue of 2029 Notes. A holder may not pursue any remedy with respect to the Indenture or any series of 2029 Notes unless:</w:t>
      </w:r>
    </w:p>
    <w:p>
      <w:pPr>
        <w:spacing w:after="0" w:line="387" w:lineRule="exact"/>
        <w:rPr>
          <w:sz w:val="20"/>
          <w:szCs w:val="20"/>
          <w:color w:val="auto"/>
        </w:rPr>
      </w:pPr>
    </w:p>
    <w:p>
      <w:pPr>
        <w:ind w:left="1040" w:hanging="257"/>
        <w:spacing w:after="0"/>
        <w:tabs>
          <w:tab w:leader="none" w:pos="10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gives the Trustee written notice of a continuing event of default;</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aggregate principal amount of such series of 2029 Notes make a written request to the Trustee to pursue the remedy in respect of such event of default;</w:t>
      </w:r>
    </w:p>
    <w:p>
      <w:pPr>
        <w:spacing w:after="0" w:line="200" w:lineRule="exact"/>
        <w:rPr>
          <w:rFonts w:ascii="Times New Roman" w:cs="Times New Roman" w:eastAsia="Times New Roman" w:hAnsi="Times New Roman"/>
          <w:sz w:val="17"/>
          <w:szCs w:val="17"/>
          <w:color w:val="auto"/>
        </w:rPr>
      </w:pPr>
    </w:p>
    <w:p>
      <w:pPr>
        <w:spacing w:after="0" w:line="271"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requesting holder or holders offer the Trustee indemnity satisfactory to the Trustee against any costs, liability, or expense;</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hanging="257"/>
        <w:spacing w:after="0"/>
        <w:tabs>
          <w:tab w:leader="none" w:pos="10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does not comply with the request within 60 days after receipt of the request and the offer of indemnity; and</w:t>
      </w:r>
    </w:p>
    <w:p>
      <w:pPr>
        <w:spacing w:after="0" w:line="200" w:lineRule="exact"/>
        <w:rPr>
          <w:rFonts w:ascii="Times New Roman" w:cs="Times New Roman" w:eastAsia="Times New Roman" w:hAnsi="Times New Roman"/>
          <w:sz w:val="17"/>
          <w:szCs w:val="17"/>
          <w:color w:val="auto"/>
        </w:rPr>
      </w:pPr>
    </w:p>
    <w:p>
      <w:pPr>
        <w:spacing w:after="0" w:line="304" w:lineRule="exact"/>
        <w:rPr>
          <w:rFonts w:ascii="Times New Roman" w:cs="Times New Roman" w:eastAsia="Times New Roman" w:hAnsi="Times New Roman"/>
          <w:sz w:val="17"/>
          <w:szCs w:val="17"/>
          <w:color w:val="auto"/>
        </w:rPr>
      </w:pPr>
    </w:p>
    <w:p>
      <w:pPr>
        <w:ind w:left="1040" w:right="20" w:hanging="257"/>
        <w:spacing w:after="0" w:line="238" w:lineRule="auto"/>
        <w:tabs>
          <w:tab w:leader="none" w:pos="103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such 60-day period, the holders of a majority in aggregate principal amount of such series of 2029 Notes do not give the Trustee a direction that is inconsistent with the request.</w:t>
      </w:r>
    </w:p>
    <w:p>
      <w:pPr>
        <w:spacing w:after="0" w:line="228"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These limitations, however, do not apply to the right of any holder of the 2029 Note to receive payment of the principal of, premium, if any, or interest on such the 2029 Note, or to bring suit for the enforcement of any such payment, on or after the due date for the 2029 Notes, which right shall not be impaired or affected without the consent of the holder.</w:t>
      </w:r>
    </w:p>
    <w:p>
      <w:pPr>
        <w:spacing w:after="0" w:line="143"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The Indenture will require certain of officers of the Issuer to certify, on or before a date not more than 120 days after the end of each fiscal year, as to their knowledge of the Issuer’s compliance with all conditions and covenants under the Indenture, such compliance to be determined without regard to any period of grace or requirement of notice provided under the Indenture.</w:t>
      </w:r>
    </w:p>
    <w:p>
      <w:pPr>
        <w:spacing w:after="0" w:line="139" w:lineRule="exact"/>
        <w:rPr>
          <w:sz w:val="20"/>
          <w:szCs w:val="20"/>
          <w:color w:val="auto"/>
        </w:rPr>
      </w:pPr>
    </w:p>
    <w:p>
      <w:pPr>
        <w:ind w:left="520" w:hanging="515"/>
        <w:spacing w:after="0" w:line="242" w:lineRule="auto"/>
        <w:tabs>
          <w:tab w:leader="none" w:pos="385"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OUR 0.000% NOTES DUE 2026, OUR 0.250% NOTES DUE 2027, OUR 0.250% NOTES DUE 2029, OUR 0.750% NOTES DUE 2032, OUR 1.250% NOTES DUE 2040, OUR 1.500% NOTES DUE 2029 AND OUR 1.875% NOTES DUE 2036</w:t>
      </w:r>
    </w:p>
    <w:p>
      <w:pPr>
        <w:spacing w:after="0" w:line="140"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The following summary of our 0.000% Notes due 2026 (the “2026 Euro Notes”), our 0.250% Notes due 2027 (the “2027 Euro Notes”), our 0.250% Notes due 2029 (the “2029 Euro Notes”), our 0.750% Notes due 2032 (the “2032 Euro Notes”), our 1.250% Notes due 2040 (the “2040 Euro Notes”), our 1.500% Notes due 2029 (the “2029 Sterling Notes”) and our 1.875% Notes due 2036 (the “2036 Sterling Notes” and together with the 2026 Euro Notes, the 2027 Euro Notes, the 2029 Euro Notes, the 2032 Euro Notes, the 2040 Euro Notes and the 2029 Sterling Notes, collectively, the “Notes”) is based on the senior indenture dated as of September 18, 2013 among Comcast as issuer (the “Issuer”), Comcast Cable Communications, LLC and NBCUniversal Media, LLC (the “Guarantors”) and The Bank of New York Mellon (f/k/a The Bank of New York), as trustee (the “Trustee”) (the “Base Indenture”), as amended by the first</w:t>
      </w:r>
    </w:p>
    <w:p>
      <w:pPr>
        <w:sectPr>
          <w:pgSz w:w="11900" w:h="16838" w:orient="portrait"/>
          <w:cols w:equalWidth="0" w:num="1">
            <w:col w:w="11280"/>
          </w:cols>
          <w:pgMar w:left="300" w:top="1127" w:right="319" w:bottom="1440" w:gutter="0" w:footer="0" w:header="0"/>
        </w:sectPr>
      </w:pPr>
    </w:p>
    <w:bookmarkStart w:id="137" w:name="page138"/>
    <w:bookmarkEnd w:id="137"/>
    <w:p>
      <w:pPr>
        <w:spacing w:after="0" w:line="238" w:lineRule="auto"/>
        <w:rPr>
          <w:sz w:val="20"/>
          <w:szCs w:val="20"/>
          <w:color w:val="auto"/>
        </w:rPr>
      </w:pPr>
      <w:r>
        <w:rPr>
          <w:rFonts w:ascii="Times New Roman" w:cs="Times New Roman" w:eastAsia="Times New Roman" w:hAnsi="Times New Roman"/>
          <w:sz w:val="17"/>
          <w:szCs w:val="17"/>
          <w:color w:val="auto"/>
        </w:rPr>
        <w:t>supplemental indenture dated as of November 17, 2015 among the Issuer, the Guarantors and the Trustee (collectively with the Base Indenture, the “Indenture”). This summary does not purport to be complete and is qualified in its entirety by reference to such Indenture.</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231F20"/>
        </w:rPr>
        <w:t>Interest Payments</w:t>
      </w:r>
    </w:p>
    <w:p>
      <w:pPr>
        <w:spacing w:after="0" w:line="244" w:lineRule="exact"/>
        <w:rPr>
          <w:sz w:val="20"/>
          <w:szCs w:val="20"/>
          <w:color w:val="auto"/>
        </w:rPr>
      </w:pPr>
    </w:p>
    <w:p>
      <w:pPr>
        <w:jc w:val="both"/>
        <w:ind w:left="40" w:firstLine="481"/>
        <w:spacing w:after="0" w:line="297" w:lineRule="auto"/>
        <w:rPr>
          <w:sz w:val="20"/>
          <w:szCs w:val="20"/>
          <w:color w:val="auto"/>
        </w:rPr>
      </w:pPr>
      <w:r>
        <w:rPr>
          <w:rFonts w:ascii="Times New Roman" w:cs="Times New Roman" w:eastAsia="Times New Roman" w:hAnsi="Times New Roman"/>
          <w:sz w:val="17"/>
          <w:szCs w:val="17"/>
          <w:color w:val="231F20"/>
        </w:rPr>
        <w:t>Interest on the Notes will be computed on the basis of the actual number of days in the period for which interest is being calculated and the actual number of days from and including the last date to which interest was paid on the Notes (or February 20, 2020 if no interest has been paid in the case of the 2027 Euro Notes, the 2032 Euro Notes, the 2040 Euro Notes, the 2029 Sterling Notes or the 2036 Sterling Notes, or September 14, 2021 if no interest has been paid in the case of the 2026 Euro Notes or the 2029 Euro Notes), to but excluding the next scheduled interest payment date. This payment convention is referred to as ACTUAL/ACTUAL (ICMA) as defined in the rulebook of the International Capital Market Association.</w:t>
      </w:r>
    </w:p>
    <w:p>
      <w:pPr>
        <w:spacing w:after="0" w:line="95" w:lineRule="exact"/>
        <w:rPr>
          <w:sz w:val="20"/>
          <w:szCs w:val="20"/>
          <w:color w:val="auto"/>
        </w:rPr>
      </w:pPr>
    </w:p>
    <w:p>
      <w:pPr>
        <w:jc w:val="both"/>
        <w:ind w:left="40" w:firstLine="481"/>
        <w:spacing w:after="0" w:line="315" w:lineRule="auto"/>
        <w:rPr>
          <w:sz w:val="20"/>
          <w:szCs w:val="20"/>
          <w:color w:val="auto"/>
        </w:rPr>
      </w:pPr>
      <w:r>
        <w:rPr>
          <w:rFonts w:ascii="Times New Roman" w:cs="Times New Roman" w:eastAsia="Times New Roman" w:hAnsi="Times New Roman"/>
          <w:sz w:val="17"/>
          <w:szCs w:val="17"/>
          <w:color w:val="231F20"/>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81" w:lineRule="exact"/>
        <w:rPr>
          <w:sz w:val="20"/>
          <w:szCs w:val="20"/>
          <w:color w:val="auto"/>
        </w:rPr>
      </w:pPr>
    </w:p>
    <w:p>
      <w:pPr>
        <w:jc w:val="both"/>
        <w:ind w:left="40" w:firstLine="481"/>
        <w:spacing w:after="0" w:line="300" w:lineRule="auto"/>
        <w:rPr>
          <w:sz w:val="20"/>
          <w:szCs w:val="20"/>
          <w:color w:val="auto"/>
        </w:rPr>
      </w:pPr>
      <w:r>
        <w:rPr>
          <w:rFonts w:ascii="Times New Roman" w:cs="Times New Roman" w:eastAsia="Times New Roman" w:hAnsi="Times New Roman"/>
          <w:sz w:val="17"/>
          <w:szCs w:val="17"/>
          <w:color w:val="231F20"/>
        </w:rPr>
        <w:t>The term “business day” means any day other than a Saturday or Sunday (i) which is not a day on which banking institutions in The City of New York or London are authorized or obligated by law, regulation or executive order to close and (ii) in the case of the 2026 Euro Notes, the 2027 Euro Notes, the 2029 Euro Notes, the 2032 Euro Notes and the 2040 Euro Notes (collectively, the “Euro Notes”), on which the Trans-European Automated Real-Time Gross Settlement Express Transfer System (the TARGET2 system) or any successor thereto is open.</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231F20"/>
        </w:rPr>
        <w:t>Issuance in Euro; Issuance in GBP</w:t>
      </w:r>
    </w:p>
    <w:p>
      <w:pPr>
        <w:spacing w:after="0" w:line="148" w:lineRule="exact"/>
        <w:rPr>
          <w:sz w:val="20"/>
          <w:szCs w:val="20"/>
          <w:color w:val="auto"/>
        </w:rPr>
      </w:pPr>
    </w:p>
    <w:p>
      <w:pPr>
        <w:jc w:val="both"/>
        <w:ind w:left="40" w:firstLine="481"/>
        <w:spacing w:after="0" w:line="297" w:lineRule="auto"/>
        <w:rPr>
          <w:sz w:val="20"/>
          <w:szCs w:val="20"/>
          <w:color w:val="auto"/>
        </w:rPr>
      </w:pPr>
      <w:r>
        <w:rPr>
          <w:rFonts w:ascii="Times New Roman" w:cs="Times New Roman" w:eastAsia="Times New Roman" w:hAnsi="Times New Roman"/>
          <w:sz w:val="17"/>
          <w:szCs w:val="17"/>
          <w:color w:val="231F20"/>
        </w:rPr>
        <w:t>Principal, premium, if any, and interest payments in respect of the Euro Notes will be payable in euro. If euro is unavailable to the Issuer due to the imposition of exchange controls or other circumstances beyond the Issuer’s control, then all payments in respect of the Euro Notes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in respect of the Euro Notes so made in U.S. dollars will not constitute an event of default under the Indenture.</w:t>
      </w:r>
    </w:p>
    <w:p>
      <w:pPr>
        <w:spacing w:after="0" w:line="95" w:lineRule="exact"/>
        <w:rPr>
          <w:sz w:val="20"/>
          <w:szCs w:val="20"/>
          <w:color w:val="auto"/>
        </w:rPr>
      </w:pPr>
    </w:p>
    <w:p>
      <w:pPr>
        <w:jc w:val="both"/>
        <w:ind w:left="40" w:firstLine="481"/>
        <w:spacing w:after="0" w:line="301" w:lineRule="auto"/>
        <w:rPr>
          <w:sz w:val="20"/>
          <w:szCs w:val="20"/>
          <w:color w:val="auto"/>
        </w:rPr>
      </w:pPr>
      <w:r>
        <w:rPr>
          <w:rFonts w:ascii="Times New Roman" w:cs="Times New Roman" w:eastAsia="Times New Roman" w:hAnsi="Times New Roman"/>
          <w:sz w:val="17"/>
          <w:szCs w:val="17"/>
          <w:color w:val="231F20"/>
        </w:rPr>
        <w:t>Principal, premium, if any, and interest payments in respect of the 2029 Sterling Notes and the 2036 Sterling Notes (together, the “Sterling Notes”) will be payable in GBP. If GBP is unavailable to the Issuer due to the imposition of exchange controls or other circumstances beyond the Issuer’s control, then all payments in respect of the Sterling Notes will be made in</w:t>
      </w:r>
    </w:p>
    <w:p>
      <w:pPr>
        <w:sectPr>
          <w:pgSz w:w="11900" w:h="16838" w:orient="portrait"/>
          <w:cols w:equalWidth="0" w:num="1">
            <w:col w:w="11280"/>
          </w:cols>
          <w:pgMar w:left="300" w:top="1127" w:right="319" w:bottom="1440" w:gutter="0" w:footer="0" w:header="0"/>
        </w:sectPr>
      </w:pPr>
    </w:p>
    <w:bookmarkStart w:id="138" w:name="page139"/>
    <w:bookmarkEnd w:id="138"/>
    <w:p>
      <w:pPr>
        <w:jc w:val="both"/>
        <w:ind w:left="40"/>
        <w:spacing w:after="0" w:line="301" w:lineRule="auto"/>
        <w:rPr>
          <w:sz w:val="20"/>
          <w:szCs w:val="20"/>
          <w:color w:val="auto"/>
        </w:rPr>
      </w:pPr>
      <w:r>
        <w:rPr>
          <w:rFonts w:ascii="Times New Roman" w:cs="Times New Roman" w:eastAsia="Times New Roman" w:hAnsi="Times New Roman"/>
          <w:sz w:val="17"/>
          <w:szCs w:val="17"/>
          <w:color w:val="231F20"/>
        </w:rPr>
        <w:t>U.S. dollars until GBP is again available to the Issuer. The amount payable on any date in GBP will be converted into U.S. dollars at the Market Exchange Rate (as defined below) or, if such Market Exchange Rate is not then available, on the basis of the most recently available market exchange rate for GBP. Any payment in respect of the Sterling Notes so made in U.S. dollars will not constitute an event of default under the Indenture.</w:t>
      </w:r>
    </w:p>
    <w:p>
      <w:pPr>
        <w:spacing w:after="0" w:line="103" w:lineRule="exact"/>
        <w:rPr>
          <w:sz w:val="20"/>
          <w:szCs w:val="20"/>
          <w:color w:val="auto"/>
        </w:rPr>
      </w:pPr>
    </w:p>
    <w:p>
      <w:pPr>
        <w:jc w:val="both"/>
        <w:ind w:left="40" w:firstLine="481"/>
        <w:spacing w:after="0" w:line="296" w:lineRule="auto"/>
        <w:rPr>
          <w:sz w:val="20"/>
          <w:szCs w:val="20"/>
          <w:color w:val="auto"/>
        </w:rPr>
      </w:pPr>
      <w:r>
        <w:rPr>
          <w:rFonts w:ascii="Times New Roman" w:cs="Times New Roman" w:eastAsia="Times New Roman" w:hAnsi="Times New Roman"/>
          <w:sz w:val="17"/>
          <w:szCs w:val="17"/>
          <w:color w:val="231F20"/>
        </w:rPr>
        <w:t>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103" w:lineRule="exact"/>
        <w:rPr>
          <w:sz w:val="20"/>
          <w:szCs w:val="20"/>
          <w:color w:val="auto"/>
        </w:rPr>
      </w:pPr>
    </w:p>
    <w:p>
      <w:pPr>
        <w:jc w:val="both"/>
        <w:ind w:left="40" w:firstLine="481"/>
        <w:spacing w:after="0" w:line="320"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i w:val="1"/>
          <w:iCs w:val="1"/>
          <w:color w:val="231F20"/>
        </w:rPr>
        <w:t>Market Exchange Rate</w:t>
      </w:r>
      <w:r>
        <w:rPr>
          <w:rFonts w:ascii="Times New Roman" w:cs="Times New Roman" w:eastAsia="Times New Roman" w:hAnsi="Times New Roman"/>
          <w:sz w:val="17"/>
          <w:szCs w:val="17"/>
          <w:color w:val="231F20"/>
        </w:rPr>
        <w:t>” means the noon buying rate in The City of New York for cable transfers of euro or GBP, as applicable, as certified for customs purposes (or, if not so certified, as otherwise determined) by the Federal Reserve Bank of New York.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Guarantees</w:t>
      </w:r>
    </w:p>
    <w:p>
      <w:pPr>
        <w:spacing w:after="0" w:line="212" w:lineRule="exact"/>
        <w:rPr>
          <w:sz w:val="20"/>
          <w:szCs w:val="20"/>
          <w:color w:val="auto"/>
        </w:rPr>
      </w:pPr>
    </w:p>
    <w:p>
      <w:pPr>
        <w:jc w:val="both"/>
        <w:ind w:firstLine="509"/>
        <w:spacing w:after="0" w:line="315" w:lineRule="auto"/>
        <w:rPr>
          <w:sz w:val="20"/>
          <w:szCs w:val="20"/>
          <w:color w:val="auto"/>
        </w:rPr>
      </w:pPr>
      <w:r>
        <w:rPr>
          <w:rFonts w:ascii="Times New Roman" w:cs="Times New Roman" w:eastAsia="Times New Roman" w:hAnsi="Times New Roman"/>
          <w:sz w:val="17"/>
          <w:szCs w:val="17"/>
          <w:color w:val="231F20"/>
        </w:rPr>
        <w:t>The Issuer’s obligations, including the payment of principal, premium, if any, and interest, will be fully and unconditionally guaranteed by each of the Guarantors as described in the accompanying prospectus.</w:t>
      </w:r>
    </w:p>
    <w:p>
      <w:pPr>
        <w:spacing w:after="0" w:line="145" w:lineRule="exact"/>
        <w:rPr>
          <w:sz w:val="20"/>
          <w:szCs w:val="20"/>
          <w:color w:val="auto"/>
        </w:rPr>
      </w:pPr>
    </w:p>
    <w:p>
      <w:pPr>
        <w:jc w:val="both"/>
        <w:ind w:firstLine="509"/>
        <w:spacing w:after="0" w:line="307" w:lineRule="auto"/>
        <w:rPr>
          <w:sz w:val="20"/>
          <w:szCs w:val="20"/>
          <w:color w:val="auto"/>
        </w:rPr>
      </w:pPr>
      <w:r>
        <w:rPr>
          <w:rFonts w:ascii="Times New Roman" w:cs="Times New Roman" w:eastAsia="Times New Roman" w:hAnsi="Times New Roman"/>
          <w:sz w:val="17"/>
          <w:szCs w:val="17"/>
          <w:color w:val="231F20"/>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Optional Redemption</w:t>
      </w:r>
    </w:p>
    <w:p>
      <w:pPr>
        <w:spacing w:after="0" w:line="21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7"/>
          <w:szCs w:val="17"/>
          <w:color w:val="231F20"/>
        </w:rPr>
        <w:t>The Issuer will have the right at the Issuer’s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The Issuer will calculate the Redemption Price in connection with any redemption hereunder.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i w:val="1"/>
          <w:iCs w:val="1"/>
          <w:color w:val="231F20"/>
        </w:rPr>
        <w:t>Redemption Price</w:t>
      </w:r>
      <w:r>
        <w:rPr>
          <w:rFonts w:ascii="Times New Roman" w:cs="Times New Roman" w:eastAsia="Times New Roman" w:hAnsi="Times New Roman"/>
          <w:sz w:val="17"/>
          <w:szCs w:val="17"/>
          <w:color w:val="231F20"/>
        </w:rPr>
        <w:t>” means:</w:t>
      </w:r>
    </w:p>
    <w:p>
      <w:pPr>
        <w:spacing w:after="0" w:line="201" w:lineRule="exact"/>
        <w:rPr>
          <w:sz w:val="20"/>
          <w:szCs w:val="20"/>
          <w:color w:val="auto"/>
        </w:rPr>
      </w:pPr>
    </w:p>
    <w:p>
      <w:pPr>
        <w:ind w:left="600" w:hanging="256"/>
        <w:spacing w:after="0" w:line="328" w:lineRule="auto"/>
        <w:tabs>
          <w:tab w:leader="none" w:pos="589" w:val="left"/>
        </w:tabs>
        <w:numPr>
          <w:ilvl w:val="0"/>
          <w:numId w:val="90"/>
        </w:numPr>
        <w:rPr>
          <w:rFonts w:ascii="Times New Roman" w:cs="Times New Roman" w:eastAsia="Times New Roman" w:hAnsi="Times New Roman"/>
          <w:sz w:val="14"/>
          <w:szCs w:val="14"/>
          <w:color w:val="231F20"/>
        </w:rPr>
      </w:pPr>
      <w:r>
        <w:rPr>
          <w:rFonts w:ascii="Times New Roman" w:cs="Times New Roman" w:eastAsia="Times New Roman" w:hAnsi="Times New Roman"/>
          <w:sz w:val="17"/>
          <w:szCs w:val="17"/>
          <w:color w:val="231F20"/>
        </w:rPr>
        <w:t>with respect to the 2026 Euro Notes, at any time prior to August 14, 2026 (one month prior to the maturity of the 2026 Euro Notes) (the “2026 Par Call Date”), the greater of (i) 100% of the principal amount of such notes and (ii) the sum of the present values of</w:t>
      </w:r>
    </w:p>
    <w:p>
      <w:pPr>
        <w:sectPr>
          <w:pgSz w:w="11900" w:h="16838" w:orient="portrait"/>
          <w:cols w:equalWidth="0" w:num="1">
            <w:col w:w="11280"/>
          </w:cols>
          <w:pgMar w:left="300" w:top="1286" w:right="319" w:bottom="1440" w:gutter="0" w:footer="0" w:header="0"/>
        </w:sectPr>
      </w:pPr>
    </w:p>
    <w:bookmarkStart w:id="139" w:name="page140"/>
    <w:bookmarkEnd w:id="139"/>
    <w:p>
      <w:pPr>
        <w:jc w:val="both"/>
        <w:ind w:left="256"/>
        <w:spacing w:after="0" w:line="300" w:lineRule="auto"/>
        <w:rPr>
          <w:sz w:val="20"/>
          <w:szCs w:val="20"/>
          <w:color w:val="auto"/>
        </w:rPr>
      </w:pPr>
      <w:r>
        <w:rPr>
          <w:rFonts w:ascii="Times New Roman" w:cs="Times New Roman" w:eastAsia="Times New Roman" w:hAnsi="Times New Roman"/>
          <w:sz w:val="17"/>
          <w:szCs w:val="17"/>
          <w:color w:val="231F20"/>
        </w:rPr>
        <w:t>the principal amount of such notes and the scheduled payments of interest thereon (exclusive of interest accrued to the date of redemption) from the redemption date to the 2026 Par Call Date, in each case discounted to the redemption date on an actual (ACTUAL/ACTUAL (ICMA)) basis at a rate equal to the applicable comparable government bond rate plus 10 basis points; provided that, if the 2026 Euro Notes are redeemed on or after the 2026 Par Call Date, the Redemption Price will equal 100% of the principal amount of such notes;</w:t>
      </w:r>
    </w:p>
    <w:p>
      <w:pPr>
        <w:spacing w:after="0" w:line="158" w:lineRule="exact"/>
        <w:rPr>
          <w:sz w:val="20"/>
          <w:szCs w:val="20"/>
          <w:color w:val="auto"/>
        </w:rPr>
      </w:pPr>
    </w:p>
    <w:p>
      <w:pPr>
        <w:jc w:val="both"/>
        <w:ind w:left="256" w:hanging="256"/>
        <w:spacing w:after="0" w:line="290" w:lineRule="auto"/>
        <w:tabs>
          <w:tab w:leader="none" w:pos="246" w:val="left"/>
        </w:tabs>
        <w:numPr>
          <w:ilvl w:val="0"/>
          <w:numId w:val="91"/>
        </w:numPr>
        <w:rPr>
          <w:rFonts w:ascii="Times New Roman" w:cs="Times New Roman" w:eastAsia="Times New Roman" w:hAnsi="Times New Roman"/>
          <w:sz w:val="14"/>
          <w:szCs w:val="14"/>
          <w:color w:val="231F20"/>
        </w:rPr>
      </w:pPr>
      <w:r>
        <w:rPr>
          <w:rFonts w:ascii="Times New Roman" w:cs="Times New Roman" w:eastAsia="Times New Roman" w:hAnsi="Times New Roman"/>
          <w:sz w:val="17"/>
          <w:szCs w:val="17"/>
          <w:color w:val="231F20"/>
        </w:rPr>
        <w:t>with respect to the 2027 Euro Notes, at any time prior to March 20, 2027 (two months prior to the maturity of the 2027 Euro Notes) (the “2027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2027 Par Call Date, in each</w:t>
      </w:r>
    </w:p>
    <w:p>
      <w:pPr>
        <w:spacing w:after="0" w:line="2" w:lineRule="exact"/>
        <w:rPr>
          <w:rFonts w:ascii="Times New Roman" w:cs="Times New Roman" w:eastAsia="Times New Roman" w:hAnsi="Times New Roman"/>
          <w:sz w:val="14"/>
          <w:szCs w:val="14"/>
          <w:color w:val="231F20"/>
        </w:rPr>
      </w:pPr>
    </w:p>
    <w:p>
      <w:pPr>
        <w:jc w:val="both"/>
        <w:ind w:left="256"/>
        <w:spacing w:after="0" w:line="301" w:lineRule="auto"/>
        <w:rPr>
          <w:rFonts w:ascii="Times New Roman" w:cs="Times New Roman" w:eastAsia="Times New Roman" w:hAnsi="Times New Roman"/>
          <w:sz w:val="14"/>
          <w:szCs w:val="14"/>
          <w:color w:val="231F20"/>
        </w:rPr>
      </w:pPr>
      <w:r>
        <w:rPr>
          <w:rFonts w:ascii="Times New Roman" w:cs="Times New Roman" w:eastAsia="Times New Roman" w:hAnsi="Times New Roman"/>
          <w:sz w:val="17"/>
          <w:szCs w:val="17"/>
          <w:color w:val="231F20"/>
        </w:rPr>
        <w:t>case discounted to the redemption date on an actual (ACTUAL/ACTUAL (ICMA)) basis at a rate equal to the applicable comparable government bond rate plus 15 basis points; provided that, if the 2027 Euro Notes are redeemed on or after the 2027 Par Call Date, the Redemption Price will equal 100% of the principal amount of such notes;</w:t>
      </w:r>
    </w:p>
    <w:p>
      <w:pPr>
        <w:spacing w:after="0" w:line="155" w:lineRule="exact"/>
        <w:rPr>
          <w:rFonts w:ascii="Times New Roman" w:cs="Times New Roman" w:eastAsia="Times New Roman" w:hAnsi="Times New Roman"/>
          <w:sz w:val="14"/>
          <w:szCs w:val="14"/>
          <w:color w:val="231F20"/>
        </w:rPr>
      </w:pPr>
    </w:p>
    <w:p>
      <w:pPr>
        <w:ind w:left="236" w:hanging="236"/>
        <w:spacing w:after="0"/>
        <w:tabs>
          <w:tab w:leader="none" w:pos="236" w:val="left"/>
        </w:tabs>
        <w:numPr>
          <w:ilvl w:val="0"/>
          <w:numId w:val="91"/>
        </w:numPr>
        <w:rPr>
          <w:rFonts w:ascii="Times New Roman" w:cs="Times New Roman" w:eastAsia="Times New Roman" w:hAnsi="Times New Roman"/>
          <w:sz w:val="14"/>
          <w:szCs w:val="14"/>
          <w:color w:val="231F20"/>
        </w:rPr>
      </w:pPr>
      <w:r>
        <w:rPr>
          <w:rFonts w:ascii="Times New Roman" w:cs="Times New Roman" w:eastAsia="Times New Roman" w:hAnsi="Times New Roman"/>
          <w:sz w:val="17"/>
          <w:szCs w:val="17"/>
          <w:color w:val="231F20"/>
        </w:rPr>
        <w:t>with respect to the 2029 Euro Notes, at any time prior to June 14, 2029 (three months prior to the maturity of the 2029 Euro Notes) (the “2029 Par Call</w:t>
      </w:r>
    </w:p>
    <w:p>
      <w:pPr>
        <w:spacing w:after="0" w:line="48" w:lineRule="exact"/>
        <w:rPr>
          <w:rFonts w:ascii="Times New Roman" w:cs="Times New Roman" w:eastAsia="Times New Roman" w:hAnsi="Times New Roman"/>
          <w:sz w:val="14"/>
          <w:szCs w:val="14"/>
          <w:color w:val="231F20"/>
        </w:rPr>
      </w:pPr>
    </w:p>
    <w:p>
      <w:pPr>
        <w:jc w:val="both"/>
        <w:ind w:left="256"/>
        <w:spacing w:after="0" w:line="297" w:lineRule="auto"/>
        <w:rPr>
          <w:rFonts w:ascii="Times New Roman" w:cs="Times New Roman" w:eastAsia="Times New Roman" w:hAnsi="Times New Roman"/>
          <w:sz w:val="14"/>
          <w:szCs w:val="14"/>
          <w:color w:val="231F20"/>
        </w:rPr>
      </w:pPr>
      <w:r>
        <w:rPr>
          <w:rFonts w:ascii="Times New Roman" w:cs="Times New Roman" w:eastAsia="Times New Roman" w:hAnsi="Times New Roman"/>
          <w:sz w:val="17"/>
          <w:szCs w:val="17"/>
          <w:color w:val="231F20"/>
        </w:rPr>
        <w:t>Date”), the greater of (i) 100% of the principal amount of such notes and (ii) the sum of the 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comparable government bond rate plus 15 basis points; provided that, if the 2029 Euro Notes are redeemed on or after the 2029 Par Call Date, the Redemption Price will equal 100% of the principal amount of such notes;</w:t>
      </w:r>
    </w:p>
    <w:p>
      <w:pPr>
        <w:spacing w:after="0" w:line="159" w:lineRule="exact"/>
        <w:rPr>
          <w:rFonts w:ascii="Times New Roman" w:cs="Times New Roman" w:eastAsia="Times New Roman" w:hAnsi="Times New Roman"/>
          <w:sz w:val="14"/>
          <w:szCs w:val="14"/>
          <w:color w:val="231F20"/>
        </w:rPr>
      </w:pPr>
    </w:p>
    <w:p>
      <w:pPr>
        <w:jc w:val="both"/>
        <w:ind w:left="256" w:hanging="256"/>
        <w:spacing w:after="0" w:line="293" w:lineRule="auto"/>
        <w:tabs>
          <w:tab w:leader="none" w:pos="203" w:val="left"/>
        </w:tabs>
        <w:numPr>
          <w:ilvl w:val="0"/>
          <w:numId w:val="91"/>
        </w:numPr>
        <w:rPr>
          <w:rFonts w:ascii="Times New Roman" w:cs="Times New Roman" w:eastAsia="Times New Roman" w:hAnsi="Times New Roman"/>
          <w:sz w:val="14"/>
          <w:szCs w:val="14"/>
          <w:color w:val="231F20"/>
        </w:rPr>
      </w:pPr>
      <w:r>
        <w:rPr>
          <w:rFonts w:ascii="Times New Roman" w:cs="Times New Roman" w:eastAsia="Times New Roman" w:hAnsi="Times New Roman"/>
          <w:sz w:val="17"/>
          <w:szCs w:val="17"/>
          <w:color w:val="231F20"/>
        </w:rPr>
        <w:t>with respect to the 2032 Euro Notes, at any time prior to November 20, 2031 (three months prior to the maturity of the 2032 Euro Notes) (the “2032 Par Call Date”), the greater of (i) 100% of the principal amount of such notes and (ii) the sum of the present values of the principal amount of such notes and the</w:t>
      </w:r>
    </w:p>
    <w:p>
      <w:pPr>
        <w:jc w:val="both"/>
        <w:ind w:left="256"/>
        <w:spacing w:after="0" w:line="301" w:lineRule="auto"/>
        <w:rPr>
          <w:rFonts w:ascii="Times New Roman" w:cs="Times New Roman" w:eastAsia="Times New Roman" w:hAnsi="Times New Roman"/>
          <w:sz w:val="14"/>
          <w:szCs w:val="14"/>
          <w:color w:val="231F20"/>
        </w:rPr>
      </w:pPr>
      <w:r>
        <w:rPr>
          <w:rFonts w:ascii="Times New Roman" w:cs="Times New Roman" w:eastAsia="Times New Roman" w:hAnsi="Times New Roman"/>
          <w:sz w:val="17"/>
          <w:szCs w:val="17"/>
          <w:color w:val="231F20"/>
        </w:rPr>
        <w:t>scheduled payments of interest thereon (exclusive of interest accrued to the date of redemption) from the redemption date to the 2032 Par Call Date, in each case discounted to the redemption date on an actual (ACTUAL/ACTUAL (ICMA)) basis at a rate equal to the applicable comparable government bond rate plus 20 basis points; provided that, if the 2032 Euro Notes are</w:t>
      </w:r>
    </w:p>
    <w:p>
      <w:pPr>
        <w:sectPr>
          <w:pgSz w:w="11900" w:h="16838" w:orient="portrait"/>
          <w:cols w:equalWidth="0" w:num="1">
            <w:col w:w="10936"/>
          </w:cols>
          <w:pgMar w:left="644" w:top="1158" w:right="319" w:bottom="1440" w:gutter="0" w:footer="0" w:header="0"/>
        </w:sectPr>
      </w:pPr>
    </w:p>
    <w:bookmarkStart w:id="140" w:name="page141"/>
    <w:bookmarkEnd w:id="140"/>
    <w:p>
      <w:pPr>
        <w:ind w:left="600"/>
        <w:spacing w:after="0"/>
        <w:rPr>
          <w:sz w:val="20"/>
          <w:szCs w:val="20"/>
          <w:color w:val="auto"/>
        </w:rPr>
      </w:pPr>
      <w:r>
        <w:rPr>
          <w:rFonts w:ascii="Times New Roman" w:cs="Times New Roman" w:eastAsia="Times New Roman" w:hAnsi="Times New Roman"/>
          <w:sz w:val="17"/>
          <w:szCs w:val="17"/>
          <w:color w:val="231F20"/>
        </w:rPr>
        <w:t>redeemed on or after the 2032 Par Call Date, the Redemption Price will equal 100% of the principal amount of such notes;</w:t>
      </w:r>
    </w:p>
    <w:p>
      <w:pPr>
        <w:spacing w:after="0" w:line="240" w:lineRule="exact"/>
        <w:rPr>
          <w:sz w:val="20"/>
          <w:szCs w:val="20"/>
          <w:color w:val="auto"/>
        </w:rPr>
      </w:pPr>
    </w:p>
    <w:p>
      <w:pPr>
        <w:jc w:val="both"/>
        <w:ind w:left="600" w:hanging="256"/>
        <w:spacing w:after="0" w:line="289" w:lineRule="auto"/>
        <w:tabs>
          <w:tab w:leader="none" w:pos="589" w:val="left"/>
        </w:tabs>
        <w:numPr>
          <w:ilvl w:val="0"/>
          <w:numId w:val="92"/>
        </w:numPr>
        <w:rPr>
          <w:rFonts w:ascii="Times New Roman" w:cs="Times New Roman" w:eastAsia="Times New Roman" w:hAnsi="Times New Roman"/>
          <w:sz w:val="14"/>
          <w:szCs w:val="14"/>
          <w:color w:val="231F20"/>
        </w:rPr>
      </w:pPr>
      <w:r>
        <w:rPr>
          <w:rFonts w:ascii="Times New Roman" w:cs="Times New Roman" w:eastAsia="Times New Roman" w:hAnsi="Times New Roman"/>
          <w:sz w:val="17"/>
          <w:szCs w:val="17"/>
          <w:color w:val="231F20"/>
        </w:rPr>
        <w:t>with respect to the 2040 Euro Notes, at any time prior to August 20, 2039 (six months prior to the maturity of the 2040 Euro Notes) (the “2040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2040 Par Call Date, in each case discounted to the redemption date on an actual (ACTUAL/ACTUAL (ICMA)) basis at a rate equal to the applicable comparable government bond rate</w:t>
      </w:r>
    </w:p>
    <w:p>
      <w:pPr>
        <w:spacing w:after="0" w:line="2" w:lineRule="exact"/>
        <w:rPr>
          <w:rFonts w:ascii="Times New Roman" w:cs="Times New Roman" w:eastAsia="Times New Roman" w:hAnsi="Times New Roman"/>
          <w:sz w:val="14"/>
          <w:szCs w:val="14"/>
          <w:color w:val="231F20"/>
        </w:rPr>
      </w:pPr>
    </w:p>
    <w:p>
      <w:pPr>
        <w:ind w:left="600"/>
        <w:spacing w:after="0" w:line="315" w:lineRule="auto"/>
        <w:rPr>
          <w:rFonts w:ascii="Times New Roman" w:cs="Times New Roman" w:eastAsia="Times New Roman" w:hAnsi="Times New Roman"/>
          <w:sz w:val="14"/>
          <w:szCs w:val="14"/>
          <w:color w:val="231F20"/>
        </w:rPr>
      </w:pPr>
      <w:r>
        <w:rPr>
          <w:rFonts w:ascii="Times New Roman" w:cs="Times New Roman" w:eastAsia="Times New Roman" w:hAnsi="Times New Roman"/>
          <w:sz w:val="17"/>
          <w:szCs w:val="17"/>
          <w:color w:val="231F20"/>
        </w:rPr>
        <w:t>plus 25 basis points; provided that, if the 2040 Euro Notes are redeemed on or after the 2040 Par Call Date, the Redemption Price will equal 100% of the principal amount of such notes;</w:t>
      </w:r>
    </w:p>
    <w:p>
      <w:pPr>
        <w:spacing w:after="0" w:line="49" w:lineRule="exact"/>
        <w:rPr>
          <w:rFonts w:ascii="Times New Roman" w:cs="Times New Roman" w:eastAsia="Times New Roman" w:hAnsi="Times New Roman"/>
          <w:sz w:val="14"/>
          <w:szCs w:val="14"/>
          <w:color w:val="231F20"/>
        </w:rPr>
      </w:pPr>
    </w:p>
    <w:p>
      <w:pPr>
        <w:jc w:val="both"/>
        <w:ind w:left="600" w:hanging="256"/>
        <w:spacing w:after="0" w:line="290" w:lineRule="auto"/>
        <w:tabs>
          <w:tab w:leader="none" w:pos="568" w:val="left"/>
        </w:tabs>
        <w:numPr>
          <w:ilvl w:val="0"/>
          <w:numId w:val="92"/>
        </w:numPr>
        <w:rPr>
          <w:rFonts w:ascii="Times New Roman" w:cs="Times New Roman" w:eastAsia="Times New Roman" w:hAnsi="Times New Roman"/>
          <w:sz w:val="14"/>
          <w:szCs w:val="14"/>
          <w:color w:val="231F20"/>
        </w:rPr>
      </w:pPr>
      <w:r>
        <w:rPr>
          <w:rFonts w:ascii="Times New Roman" w:cs="Times New Roman" w:eastAsia="Times New Roman" w:hAnsi="Times New Roman"/>
          <w:sz w:val="17"/>
          <w:szCs w:val="17"/>
          <w:color w:val="231F20"/>
        </w:rPr>
        <w:t>with respect to the 2029 Sterling Notes, at any time prior to November 20, 2028 (three months prior to the maturity of the 2029 Sterling Notes) (the “2029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2029 Par Call Date, in</w:t>
      </w:r>
    </w:p>
    <w:p>
      <w:pPr>
        <w:spacing w:after="0" w:line="2" w:lineRule="exact"/>
        <w:rPr>
          <w:rFonts w:ascii="Times New Roman" w:cs="Times New Roman" w:eastAsia="Times New Roman" w:hAnsi="Times New Roman"/>
          <w:sz w:val="14"/>
          <w:szCs w:val="14"/>
          <w:color w:val="231F20"/>
        </w:rPr>
      </w:pPr>
    </w:p>
    <w:p>
      <w:pPr>
        <w:jc w:val="both"/>
        <w:ind w:left="600"/>
        <w:spacing w:after="0" w:line="301" w:lineRule="auto"/>
        <w:rPr>
          <w:rFonts w:ascii="Times New Roman" w:cs="Times New Roman" w:eastAsia="Times New Roman" w:hAnsi="Times New Roman"/>
          <w:sz w:val="14"/>
          <w:szCs w:val="14"/>
          <w:color w:val="231F20"/>
        </w:rPr>
      </w:pPr>
      <w:r>
        <w:rPr>
          <w:rFonts w:ascii="Times New Roman" w:cs="Times New Roman" w:eastAsia="Times New Roman" w:hAnsi="Times New Roman"/>
          <w:sz w:val="17"/>
          <w:szCs w:val="17"/>
          <w:color w:val="231F20"/>
        </w:rPr>
        <w:t>each case discounted to the redemption date on an actual (ACTUAL/ACTUAL (ICMA)) basis at a rate equal to the applicable comparable government bond rate plus 15 basis points; provided that, if the 2029 Sterling Notes are redeemed on or after the 2029 Par Call Date, the Redemption Price will equal 100% of the principal amount of such notes; and</w:t>
      </w:r>
    </w:p>
    <w:p>
      <w:pPr>
        <w:spacing w:after="0" w:line="155" w:lineRule="exact"/>
        <w:rPr>
          <w:rFonts w:ascii="Times New Roman" w:cs="Times New Roman" w:eastAsia="Times New Roman" w:hAnsi="Times New Roman"/>
          <w:sz w:val="14"/>
          <w:szCs w:val="14"/>
          <w:color w:val="231F20"/>
        </w:rPr>
      </w:pPr>
    </w:p>
    <w:p>
      <w:pPr>
        <w:ind w:left="560" w:hanging="216"/>
        <w:spacing w:after="0"/>
        <w:tabs>
          <w:tab w:leader="none" w:pos="560" w:val="left"/>
        </w:tabs>
        <w:numPr>
          <w:ilvl w:val="0"/>
          <w:numId w:val="92"/>
        </w:numPr>
        <w:rPr>
          <w:rFonts w:ascii="Times New Roman" w:cs="Times New Roman" w:eastAsia="Times New Roman" w:hAnsi="Times New Roman"/>
          <w:sz w:val="14"/>
          <w:szCs w:val="14"/>
          <w:color w:val="231F20"/>
        </w:rPr>
      </w:pPr>
      <w:r>
        <w:rPr>
          <w:rFonts w:ascii="Times New Roman" w:cs="Times New Roman" w:eastAsia="Times New Roman" w:hAnsi="Times New Roman"/>
          <w:sz w:val="17"/>
          <w:szCs w:val="17"/>
          <w:color w:val="231F20"/>
        </w:rPr>
        <w:t>with respect to the 2036 Sterling Notes, at any time prior to November 20, 2035 (three months prior to the maturity of the 2036 Sterling Notes) (the “2036</w:t>
      </w:r>
    </w:p>
    <w:p>
      <w:pPr>
        <w:spacing w:after="0" w:line="48" w:lineRule="exact"/>
        <w:rPr>
          <w:rFonts w:ascii="Times New Roman" w:cs="Times New Roman" w:eastAsia="Times New Roman" w:hAnsi="Times New Roman"/>
          <w:sz w:val="14"/>
          <w:szCs w:val="14"/>
          <w:color w:val="231F20"/>
        </w:rPr>
      </w:pPr>
    </w:p>
    <w:p>
      <w:pPr>
        <w:jc w:val="both"/>
        <w:ind w:left="600"/>
        <w:spacing w:after="0" w:line="297" w:lineRule="auto"/>
        <w:rPr>
          <w:rFonts w:ascii="Times New Roman" w:cs="Times New Roman" w:eastAsia="Times New Roman" w:hAnsi="Times New Roman"/>
          <w:sz w:val="14"/>
          <w:szCs w:val="14"/>
          <w:color w:val="231F20"/>
        </w:rPr>
      </w:pPr>
      <w:r>
        <w:rPr>
          <w:rFonts w:ascii="Times New Roman" w:cs="Times New Roman" w:eastAsia="Times New Roman" w:hAnsi="Times New Roman"/>
          <w:sz w:val="17"/>
          <w:szCs w:val="17"/>
          <w:color w:val="231F20"/>
        </w:rPr>
        <w:t>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2036 Par Call Date, in each case discounted to the redemption date on an actual (ACTUAL/ACTUAL (ICMA)) basis at a rate equal to the applicable comparable government bond rate plus 15 basis points; provided that, if the 2036 Sterling Notes are redeemed on or after the 2036 Par Call Date, the Redemption Price will equal 100% of the principal amount of such notes;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plus, in each case, accrued and unpaid interest thereon to the date of redemption.</w:t>
      </w:r>
    </w:p>
    <w:p>
      <w:pPr>
        <w:spacing w:after="0" w:line="193" w:lineRule="exact"/>
        <w:rPr>
          <w:sz w:val="20"/>
          <w:szCs w:val="20"/>
          <w:color w:val="auto"/>
        </w:rPr>
      </w:pPr>
    </w:p>
    <w:p>
      <w:pPr>
        <w:ind w:firstLine="509"/>
        <w:spacing w:after="0" w:line="333" w:lineRule="auto"/>
        <w:rPr>
          <w:sz w:val="20"/>
          <w:szCs w:val="20"/>
          <w:color w:val="auto"/>
        </w:rPr>
      </w:pPr>
      <w:r>
        <w:rPr>
          <w:rFonts w:ascii="Times New Roman" w:cs="Times New Roman" w:eastAsia="Times New Roman" w:hAnsi="Times New Roman"/>
          <w:sz w:val="17"/>
          <w:szCs w:val="17"/>
          <w:color w:val="231F20"/>
        </w:rPr>
        <w:t>The term “</w:t>
      </w:r>
      <w:r>
        <w:rPr>
          <w:rFonts w:ascii="Times New Roman" w:cs="Times New Roman" w:eastAsia="Times New Roman" w:hAnsi="Times New Roman"/>
          <w:sz w:val="17"/>
          <w:szCs w:val="17"/>
          <w:b w:val="1"/>
          <w:bCs w:val="1"/>
          <w:i w:val="1"/>
          <w:iCs w:val="1"/>
          <w:color w:val="231F20"/>
        </w:rPr>
        <w:t>comparable government bond</w:t>
      </w:r>
      <w:r>
        <w:rPr>
          <w:rFonts w:ascii="Times New Roman" w:cs="Times New Roman" w:eastAsia="Times New Roman" w:hAnsi="Times New Roman"/>
          <w:sz w:val="17"/>
          <w:szCs w:val="17"/>
          <w:color w:val="231F20"/>
        </w:rPr>
        <w:t>” means (i) with respect to the Euro Notes, in relation to any comparable government bond rate calculation, at the discretion of an independent investment banker selected by us, a German government bond whose maturity is closest to the</w:t>
      </w:r>
    </w:p>
    <w:p>
      <w:pPr>
        <w:sectPr>
          <w:pgSz w:w="11900" w:h="16838" w:orient="portrait"/>
          <w:cols w:equalWidth="0" w:num="1">
            <w:col w:w="11280"/>
          </w:cols>
          <w:pgMar w:left="300" w:top="1158" w:right="319" w:bottom="1440" w:gutter="0" w:footer="0" w:header="0"/>
        </w:sectPr>
      </w:pPr>
    </w:p>
    <w:bookmarkStart w:id="141" w:name="page142"/>
    <w:bookmarkEnd w:id="141"/>
    <w:p>
      <w:pPr>
        <w:jc w:val="both"/>
        <w:spacing w:after="0" w:line="293" w:lineRule="auto"/>
        <w:rPr>
          <w:sz w:val="20"/>
          <w:szCs w:val="20"/>
          <w:color w:val="auto"/>
        </w:rPr>
      </w:pPr>
      <w:r>
        <w:rPr>
          <w:rFonts w:ascii="Times New Roman" w:cs="Times New Roman" w:eastAsia="Times New Roman" w:hAnsi="Times New Roman"/>
          <w:sz w:val="17"/>
          <w:szCs w:val="17"/>
          <w:color w:val="231F20"/>
        </w:rPr>
        <w:t>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 or market makers in, German government bonds selected by us, determine to be appropriate for determining the comparable government bond rate and (ii) with respect to the Sterling Notes, in relation to any comparable government bond rate calculation, at the discretion of an independent investment banker selected by us,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172"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7"/>
          <w:szCs w:val="17"/>
          <w:color w:val="231F20"/>
        </w:rPr>
        <w:t>The term “</w:t>
      </w:r>
      <w:r>
        <w:rPr>
          <w:rFonts w:ascii="Times New Roman" w:cs="Times New Roman" w:eastAsia="Times New Roman" w:hAnsi="Times New Roman"/>
          <w:sz w:val="17"/>
          <w:szCs w:val="17"/>
          <w:b w:val="1"/>
          <w:bCs w:val="1"/>
          <w:i w:val="1"/>
          <w:iCs w:val="1"/>
          <w:color w:val="231F20"/>
        </w:rPr>
        <w:t>comparable government bond rate</w:t>
      </w:r>
      <w:r>
        <w:rPr>
          <w:rFonts w:ascii="Times New Roman" w:cs="Times New Roman" w:eastAsia="Times New Roman" w:hAnsi="Times New Roman"/>
          <w:sz w:val="17"/>
          <w:szCs w:val="17"/>
          <w:color w:val="231F20"/>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us.</w:t>
      </w:r>
    </w:p>
    <w:p>
      <w:pPr>
        <w:spacing w:after="0" w:line="136"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7"/>
          <w:szCs w:val="17"/>
          <w:color w:val="231F20"/>
        </w:rPr>
        <w:t>The term “</w:t>
      </w:r>
      <w:r>
        <w:rPr>
          <w:rFonts w:ascii="Times New Roman" w:cs="Times New Roman" w:eastAsia="Times New Roman" w:hAnsi="Times New Roman"/>
          <w:sz w:val="17"/>
          <w:szCs w:val="17"/>
          <w:b w:val="1"/>
          <w:bCs w:val="1"/>
          <w:i w:val="1"/>
          <w:iCs w:val="1"/>
          <w:color w:val="231F20"/>
        </w:rPr>
        <w:t>independent investment banker</w:t>
      </w:r>
      <w:r>
        <w:rPr>
          <w:rFonts w:ascii="Times New Roman" w:cs="Times New Roman" w:eastAsia="Times New Roman" w:hAnsi="Times New Roman"/>
          <w:sz w:val="17"/>
          <w:szCs w:val="17"/>
          <w:color w:val="231F20"/>
        </w:rPr>
        <w:t>” means each of BNP Paribas, Citigroup Global Markets Limited and J.P. Morgan Securities plc (or their respective successors), with respect to the 2027 Euro Notes, the 2032 Euro Notes, the 2040 Euro Notes and the Sterling Notes, and Barclays Bank PLC and Deutsche Bank AG, London Branch (or their respective successors), with respect to the 2026 Euro Notes and the 2029 Euro Notes, or if each such firm is unwilling or unable to select the comparable government bond, an independent investment banking institution of international standing appointed by us.</w:t>
      </w:r>
    </w:p>
    <w:p>
      <w:pPr>
        <w:spacing w:after="0" w:line="187" w:lineRule="exact"/>
        <w:rPr>
          <w:sz w:val="20"/>
          <w:szCs w:val="20"/>
          <w:color w:val="auto"/>
        </w:rPr>
      </w:pPr>
    </w:p>
    <w:p>
      <w:pPr>
        <w:jc w:val="both"/>
        <w:ind w:firstLine="509"/>
        <w:spacing w:after="0" w:line="295" w:lineRule="auto"/>
        <w:rPr>
          <w:sz w:val="20"/>
          <w:szCs w:val="20"/>
          <w:color w:val="auto"/>
        </w:rPr>
      </w:pPr>
      <w:r>
        <w:rPr>
          <w:rFonts w:ascii="Times New Roman" w:cs="Times New Roman" w:eastAsia="Times New Roman" w:hAnsi="Times New Roman"/>
          <w:sz w:val="17"/>
          <w:szCs w:val="17"/>
          <w:color w:val="231F20"/>
        </w:rPr>
        <w:t>On and after the redemption date, interest will cease to accrue on the Notes or any portion of the Notes called for redemption (unless the Issuer defaults in the payment of the Redemption Price and accrued interest). On or before the redemption date, the Issuer will deposit with the Trustee or the paying agent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lottery provided that notes represented by a Global Note will be selected for redemption by the applicable depositary in accordance with its standard procedures therefor). Additionally, the Issuer may at any time</w:t>
      </w:r>
    </w:p>
    <w:p>
      <w:pPr>
        <w:sectPr>
          <w:pgSz w:w="11900" w:h="16838" w:orient="portrait"/>
          <w:cols w:equalWidth="0" w:num="1">
            <w:col w:w="11280"/>
          </w:cols>
          <w:pgMar w:left="300" w:top="1158"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color w:val="231F20"/>
        </w:rPr>
        <w:t>repurchase Notes in the open market and may hold or surrender such Notes to the Trustee for cancellation.</w:t>
      </w:r>
    </w:p>
    <w:p>
      <w:pPr>
        <w:spacing w:after="0" w:line="240" w:lineRule="exact"/>
        <w:rPr>
          <w:sz w:val="20"/>
          <w:szCs w:val="20"/>
          <w:color w:val="auto"/>
        </w:rPr>
      </w:pPr>
    </w:p>
    <w:p>
      <w:pPr>
        <w:jc w:val="both"/>
        <w:ind w:firstLine="509"/>
        <w:spacing w:after="0" w:line="315" w:lineRule="auto"/>
        <w:rPr>
          <w:sz w:val="20"/>
          <w:szCs w:val="20"/>
          <w:color w:val="auto"/>
        </w:rPr>
      </w:pPr>
      <w:r>
        <w:rPr>
          <w:rFonts w:ascii="Times New Roman" w:cs="Times New Roman" w:eastAsia="Times New Roman" w:hAnsi="Times New Roman"/>
          <w:sz w:val="17"/>
          <w:szCs w:val="17"/>
          <w:color w:val="231F20"/>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Payment of Additional Amounts</w:t>
      </w:r>
    </w:p>
    <w:p>
      <w:pPr>
        <w:spacing w:after="0" w:line="201"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7"/>
          <w:szCs w:val="17"/>
          <w:color w:val="231F20"/>
        </w:rPr>
        <w:t>The Issuer will, subject to the exceptions and limitations set forth below, pay as additional interest in respect of the Notes such additional amounts as are necessary in order that the net payment by the Issuer or its paying agent of the principal of and interest in respect of the Notes to a beneficial owner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117" w:lineRule="exact"/>
        <w:rPr>
          <w:sz w:val="20"/>
          <w:szCs w:val="20"/>
          <w:color w:val="auto"/>
        </w:rPr>
      </w:pPr>
    </w:p>
    <w:p>
      <w:pPr>
        <w:jc w:val="both"/>
        <w:ind w:left="600" w:hanging="256"/>
        <w:spacing w:after="0" w:line="296" w:lineRule="auto"/>
        <w:tabs>
          <w:tab w:leader="none" w:pos="766" w:val="left"/>
        </w:tabs>
        <w:numPr>
          <w:ilvl w:val="0"/>
          <w:numId w:val="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extent any tax, assessment or other governmental charge that is imposed by reason of the holder (or the beneficial owner for whose benefit such holder holds such Note),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117" w:lineRule="exact"/>
        <w:rPr>
          <w:rFonts w:ascii="Times New Roman" w:cs="Times New Roman" w:eastAsia="Times New Roman" w:hAnsi="Times New Roman"/>
          <w:sz w:val="17"/>
          <w:szCs w:val="17"/>
          <w:color w:val="231F20"/>
        </w:rPr>
      </w:pPr>
    </w:p>
    <w:p>
      <w:pPr>
        <w:ind w:left="1020" w:hanging="364"/>
        <w:spacing w:after="0"/>
        <w:tabs>
          <w:tab w:leader="none" w:pos="1020" w:val="left"/>
        </w:tabs>
        <w:numPr>
          <w:ilvl w:val="1"/>
          <w:numId w:val="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being or having been engaged in a trade or business in the United States or having or having had a permanent establishment in the United States;</w:t>
      </w:r>
    </w:p>
    <w:p>
      <w:pPr>
        <w:spacing w:after="0" w:line="175" w:lineRule="exact"/>
        <w:rPr>
          <w:rFonts w:ascii="Times New Roman" w:cs="Times New Roman" w:eastAsia="Times New Roman" w:hAnsi="Times New Roman"/>
          <w:sz w:val="17"/>
          <w:szCs w:val="17"/>
          <w:color w:val="231F20"/>
        </w:rPr>
      </w:pPr>
    </w:p>
    <w:p>
      <w:pPr>
        <w:ind w:left="940" w:hanging="284"/>
        <w:spacing w:after="0" w:line="315" w:lineRule="auto"/>
        <w:tabs>
          <w:tab w:leader="none" w:pos="1062" w:val="left"/>
        </w:tabs>
        <w:numPr>
          <w:ilvl w:val="1"/>
          <w:numId w:val="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91" w:lineRule="exact"/>
        <w:rPr>
          <w:rFonts w:ascii="Times New Roman" w:cs="Times New Roman" w:eastAsia="Times New Roman" w:hAnsi="Times New Roman"/>
          <w:sz w:val="17"/>
          <w:szCs w:val="17"/>
          <w:color w:val="231F20"/>
        </w:rPr>
      </w:pPr>
    </w:p>
    <w:p>
      <w:pPr>
        <w:ind w:left="940" w:hanging="284"/>
        <w:spacing w:after="0" w:line="328" w:lineRule="auto"/>
        <w:tabs>
          <w:tab w:leader="none" w:pos="1042" w:val="left"/>
        </w:tabs>
        <w:numPr>
          <w:ilvl w:val="1"/>
          <w:numId w:val="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81" w:lineRule="exact"/>
        <w:rPr>
          <w:rFonts w:ascii="Times New Roman" w:cs="Times New Roman" w:eastAsia="Times New Roman" w:hAnsi="Times New Roman"/>
          <w:sz w:val="17"/>
          <w:szCs w:val="17"/>
          <w:color w:val="231F20"/>
        </w:rPr>
      </w:pPr>
    </w:p>
    <w:p>
      <w:pPr>
        <w:ind w:left="940" w:hanging="284"/>
        <w:spacing w:after="0" w:line="315" w:lineRule="auto"/>
        <w:tabs>
          <w:tab w:leader="none" w:pos="1072" w:val="left"/>
        </w:tabs>
        <w:numPr>
          <w:ilvl w:val="1"/>
          <w:numId w:val="9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being or having been a “10-percent shareholder” of the Issuer or applicable Guarantor as defined in section 871(h)(3) of the U.S. Internal Revenue Code of 1986, as amended (the “Code”), or any successor provision; or</w:t>
      </w:r>
    </w:p>
    <w:p>
      <w:pPr>
        <w:sectPr>
          <w:pgSz w:w="11900" w:h="16838" w:orient="portrait"/>
          <w:cols w:equalWidth="0" w:num="1">
            <w:col w:w="11280"/>
          </w:cols>
          <w:pgMar w:left="300" w:top="1158" w:right="319" w:bottom="1440" w:gutter="0" w:footer="0" w:header="0"/>
        </w:sectPr>
      </w:pPr>
    </w:p>
    <w:bookmarkStart w:id="143" w:name="page144"/>
    <w:bookmarkEnd w:id="143"/>
    <w:p>
      <w:pPr>
        <w:ind w:left="596" w:hanging="284"/>
        <w:spacing w:after="0" w:line="315" w:lineRule="auto"/>
        <w:tabs>
          <w:tab w:leader="none" w:pos="750" w:val="left"/>
        </w:tabs>
        <w:numPr>
          <w:ilvl w:val="1"/>
          <w:numId w:val="9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being a bank receiving payments on an extension of credit made pursuant to a loan agreement entered into in the ordinary course of its trade or business, as described in Section 881(c)(3) of the Code or any successor provision;</w:t>
      </w:r>
    </w:p>
    <w:p>
      <w:pPr>
        <w:spacing w:after="0" w:line="91" w:lineRule="exact"/>
        <w:rPr>
          <w:rFonts w:ascii="Times New Roman" w:cs="Times New Roman" w:eastAsia="Times New Roman" w:hAnsi="Times New Roman"/>
          <w:sz w:val="17"/>
          <w:szCs w:val="17"/>
          <w:color w:val="231F20"/>
        </w:rPr>
      </w:pPr>
    </w:p>
    <w:p>
      <w:pPr>
        <w:ind w:left="416" w:hanging="416"/>
        <w:spacing w:after="0"/>
        <w:tabs>
          <w:tab w:leader="none" w:pos="416" w:val="left"/>
        </w:tabs>
        <w:numPr>
          <w:ilvl w:val="0"/>
          <w:numId w:val="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any holder that is not the sole beneficial owner of the Notes, or a portion of the Notes, or that is a fiduciary, partnership, limited liability company or</w:t>
      </w:r>
    </w:p>
    <w:p>
      <w:pPr>
        <w:spacing w:after="0" w:line="48" w:lineRule="exact"/>
        <w:rPr>
          <w:rFonts w:ascii="Times New Roman" w:cs="Times New Roman" w:eastAsia="Times New Roman" w:hAnsi="Times New Roman"/>
          <w:sz w:val="17"/>
          <w:szCs w:val="17"/>
          <w:color w:val="231F20"/>
        </w:rPr>
      </w:pPr>
    </w:p>
    <w:p>
      <w:pPr>
        <w:jc w:val="both"/>
        <w:ind w:left="256"/>
        <w:spacing w:after="0" w:line="327"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6"/>
          <w:szCs w:val="16"/>
          <w:color w:val="231F20"/>
        </w:rPr>
        <w:t>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149" w:lineRule="exact"/>
        <w:rPr>
          <w:rFonts w:ascii="Times New Roman" w:cs="Times New Roman" w:eastAsia="Times New Roman" w:hAnsi="Times New Roman"/>
          <w:sz w:val="17"/>
          <w:szCs w:val="17"/>
          <w:color w:val="231F20"/>
        </w:rPr>
      </w:pPr>
    </w:p>
    <w:p>
      <w:pPr>
        <w:jc w:val="both"/>
        <w:ind w:left="256" w:hanging="256"/>
        <w:spacing w:after="0" w:line="309" w:lineRule="auto"/>
        <w:tabs>
          <w:tab w:leader="none" w:pos="370" w:val="left"/>
        </w:tabs>
        <w:numPr>
          <w:ilvl w:val="0"/>
          <w:numId w:val="9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w:t>
      </w:r>
    </w:p>
    <w:p>
      <w:pPr>
        <w:ind w:left="256"/>
        <w:spacing w:after="0" w:line="315" w:lineRule="auto"/>
        <w:rPr>
          <w:rFonts w:ascii="Times New Roman" w:cs="Times New Roman" w:eastAsia="Times New Roman" w:hAnsi="Times New Roman"/>
          <w:sz w:val="16"/>
          <w:szCs w:val="16"/>
          <w:color w:val="231F20"/>
        </w:rPr>
      </w:pPr>
      <w:r>
        <w:rPr>
          <w:rFonts w:ascii="Times New Roman" w:cs="Times New Roman" w:eastAsia="Times New Roman" w:hAnsi="Times New Roman"/>
          <w:sz w:val="17"/>
          <w:szCs w:val="17"/>
          <w:color w:val="231F20"/>
        </w:rPr>
        <w:t>applicable income tax treaty to which the United States is a party as a precondition to exemption from, or reduction in such tax, assessment or other governmental charge;</w:t>
      </w:r>
    </w:p>
    <w:p>
      <w:pPr>
        <w:spacing w:after="0" w:line="49" w:lineRule="exact"/>
        <w:rPr>
          <w:rFonts w:ascii="Times New Roman" w:cs="Times New Roman" w:eastAsia="Times New Roman" w:hAnsi="Times New Roman"/>
          <w:sz w:val="16"/>
          <w:szCs w:val="16"/>
          <w:color w:val="231F20"/>
        </w:rPr>
      </w:pPr>
    </w:p>
    <w:p>
      <w:pPr>
        <w:ind w:left="256" w:hanging="256"/>
        <w:spacing w:after="0" w:line="315" w:lineRule="auto"/>
        <w:tabs>
          <w:tab w:leader="none" w:pos="391" w:val="left"/>
        </w:tabs>
        <w:numPr>
          <w:ilvl w:val="0"/>
          <w:numId w:val="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any tax, assessment or other governmental charge that is imposed otherwise than by withholding by the Issuer or an applicable withholding agent from the payment;</w:t>
      </w:r>
    </w:p>
    <w:p>
      <w:pPr>
        <w:spacing w:after="0" w:line="155" w:lineRule="exact"/>
        <w:rPr>
          <w:rFonts w:ascii="Times New Roman" w:cs="Times New Roman" w:eastAsia="Times New Roman" w:hAnsi="Times New Roman"/>
          <w:sz w:val="17"/>
          <w:szCs w:val="17"/>
          <w:color w:val="231F20"/>
        </w:rPr>
      </w:pPr>
    </w:p>
    <w:p>
      <w:pPr>
        <w:ind w:left="256" w:hanging="256"/>
        <w:spacing w:after="0" w:line="315" w:lineRule="auto"/>
        <w:tabs>
          <w:tab w:leader="none" w:pos="413" w:val="left"/>
        </w:tabs>
        <w:numPr>
          <w:ilvl w:val="0"/>
          <w:numId w:val="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55" w:lineRule="exact"/>
        <w:rPr>
          <w:rFonts w:ascii="Times New Roman" w:cs="Times New Roman" w:eastAsia="Times New Roman" w:hAnsi="Times New Roman"/>
          <w:sz w:val="17"/>
          <w:szCs w:val="17"/>
          <w:color w:val="231F20"/>
        </w:rPr>
      </w:pPr>
    </w:p>
    <w:p>
      <w:pPr>
        <w:ind w:left="256" w:hanging="256"/>
        <w:spacing w:after="0" w:line="315" w:lineRule="auto"/>
        <w:tabs>
          <w:tab w:leader="none" w:pos="378" w:val="left"/>
        </w:tabs>
        <w:numPr>
          <w:ilvl w:val="0"/>
          <w:numId w:val="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any estate, inheritance, gift, sales, excise, transfer, wealth, capital gains or personal property tax or similar tax, assessment or other governmental charge or excise tax imposed on the transfer of Notes;</w:t>
      </w:r>
    </w:p>
    <w:p>
      <w:pPr>
        <w:spacing w:after="0" w:line="155" w:lineRule="exact"/>
        <w:rPr>
          <w:rFonts w:ascii="Times New Roman" w:cs="Times New Roman" w:eastAsia="Times New Roman" w:hAnsi="Times New Roman"/>
          <w:sz w:val="17"/>
          <w:szCs w:val="17"/>
          <w:color w:val="231F20"/>
        </w:rPr>
      </w:pPr>
    </w:p>
    <w:p>
      <w:pPr>
        <w:ind w:left="256" w:hanging="256"/>
        <w:spacing w:after="0" w:line="315" w:lineRule="auto"/>
        <w:tabs>
          <w:tab w:leader="none" w:pos="374" w:val="left"/>
        </w:tabs>
        <w:numPr>
          <w:ilvl w:val="0"/>
          <w:numId w:val="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55" w:lineRule="exact"/>
        <w:rPr>
          <w:rFonts w:ascii="Times New Roman" w:cs="Times New Roman" w:eastAsia="Times New Roman" w:hAnsi="Times New Roman"/>
          <w:sz w:val="17"/>
          <w:szCs w:val="17"/>
          <w:color w:val="231F20"/>
        </w:rPr>
      </w:pPr>
    </w:p>
    <w:p>
      <w:pPr>
        <w:ind w:left="256" w:hanging="256"/>
        <w:spacing w:after="0" w:line="315" w:lineRule="auto"/>
        <w:tabs>
          <w:tab w:leader="none" w:pos="374" w:val="left"/>
        </w:tabs>
        <w:numPr>
          <w:ilvl w:val="0"/>
          <w:numId w:val="9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the extent any tax, assessment or other governmental charge that would not have been imposed but for the presentation by the holder of any Note, where presentation is required, for payment on a date more than 30 days after the date on which payment</w:t>
      </w:r>
    </w:p>
    <w:p>
      <w:pPr>
        <w:sectPr>
          <w:pgSz w:w="11900" w:h="16838" w:orient="portrait"/>
          <w:cols w:equalWidth="0" w:num="1">
            <w:col w:w="10936"/>
          </w:cols>
          <w:pgMar w:left="644" w:top="1296" w:right="319" w:bottom="1440" w:gutter="0" w:footer="0" w:header="0"/>
        </w:sectPr>
      </w:pPr>
    </w:p>
    <w:bookmarkStart w:id="144" w:name="page145"/>
    <w:bookmarkEnd w:id="144"/>
    <w:p>
      <w:pPr>
        <w:ind w:left="600"/>
        <w:spacing w:after="0"/>
        <w:rPr>
          <w:sz w:val="20"/>
          <w:szCs w:val="20"/>
          <w:color w:val="auto"/>
        </w:rPr>
      </w:pPr>
      <w:r>
        <w:rPr>
          <w:rFonts w:ascii="Times New Roman" w:cs="Times New Roman" w:eastAsia="Times New Roman" w:hAnsi="Times New Roman"/>
          <w:sz w:val="17"/>
          <w:szCs w:val="17"/>
          <w:color w:val="231F20"/>
        </w:rPr>
        <w:t>became due and payable or the date on which payment thereof is duly provided for, whichever occurs later;</w:t>
      </w:r>
    </w:p>
    <w:p>
      <w:pPr>
        <w:spacing w:after="0" w:line="240" w:lineRule="exact"/>
        <w:rPr>
          <w:sz w:val="20"/>
          <w:szCs w:val="20"/>
          <w:color w:val="auto"/>
        </w:rPr>
      </w:pPr>
    </w:p>
    <w:p>
      <w:pPr>
        <w:jc w:val="both"/>
        <w:ind w:left="600" w:hanging="256"/>
        <w:spacing w:after="0" w:line="307" w:lineRule="auto"/>
        <w:tabs>
          <w:tab w:leader="none" w:pos="742" w:val="left"/>
        </w:tabs>
        <w:numPr>
          <w:ilvl w:val="0"/>
          <w:numId w:val="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151" w:lineRule="exact"/>
        <w:rPr>
          <w:rFonts w:ascii="Times New Roman" w:cs="Times New Roman" w:eastAsia="Times New Roman" w:hAnsi="Times New Roman"/>
          <w:sz w:val="17"/>
          <w:szCs w:val="17"/>
          <w:color w:val="231F20"/>
        </w:rPr>
      </w:pPr>
    </w:p>
    <w:p>
      <w:pPr>
        <w:ind w:left="820" w:hanging="476"/>
        <w:spacing w:after="0"/>
        <w:tabs>
          <w:tab w:leader="none" w:pos="820" w:val="left"/>
        </w:tabs>
        <w:numPr>
          <w:ilvl w:val="0"/>
          <w:numId w:val="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any tax, assessment or other governmental charge imposed under Sections 1471 through 1474 of the Code (or any amended or successor provisions),</w:t>
      </w:r>
    </w:p>
    <w:p>
      <w:pPr>
        <w:spacing w:after="0" w:line="48" w:lineRule="exact"/>
        <w:rPr>
          <w:rFonts w:ascii="Times New Roman" w:cs="Times New Roman" w:eastAsia="Times New Roman" w:hAnsi="Times New Roman"/>
          <w:sz w:val="17"/>
          <w:szCs w:val="17"/>
          <w:color w:val="231F20"/>
        </w:rPr>
      </w:pPr>
    </w:p>
    <w:p>
      <w:pPr>
        <w:jc w:val="both"/>
        <w:ind w:left="600"/>
        <w:spacing w:after="0" w:line="301"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123" w:lineRule="exact"/>
        <w:rPr>
          <w:rFonts w:ascii="Times New Roman" w:cs="Times New Roman" w:eastAsia="Times New Roman" w:hAnsi="Times New Roman"/>
          <w:sz w:val="17"/>
          <w:szCs w:val="17"/>
          <w:color w:val="231F20"/>
        </w:rPr>
      </w:pPr>
    </w:p>
    <w:p>
      <w:pPr>
        <w:ind w:left="800" w:hanging="456"/>
        <w:spacing w:after="0"/>
        <w:tabs>
          <w:tab w:leader="none" w:pos="800" w:val="left"/>
        </w:tabs>
        <w:numPr>
          <w:ilvl w:val="0"/>
          <w:numId w:val="9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the case of any combination of items (1) through (10) above.</w:t>
      </w:r>
    </w:p>
    <w:p>
      <w:pPr>
        <w:spacing w:after="0" w:line="208" w:lineRule="exact"/>
        <w:rPr>
          <w:sz w:val="20"/>
          <w:szCs w:val="20"/>
          <w:color w:val="auto"/>
        </w:rPr>
      </w:pPr>
    </w:p>
    <w:p>
      <w:pPr>
        <w:jc w:val="both"/>
        <w:ind w:firstLine="509"/>
        <w:spacing w:after="0" w:line="296" w:lineRule="auto"/>
        <w:rPr>
          <w:sz w:val="20"/>
          <w:szCs w:val="20"/>
          <w:color w:val="auto"/>
        </w:rPr>
      </w:pPr>
      <w:r>
        <w:rPr>
          <w:rFonts w:ascii="Times New Roman" w:cs="Times New Roman" w:eastAsia="Times New Roman" w:hAnsi="Times New Roman"/>
          <w:sz w:val="17"/>
          <w:szCs w:val="17"/>
          <w:color w:val="231F20"/>
        </w:rPr>
        <w:t>If the Issuer is required to pay additional amounts with respect to the Notes, the Issuer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7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7"/>
          <w:szCs w:val="17"/>
          <w:color w:val="231F20"/>
        </w:rPr>
        <w:t>The Notes are also subject to redemption prior to maturity if certain events occur involving U.S. taxation. If any of these special tax events occur, the Notes may be redeemed at a redemption price of 100% of their principal amount plus accrued and unpaid interest to the date fixed for redemption. See “—Redemption for Tax Reasons.”</w:t>
      </w:r>
    </w:p>
    <w:p>
      <w:pPr>
        <w:spacing w:after="0" w:line="166" w:lineRule="exact"/>
        <w:rPr>
          <w:sz w:val="20"/>
          <w:szCs w:val="20"/>
          <w:color w:val="auto"/>
        </w:rPr>
      </w:pPr>
    </w:p>
    <w:p>
      <w:pPr>
        <w:jc w:val="both"/>
        <w:ind w:firstLine="509"/>
        <w:spacing w:after="0" w:line="307" w:lineRule="auto"/>
        <w:rPr>
          <w:sz w:val="20"/>
          <w:szCs w:val="20"/>
          <w:color w:val="auto"/>
        </w:rPr>
      </w:pPr>
      <w:r>
        <w:rPr>
          <w:rFonts w:ascii="Times New Roman" w:cs="Times New Roman" w:eastAsia="Times New Roman" w:hAnsi="Times New Roman"/>
          <w:sz w:val="17"/>
          <w:szCs w:val="17"/>
          <w:color w:val="231F20"/>
        </w:rPr>
        <w:t>The Notes are subject in all cases to any tax, fiscal or other law or regulation or administrative or judicial interpretation applicable to the Notes. Except as specifically provided under this heading “—Payment of Additional Amounts,” the Issuer will not be required to make any payment for any tax, assessment or other governmental charge imposed by any government or a political subdivision or taxing authority of or in any government or political subdivision.</w:t>
      </w:r>
    </w:p>
    <w:p>
      <w:pPr>
        <w:spacing w:after="0" w:line="67" w:lineRule="exact"/>
        <w:rPr>
          <w:sz w:val="20"/>
          <w:szCs w:val="20"/>
          <w:color w:val="auto"/>
        </w:rPr>
      </w:pPr>
    </w:p>
    <w:p>
      <w:pPr>
        <w:jc w:val="both"/>
        <w:ind w:firstLine="509"/>
        <w:spacing w:after="0" w:line="307" w:lineRule="auto"/>
        <w:rPr>
          <w:sz w:val="20"/>
          <w:szCs w:val="20"/>
          <w:color w:val="auto"/>
        </w:rPr>
      </w:pPr>
      <w:r>
        <w:rPr>
          <w:rFonts w:ascii="Times New Roman" w:cs="Times New Roman" w:eastAsia="Times New Roman" w:hAnsi="Times New Roman"/>
          <w:sz w:val="17"/>
          <w:szCs w:val="17"/>
          <w:color w:val="231F20"/>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w:t>
      </w:r>
    </w:p>
    <w:p>
      <w:pPr>
        <w:sectPr>
          <w:pgSz w:w="11900" w:h="16838" w:orient="portrait"/>
          <w:cols w:equalWidth="0" w:num="1">
            <w:col w:w="11280"/>
          </w:cols>
          <w:pgMar w:left="300" w:top="1158" w:right="319" w:bottom="1440" w:gutter="0" w:footer="0" w:header="0"/>
        </w:sectPr>
      </w:pPr>
    </w:p>
    <w:bookmarkStart w:id="145" w:name="page146"/>
    <w:bookmarkEnd w:id="145"/>
    <w:p>
      <w:pPr>
        <w:jc w:val="both"/>
        <w:spacing w:after="0" w:line="328" w:lineRule="auto"/>
        <w:rPr>
          <w:sz w:val="20"/>
          <w:szCs w:val="20"/>
          <w:color w:val="auto"/>
        </w:rPr>
      </w:pPr>
      <w:r>
        <w:rPr>
          <w:rFonts w:ascii="Times New Roman" w:cs="Times New Roman" w:eastAsia="Times New Roman" w:hAnsi="Times New Roman"/>
          <w:sz w:val="17"/>
          <w:szCs w:val="17"/>
          <w:color w:val="231F20"/>
        </w:rPr>
        <w:t>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Redemption for Tax Reasons</w:t>
      </w:r>
    </w:p>
    <w:p>
      <w:pPr>
        <w:spacing w:after="0" w:line="127" w:lineRule="exact"/>
        <w:rPr>
          <w:sz w:val="20"/>
          <w:szCs w:val="20"/>
          <w:color w:val="auto"/>
        </w:rPr>
      </w:pPr>
    </w:p>
    <w:p>
      <w:pPr>
        <w:jc w:val="both"/>
        <w:ind w:firstLine="509"/>
        <w:spacing w:after="0" w:line="295" w:lineRule="auto"/>
        <w:rPr>
          <w:sz w:val="20"/>
          <w:szCs w:val="20"/>
          <w:color w:val="auto"/>
        </w:rPr>
      </w:pPr>
      <w:r>
        <w:rPr>
          <w:rFonts w:ascii="Times New Roman" w:cs="Times New Roman" w:eastAsia="Times New Roman" w:hAnsi="Times New Roman"/>
          <w:sz w:val="17"/>
          <w:szCs w:val="17"/>
          <w:color w:val="231F20"/>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the Issuer becomes or, based upon a written opinion of independent counsel selected by us, will become obligated to pay additional amounts as described under the heading “—Payment of Additional Amounts” with respect to the Notes, then the Issuer may at any time at its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No Mandatory Redemption or Sinking Fund</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231F20"/>
        </w:rPr>
        <w:t>There will be no mandatory redemption prior to maturity or sinking fund payments for the Notes.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Additional Debt</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231F20"/>
        </w:rPr>
        <w:t>The Indenture does not limit the amount of debt the Issuer may issue under the Indenture or otherwise.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Covenants</w:t>
      </w:r>
    </w:p>
    <w:p>
      <w:pPr>
        <w:spacing w:after="0" w:line="169" w:lineRule="exact"/>
        <w:rPr>
          <w:sz w:val="20"/>
          <w:szCs w:val="20"/>
          <w:color w:val="auto"/>
        </w:rPr>
      </w:pPr>
    </w:p>
    <w:p>
      <w:pPr>
        <w:ind w:right="640" w:firstLine="509"/>
        <w:spacing w:after="0" w:line="267" w:lineRule="auto"/>
        <w:rPr>
          <w:sz w:val="20"/>
          <w:szCs w:val="20"/>
          <w:color w:val="auto"/>
        </w:rPr>
      </w:pPr>
      <w:r>
        <w:rPr>
          <w:rFonts w:ascii="Times New Roman" w:cs="Times New Roman" w:eastAsia="Times New Roman" w:hAnsi="Times New Roman"/>
          <w:sz w:val="16"/>
          <w:szCs w:val="16"/>
          <w:color w:val="auto"/>
        </w:rPr>
        <w:t>The Issuer and the Guarantors have agreed to some restrictions on their activities for the benefit of holders of all series of the Notes issued under the Indenture. The restrictive covenants summarized below will apply, unless the covenants are waived or amended, so long as any of the Notes are outstanding.</w:t>
      </w:r>
    </w:p>
    <w:p>
      <w:pPr>
        <w:spacing w:after="0" w:line="121" w:lineRule="exact"/>
        <w:rPr>
          <w:sz w:val="20"/>
          <w:szCs w:val="20"/>
          <w:color w:val="auto"/>
        </w:rPr>
      </w:pPr>
    </w:p>
    <w:p>
      <w:pPr>
        <w:ind w:right="20" w:firstLine="509"/>
        <w:spacing w:after="0" w:line="228" w:lineRule="auto"/>
        <w:rPr>
          <w:sz w:val="20"/>
          <w:szCs w:val="20"/>
          <w:color w:val="auto"/>
        </w:rPr>
      </w:pPr>
      <w:r>
        <w:rPr>
          <w:rFonts w:ascii="Times New Roman" w:cs="Times New Roman" w:eastAsia="Times New Roman" w:hAnsi="Times New Roman"/>
          <w:sz w:val="17"/>
          <w:szCs w:val="17"/>
          <w:color w:val="auto"/>
        </w:rPr>
        <w:t>The Indenture does not contain any financial covenants other than those summarized below and does not restrict the Issuer or the Issuer’s subsidiaries from paying dividends or incurring additional debt. In addition, the Indenture will not protect holders of Notes issued under it in the event of a highly leveraged transaction or a change in control.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 on Liens Securing Indebtedness</w:t>
      </w:r>
    </w:p>
    <w:p>
      <w:pPr>
        <w:spacing w:after="0" w:line="169" w:lineRule="exact"/>
        <w:rPr>
          <w:sz w:val="20"/>
          <w:szCs w:val="20"/>
          <w:color w:val="auto"/>
        </w:rPr>
      </w:pPr>
    </w:p>
    <w:p>
      <w:pPr>
        <w:jc w:val="both"/>
        <w:ind w:right="360" w:firstLine="509"/>
        <w:spacing w:after="0" w:line="228" w:lineRule="auto"/>
        <w:rPr>
          <w:sz w:val="20"/>
          <w:szCs w:val="20"/>
          <w:color w:val="auto"/>
        </w:rPr>
      </w:pPr>
      <w:r>
        <w:rPr>
          <w:rFonts w:ascii="Times New Roman" w:cs="Times New Roman" w:eastAsia="Times New Roman" w:hAnsi="Times New Roman"/>
          <w:sz w:val="17"/>
          <w:szCs w:val="17"/>
          <w:color w:val="auto"/>
        </w:rPr>
        <w:t>With respect to the Notes of each series, each Obligor will covenant under the Indenture not to create or incur any Lien on any of its Properties, whether owned at the time the Indenture is executed or acquired afterward, in order to secure any of its Indebtedness, without effectively providing that the Notes of such series shall be equally and ratably secured until such time as such Indebtedness is no longer secured by such Lien, except:</w:t>
      </w:r>
    </w:p>
    <w:p>
      <w:pPr>
        <w:spacing w:after="0" w:line="143" w:lineRule="exact"/>
        <w:rPr>
          <w:sz w:val="20"/>
          <w:szCs w:val="20"/>
          <w:color w:val="auto"/>
        </w:rPr>
      </w:pPr>
    </w:p>
    <w:p>
      <w:pPr>
        <w:ind w:left="620" w:hanging="360"/>
        <w:spacing w:after="0"/>
        <w:tabs>
          <w:tab w:leader="none" w:pos="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existing as of the date of initial issuance of the Notes of such series;</w:t>
      </w:r>
    </w:p>
    <w:p>
      <w:pPr>
        <w:sectPr>
          <w:pgSz w:w="11900" w:h="16838" w:orient="portrait"/>
          <w:cols w:equalWidth="0" w:num="1">
            <w:col w:w="11280"/>
          </w:cols>
          <w:pgMar w:left="300" w:top="1265" w:right="319" w:bottom="1440" w:gutter="0" w:footer="0" w:header="0"/>
        </w:sectPr>
      </w:pPr>
    </w:p>
    <w:bookmarkStart w:id="146" w:name="page147"/>
    <w:bookmarkEnd w:id="146"/>
    <w:p>
      <w:pPr>
        <w:ind w:left="620" w:hanging="360"/>
        <w:spacing w:after="0"/>
        <w:tabs>
          <w:tab w:leader="none" w:pos="6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granted after the date of initial issuance of the Notes of such series, created in favor of the registered holders of the Notes of such series;</w:t>
      </w:r>
    </w:p>
    <w:p>
      <w:pPr>
        <w:spacing w:after="0" w:line="144" w:lineRule="exact"/>
        <w:rPr>
          <w:rFonts w:ascii="Times New Roman" w:cs="Times New Roman" w:eastAsia="Times New Roman" w:hAnsi="Times New Roman"/>
          <w:sz w:val="17"/>
          <w:szCs w:val="17"/>
          <w:color w:val="auto"/>
        </w:rPr>
      </w:pPr>
    </w:p>
    <w:p>
      <w:pPr>
        <w:ind w:left="520" w:right="60" w:hanging="260"/>
        <w:spacing w:after="0" w:line="223" w:lineRule="auto"/>
        <w:tabs>
          <w:tab w:leader="none" w:pos="62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43" w:lineRule="exact"/>
        <w:rPr>
          <w:rFonts w:ascii="Times New Roman" w:cs="Times New Roman" w:eastAsia="Times New Roman" w:hAnsi="Times New Roman"/>
          <w:sz w:val="17"/>
          <w:szCs w:val="17"/>
          <w:color w:val="auto"/>
        </w:rPr>
      </w:pPr>
    </w:p>
    <w:p>
      <w:pPr>
        <w:ind w:left="620" w:hanging="360"/>
        <w:spacing w:after="0"/>
        <w:tabs>
          <w:tab w:leader="none" w:pos="6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Liens.</w:t>
      </w:r>
    </w:p>
    <w:p>
      <w:pPr>
        <w:spacing w:after="0" w:line="165" w:lineRule="exact"/>
        <w:rPr>
          <w:sz w:val="20"/>
          <w:szCs w:val="20"/>
          <w:color w:val="auto"/>
        </w:rPr>
      </w:pPr>
    </w:p>
    <w:p>
      <w:pPr>
        <w:ind w:firstLine="509"/>
        <w:spacing w:after="0" w:line="217" w:lineRule="auto"/>
        <w:rPr>
          <w:sz w:val="20"/>
          <w:szCs w:val="20"/>
          <w:color w:val="auto"/>
        </w:rPr>
      </w:pPr>
      <w:r>
        <w:rPr>
          <w:rFonts w:ascii="Times New Roman" w:cs="Times New Roman" w:eastAsia="Times New Roman" w:hAnsi="Times New Roman"/>
          <w:sz w:val="17"/>
          <w:szCs w:val="17"/>
          <w:color w:val="auto"/>
        </w:rPr>
        <w:t>Notwithstanding the restrictions above, any Obligor may, without securing the Notes of any series, create or incur Liens which would otherwise be subject to the restrictions set forth above, if after giving effect to those Liens, the Obligor’s Aggregate Debt together with the Aggregate Debt of each other Obligor does not exceed the greater of (i) 15% of the Issuer’s Consolidated Net Worth calculated as of the date of the creation or incurrence of the Lien and (ii) 15% of the Issuer’s Consolidated Net Worth calculated as of the date of initial issuance of the Notes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 on Sale and Lease-Back Transactions</w:t>
      </w:r>
    </w:p>
    <w:p>
      <w:pPr>
        <w:spacing w:after="0" w:line="169" w:lineRule="exact"/>
        <w:rPr>
          <w:sz w:val="20"/>
          <w:szCs w:val="20"/>
          <w:color w:val="auto"/>
        </w:rPr>
      </w:pPr>
    </w:p>
    <w:p>
      <w:pPr>
        <w:ind w:right="40" w:firstLine="509"/>
        <w:spacing w:after="0" w:line="238" w:lineRule="auto"/>
        <w:rPr>
          <w:sz w:val="20"/>
          <w:szCs w:val="20"/>
          <w:color w:val="auto"/>
        </w:rPr>
      </w:pPr>
      <w:r>
        <w:rPr>
          <w:rFonts w:ascii="Times New Roman" w:cs="Times New Roman" w:eastAsia="Times New Roman" w:hAnsi="Times New Roman"/>
          <w:sz w:val="17"/>
          <w:szCs w:val="17"/>
          <w:color w:val="auto"/>
        </w:rPr>
        <w:t>With respect to the Notes of each series, each Obligor will covenant under the Indenture not to enter into any sale and lease-back transaction for the sale and leasing back of any Property, whether owned at the time the Indenture is executed or acquired afterward, unless:</w:t>
      </w:r>
    </w:p>
    <w:p>
      <w:pPr>
        <w:spacing w:after="0" w:line="122" w:lineRule="exact"/>
        <w:rPr>
          <w:sz w:val="20"/>
          <w:szCs w:val="20"/>
          <w:color w:val="auto"/>
        </w:rPr>
      </w:pPr>
    </w:p>
    <w:p>
      <w:pPr>
        <w:ind w:left="480" w:hanging="220"/>
        <w:spacing w:after="0"/>
        <w:tabs>
          <w:tab w:leader="none" w:pos="48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transaction was entered into prior to the date of the initial issuance of the Notes of such series;</w:t>
      </w:r>
    </w:p>
    <w:p>
      <w:pPr>
        <w:spacing w:after="0" w:line="144"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transaction was for the sale and leasing back to such Obligor of any Property by one of its Subsidiaries;</w:t>
      </w:r>
    </w:p>
    <w:p>
      <w:pPr>
        <w:spacing w:after="0" w:line="144"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transaction involves a lease for less than three years;</w:t>
      </w:r>
    </w:p>
    <w:p>
      <w:pPr>
        <w:spacing w:after="0" w:line="165" w:lineRule="exact"/>
        <w:rPr>
          <w:rFonts w:ascii="Times New Roman" w:cs="Times New Roman" w:eastAsia="Times New Roman" w:hAnsi="Times New Roman"/>
          <w:sz w:val="17"/>
          <w:szCs w:val="17"/>
          <w:color w:val="auto"/>
        </w:rPr>
      </w:pPr>
    </w:p>
    <w:p>
      <w:pPr>
        <w:ind w:left="520" w:right="60" w:hanging="260"/>
        <w:spacing w:after="0" w:line="228" w:lineRule="auto"/>
        <w:tabs>
          <w:tab w:leader="none" w:pos="49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Obligor would be entitled to incur Indebtedness secured by a mortgage on the Property to be leased in an amount equal to the Attributable Liens with respect to such sale and lease-back transaction without equally and ratably securing the Notes of such series pursuant to the first paragraph of “—Limitation on Liens Securing Indebtedness” above; or</w:t>
      </w:r>
    </w:p>
    <w:p>
      <w:pPr>
        <w:spacing w:after="0" w:line="121" w:lineRule="exact"/>
        <w:rPr>
          <w:rFonts w:ascii="Times New Roman" w:cs="Times New Roman" w:eastAsia="Times New Roman" w:hAnsi="Times New Roman"/>
          <w:sz w:val="17"/>
          <w:szCs w:val="17"/>
          <w:color w:val="auto"/>
        </w:rPr>
      </w:pPr>
    </w:p>
    <w:p>
      <w:pPr>
        <w:jc w:val="both"/>
        <w:ind w:left="520" w:right="360" w:hanging="260"/>
        <w:spacing w:after="0" w:line="228" w:lineRule="auto"/>
        <w:tabs>
          <w:tab w:leader="none" w:pos="49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the Notes to the Trustee therefor for cancellation, such Notes to be credited at the cost thereof to the Obligor.</w:t>
      </w:r>
    </w:p>
    <w:p>
      <w:pPr>
        <w:spacing w:after="0" w:line="143" w:lineRule="exact"/>
        <w:rPr>
          <w:sz w:val="20"/>
          <w:szCs w:val="20"/>
          <w:color w:val="auto"/>
        </w:rPr>
      </w:pPr>
    </w:p>
    <w:p>
      <w:pPr>
        <w:ind w:right="80" w:firstLine="509"/>
        <w:spacing w:after="0" w:line="238" w:lineRule="auto"/>
        <w:rPr>
          <w:sz w:val="20"/>
          <w:szCs w:val="20"/>
          <w:color w:val="auto"/>
        </w:rPr>
      </w:pPr>
      <w:r>
        <w:rPr>
          <w:rFonts w:ascii="Times New Roman" w:cs="Times New Roman" w:eastAsia="Times New Roman" w:hAnsi="Times New Roman"/>
          <w:sz w:val="17"/>
          <w:szCs w:val="17"/>
          <w:color w:val="auto"/>
        </w:rPr>
        <w:t>Notwithstanding the previous paragraph (including the bulleted list), any Obligor may enter into any sale and lease-back transaction which would otherwise be subject to the foregoing</w:t>
      </w:r>
    </w:p>
    <w:p>
      <w:pPr>
        <w:sectPr>
          <w:pgSz w:w="11900" w:h="16838" w:orient="portrait"/>
          <w:cols w:equalWidth="0" w:num="1">
            <w:col w:w="11180"/>
          </w:cols>
          <w:pgMar w:left="300" w:top="1126" w:right="419" w:bottom="1440" w:gutter="0" w:footer="0" w:header="0"/>
        </w:sectPr>
      </w:pPr>
    </w:p>
    <w:bookmarkStart w:id="147" w:name="page148"/>
    <w:bookmarkEnd w:id="147"/>
    <w:p>
      <w:pPr>
        <w:ind w:right="60"/>
        <w:spacing w:after="0" w:line="228" w:lineRule="auto"/>
        <w:rPr>
          <w:sz w:val="20"/>
          <w:szCs w:val="20"/>
          <w:color w:val="auto"/>
        </w:rPr>
      </w:pPr>
      <w:r>
        <w:rPr>
          <w:rFonts w:ascii="Times New Roman" w:cs="Times New Roman" w:eastAsia="Times New Roman" w:hAnsi="Times New Roman"/>
          <w:sz w:val="17"/>
          <w:szCs w:val="17"/>
          <w:color w:val="auto"/>
        </w:rPr>
        <w:t>restrictions with respect to the Notes of any series if after giving effect thereto and at the time of determination, its Aggregate Debt together with the Aggregate Debt of all other Obligors does not exceed the greater of (i) 15% of the Issuer’s Consolidated Net Worth calculated as of the closing date of the sale and lease-back transaction and (ii) 15% of the Issuer’s Consolidated Net Worth calculated as of the date of initial issuance of the Notes of such series.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Aggregate Debt</w:t>
      </w:r>
      <w:r>
        <w:rPr>
          <w:rFonts w:ascii="Times New Roman" w:cs="Times New Roman" w:eastAsia="Times New Roman" w:hAnsi="Times New Roman"/>
          <w:sz w:val="17"/>
          <w:szCs w:val="17"/>
          <w:color w:val="auto"/>
        </w:rPr>
        <w:t>” means, with respect to an Obligor, the sum of the following as of the date of determination:</w:t>
      </w:r>
    </w:p>
    <w:p>
      <w:pPr>
        <w:spacing w:after="0" w:line="169" w:lineRule="exact"/>
        <w:rPr>
          <w:sz w:val="20"/>
          <w:szCs w:val="20"/>
          <w:color w:val="auto"/>
        </w:rPr>
      </w:pPr>
    </w:p>
    <w:p>
      <w:pPr>
        <w:ind w:right="160" w:firstLine="514"/>
        <w:spacing w:after="0" w:line="238" w:lineRule="auto"/>
        <w:tabs>
          <w:tab w:leader="none" w:pos="75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such Obligor’s Indebtedness incurred after the date of initial issuance of the Notes and secured by Liens not permitted by the first paragraph (including the bulleted list) under “—Limitation on Liens Securing Indebtedness” above; and</w:t>
      </w:r>
    </w:p>
    <w:p>
      <w:pPr>
        <w:spacing w:after="0" w:line="142" w:lineRule="exact"/>
        <w:rPr>
          <w:rFonts w:ascii="Times New Roman" w:cs="Times New Roman" w:eastAsia="Times New Roman" w:hAnsi="Times New Roman"/>
          <w:sz w:val="17"/>
          <w:szCs w:val="17"/>
          <w:color w:val="auto"/>
        </w:rPr>
      </w:pPr>
    </w:p>
    <w:p>
      <w:pPr>
        <w:ind w:right="200" w:firstLine="514"/>
        <w:spacing w:after="0" w:line="238" w:lineRule="auto"/>
        <w:tabs>
          <w:tab w:leader="none" w:pos="75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Obligor’s Attributable Liens in respect of sale and lease-back transactions entered into after the date of the initial issuance of the Notes pursuant to the last paragraph under “—Limitation on Sale and Lease-Back Transactions” above.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Attributable Liens</w:t>
      </w:r>
      <w:r>
        <w:rPr>
          <w:rFonts w:ascii="Times New Roman" w:cs="Times New Roman" w:eastAsia="Times New Roman" w:hAnsi="Times New Roman"/>
          <w:sz w:val="17"/>
          <w:szCs w:val="17"/>
          <w:color w:val="auto"/>
        </w:rPr>
        <w:t>” means in connection with a sale and lease-back transaction of an Obligor the lesser of:</w:t>
      </w:r>
    </w:p>
    <w:p>
      <w:pPr>
        <w:spacing w:after="0" w:line="169" w:lineRule="exact"/>
        <w:rPr>
          <w:sz w:val="20"/>
          <w:szCs w:val="20"/>
          <w:color w:val="auto"/>
        </w:rPr>
      </w:pPr>
    </w:p>
    <w:p>
      <w:pPr>
        <w:ind w:right="520" w:firstLine="514"/>
        <w:spacing w:after="0" w:line="238" w:lineRule="auto"/>
        <w:tabs>
          <w:tab w:leader="none" w:pos="75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market value of the assets subject to such transaction (as determined in good faith by the board of directors (in the case of the Issuer) or the equivalent governing body (in the case of any Guarantor)); and</w:t>
      </w:r>
    </w:p>
    <w:p>
      <w:pPr>
        <w:spacing w:after="0" w:line="142" w:lineRule="exact"/>
        <w:rPr>
          <w:rFonts w:ascii="Times New Roman" w:cs="Times New Roman" w:eastAsia="Times New Roman" w:hAnsi="Times New Roman"/>
          <w:sz w:val="17"/>
          <w:szCs w:val="17"/>
          <w:color w:val="auto"/>
        </w:rPr>
      </w:pPr>
    </w:p>
    <w:p>
      <w:pPr>
        <w:jc w:val="both"/>
        <w:ind w:right="300" w:firstLine="514"/>
        <w:spacing w:after="0" w:line="267" w:lineRule="auto"/>
        <w:tabs>
          <w:tab w:leader="none" w:pos="75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present value (discounted at a rate per annum equal to the average interest borne by all outstanding Notes of each series issued under the Indenture determined on a weighted average basis and compounded semi-annually) of the obligations of the lessee for rental payments during the term of the related lease.</w:t>
      </w:r>
    </w:p>
    <w:p>
      <w:pPr>
        <w:spacing w:after="0" w:line="117" w:lineRule="exact"/>
        <w:rPr>
          <w:sz w:val="20"/>
          <w:szCs w:val="20"/>
          <w:color w:val="auto"/>
        </w:rPr>
      </w:pPr>
    </w:p>
    <w:p>
      <w:pPr>
        <w:jc w:val="both"/>
        <w:ind w:right="40" w:firstLine="509"/>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Capital Lease</w:t>
      </w:r>
      <w:r>
        <w:rPr>
          <w:rFonts w:ascii="Times New Roman" w:cs="Times New Roman" w:eastAsia="Times New Roman" w:hAnsi="Times New Roman"/>
          <w:sz w:val="17"/>
          <w:szCs w:val="17"/>
          <w:color w:val="auto"/>
        </w:rPr>
        <w:t>” means any Indebtedness represented by a lease obligation of a Person incurred with respect to real property or equipment acquired or leased by such Person and used in its business that would be required to be recorded as a capital lease in accordance with GAAP as in effect as of the date of the Indenture, whether entered into before or after the date of the Indenture.</w:t>
      </w:r>
    </w:p>
    <w:p>
      <w:pPr>
        <w:spacing w:after="0" w:line="13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Net Worth</w:t>
      </w:r>
      <w:r>
        <w:rPr>
          <w:rFonts w:ascii="Times New Roman" w:cs="Times New Roman" w:eastAsia="Times New Roman" w:hAnsi="Times New Roman"/>
          <w:sz w:val="17"/>
          <w:szCs w:val="17"/>
          <w:color w:val="auto"/>
        </w:rPr>
        <w:t>” of any Person means, as of any date of determination, the stockholders’ equity or members’ capital of such Person as reflected on the most recent consolidated balance sheet of such Person and prepared in accordance with GAAP.</w:t>
      </w:r>
    </w:p>
    <w:p>
      <w:pPr>
        <w:spacing w:after="0" w:line="136" w:lineRule="exact"/>
        <w:rPr>
          <w:sz w:val="20"/>
          <w:szCs w:val="20"/>
          <w:color w:val="auto"/>
        </w:rPr>
      </w:pPr>
    </w:p>
    <w:p>
      <w:pPr>
        <w:ind w:right="80" w:firstLine="509"/>
        <w:spacing w:after="0" w:line="22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Hedging Obligations</w:t>
      </w:r>
      <w:r>
        <w:rPr>
          <w:rFonts w:ascii="Times New Roman" w:cs="Times New Roman" w:eastAsia="Times New Roman" w:hAnsi="Times New Roman"/>
          <w:sz w:val="17"/>
          <w:szCs w:val="17"/>
          <w:color w:val="auto"/>
        </w:rPr>
        <w:t>” means, with respect to any specified Person, the obligations of such Person under:</w:t>
      </w:r>
    </w:p>
    <w:p>
      <w:pPr>
        <w:spacing w:after="0" w:line="169" w:lineRule="exact"/>
        <w:rPr>
          <w:sz w:val="20"/>
          <w:szCs w:val="20"/>
          <w:color w:val="auto"/>
        </w:rPr>
      </w:pPr>
    </w:p>
    <w:p>
      <w:pPr>
        <w:ind w:right="300" w:firstLine="514"/>
        <w:spacing w:after="0" w:line="238" w:lineRule="auto"/>
        <w:tabs>
          <w:tab w:leader="none" w:pos="75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swap agreements (whether from fixed to floating or from floating to fixed), interest rate cap agreements, interest rate lock agreements and interest rate collar agreements;</w:t>
      </w:r>
    </w:p>
    <w:p>
      <w:pPr>
        <w:sectPr>
          <w:pgSz w:w="11900" w:h="16838" w:orient="portrait"/>
          <w:cols w:equalWidth="0" w:num="1">
            <w:col w:w="11260"/>
          </w:cols>
          <w:pgMar w:left="300" w:top="1127" w:right="339" w:bottom="1440" w:gutter="0" w:footer="0" w:header="0"/>
        </w:sectPr>
      </w:pPr>
    </w:p>
    <w:bookmarkStart w:id="148" w:name="page149"/>
    <w:bookmarkEnd w:id="148"/>
    <w:p>
      <w:pPr>
        <w:ind w:left="760" w:hanging="246"/>
        <w:spacing w:after="0"/>
        <w:tabs>
          <w:tab w:leader="none" w:pos="76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agreements or arrangements designed to manage interest rates or interest rate risk;</w:t>
      </w:r>
    </w:p>
    <w:p>
      <w:pPr>
        <w:spacing w:after="0" w:line="16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agreements or arrangements designed to protect such Person against fluctuations in currency exchange rates or commodity prices; and</w:t>
      </w:r>
    </w:p>
    <w:p>
      <w:pPr>
        <w:spacing w:after="0" w:line="16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agreements or arrangements designed to protect such Person against fluctuations in equity prices.</w:t>
      </w:r>
    </w:p>
    <w:p>
      <w:pPr>
        <w:spacing w:after="0" w:line="161" w:lineRule="exact"/>
        <w:rPr>
          <w:sz w:val="20"/>
          <w:szCs w:val="20"/>
          <w:color w:val="auto"/>
        </w:rPr>
      </w:pPr>
    </w:p>
    <w:p>
      <w:pPr>
        <w:ind w:right="60" w:firstLine="509"/>
        <w:spacing w:after="0" w:line="22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4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Lien</w:t>
      </w:r>
      <w:r>
        <w:rPr>
          <w:rFonts w:ascii="Times New Roman" w:cs="Times New Roman" w:eastAsia="Times New Roman" w:hAnsi="Times New Roman"/>
          <w:sz w:val="17"/>
          <w:szCs w:val="17"/>
          <w:color w:val="auto"/>
        </w:rPr>
        <w:t>” means any lien, security interest, charge or encumbrance of any kind (including any conditional sale or other title retention agreement, any lease in the nature thereof, and any agreement to give any security interest).</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Obligor</w:t>
      </w:r>
      <w:r>
        <w:rPr>
          <w:rFonts w:ascii="Times New Roman" w:cs="Times New Roman" w:eastAsia="Times New Roman" w:hAnsi="Times New Roman"/>
          <w:sz w:val="17"/>
          <w:szCs w:val="17"/>
          <w:color w:val="auto"/>
        </w:rPr>
        <w:t>” means each of the Issuer and each Guarantor.</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Liens</w:t>
      </w:r>
      <w:r>
        <w:rPr>
          <w:rFonts w:ascii="Times New Roman" w:cs="Times New Roman" w:eastAsia="Times New Roman" w:hAnsi="Times New Roman"/>
          <w:sz w:val="17"/>
          <w:szCs w:val="17"/>
          <w:color w:val="auto"/>
        </w:rPr>
        <w:t>” means, with respect to an Obligor:</w:t>
      </w:r>
    </w:p>
    <w:p>
      <w:pPr>
        <w:spacing w:after="0" w:line="169" w:lineRule="exact"/>
        <w:rPr>
          <w:sz w:val="20"/>
          <w:szCs w:val="20"/>
          <w:color w:val="auto"/>
        </w:rPr>
      </w:pPr>
    </w:p>
    <w:p>
      <w:pPr>
        <w:jc w:val="both"/>
        <w:ind w:firstLine="514"/>
        <w:spacing w:after="0" w:line="228" w:lineRule="auto"/>
        <w:tabs>
          <w:tab w:leader="none" w:pos="75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any of the applicable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3" w:lineRule="exact"/>
        <w:rPr>
          <w:sz w:val="20"/>
          <w:szCs w:val="20"/>
          <w:color w:val="auto"/>
        </w:rPr>
      </w:pPr>
    </w:p>
    <w:p>
      <w:pPr>
        <w:ind w:right="20" w:firstLine="509"/>
        <w:spacing w:after="0" w:line="218" w:lineRule="auto"/>
        <w:rPr>
          <w:sz w:val="20"/>
          <w:szCs w:val="20"/>
          <w:color w:val="auto"/>
        </w:rPr>
      </w:pPr>
      <w:r>
        <w:rPr>
          <w:rFonts w:ascii="Times New Roman" w:cs="Times New Roman" w:eastAsia="Times New Roman" w:hAnsi="Times New Roman"/>
          <w:sz w:val="17"/>
          <w:szCs w:val="17"/>
          <w:color w:val="auto"/>
        </w:rPr>
        <w:t>(2)(a)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(a) the Liens shall be given within 24 months after such acquisition and shall attach solely to the Property acquired or purchased and any improvements then or thereafter placed thereon, (b)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(c) all renewals, extensions, refinancings, replacements or refundings of such obligations under this clause (2);</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(3) Liens in favor of customs and revenue authorities arising as a matter of law to secure payment of customs duties in connection with the importation of</w:t>
      </w:r>
    </w:p>
    <w:p>
      <w:pPr>
        <w:spacing w:after="0"/>
        <w:rPr>
          <w:sz w:val="20"/>
          <w:szCs w:val="20"/>
          <w:color w:val="auto"/>
        </w:rPr>
      </w:pPr>
      <w:r>
        <w:rPr>
          <w:rFonts w:ascii="Times New Roman" w:cs="Times New Roman" w:eastAsia="Times New Roman" w:hAnsi="Times New Roman"/>
          <w:sz w:val="17"/>
          <w:szCs w:val="17"/>
          <w:color w:val="auto"/>
        </w:rPr>
        <w:t>goods;</w:t>
      </w:r>
    </w:p>
    <w:p>
      <w:pPr>
        <w:spacing w:after="0" w:line="147" w:lineRule="exact"/>
        <w:rPr>
          <w:sz w:val="20"/>
          <w:szCs w:val="20"/>
          <w:color w:val="auto"/>
        </w:rPr>
      </w:pPr>
    </w:p>
    <w:p>
      <w:pPr>
        <w:ind w:right="200" w:firstLine="514"/>
        <w:spacing w:after="0" w:line="238" w:lineRule="auto"/>
        <w:tabs>
          <w:tab w:leader="none" w:pos="75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for taxes not yet due or that are being contested in good faith by appropriate proceedings, provided that adequate reserves with respect thereto are maintained on such Obligor’s books in conformity with GAAP;</w:t>
      </w:r>
    </w:p>
    <w:p>
      <w:pPr>
        <w:spacing w:after="0" w:line="142" w:lineRule="exact"/>
        <w:rPr>
          <w:rFonts w:ascii="Times New Roman" w:cs="Times New Roman" w:eastAsia="Times New Roman" w:hAnsi="Times New Roman"/>
          <w:sz w:val="17"/>
          <w:szCs w:val="17"/>
          <w:color w:val="auto"/>
        </w:rPr>
      </w:pPr>
    </w:p>
    <w:p>
      <w:pPr>
        <w:ind w:firstLine="514"/>
        <w:spacing w:after="0" w:line="238" w:lineRule="auto"/>
        <w:tabs>
          <w:tab w:leader="none" w:pos="75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securing reimbursement obligations with respect to letters of credit that encumber documents and other Property relating to such letters of credit and the products and proceeds thereof;</w:t>
      </w:r>
    </w:p>
    <w:p>
      <w:pPr>
        <w:sectPr>
          <w:pgSz w:w="11900" w:h="16838" w:orient="portrait"/>
          <w:cols w:equalWidth="0" w:num="1">
            <w:col w:w="11260"/>
          </w:cols>
          <w:pgMar w:left="300" w:top="1126" w:right="339" w:bottom="1440" w:gutter="0" w:footer="0" w:header="0"/>
        </w:sectPr>
      </w:pPr>
    </w:p>
    <w:bookmarkStart w:id="149" w:name="page150"/>
    <w:bookmarkEnd w:id="149"/>
    <w:p>
      <w:pPr>
        <w:ind w:left="-514" w:right="160" w:firstLine="514"/>
        <w:spacing w:after="0" w:line="228" w:lineRule="auto"/>
        <w:tabs>
          <w:tab w:leader="none" w:pos="23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encumbering customary initial deposits and margin deposits and other Liens in the ordinary course of business, in each case securing Hedging Obligations and forward contracts, options, futures contracts, futures options, swaps, equity hedges or similar agreements or arrangements designed to protect such Obligor from fluctuations in interest rates, currencies, equities or the price of commodities;</w:t>
      </w:r>
    </w:p>
    <w:p>
      <w:pPr>
        <w:spacing w:after="0" w:line="143" w:lineRule="exact"/>
        <w:rPr>
          <w:rFonts w:ascii="Times New Roman" w:cs="Times New Roman" w:eastAsia="Times New Roman" w:hAnsi="Times New Roman"/>
          <w:sz w:val="17"/>
          <w:szCs w:val="17"/>
          <w:color w:val="auto"/>
        </w:rPr>
      </w:pPr>
    </w:p>
    <w:p>
      <w:pPr>
        <w:ind w:left="246" w:hanging="246"/>
        <w:spacing w:after="0"/>
        <w:tabs>
          <w:tab w:leader="none" w:pos="24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the Issuer or any Guarantor;</w:t>
      </w:r>
    </w:p>
    <w:p>
      <w:pPr>
        <w:spacing w:after="0" w:line="165" w:lineRule="exact"/>
        <w:rPr>
          <w:rFonts w:ascii="Times New Roman" w:cs="Times New Roman" w:eastAsia="Times New Roman" w:hAnsi="Times New Roman"/>
          <w:sz w:val="17"/>
          <w:szCs w:val="17"/>
          <w:color w:val="auto"/>
        </w:rPr>
      </w:pPr>
    </w:p>
    <w:p>
      <w:pPr>
        <w:ind w:left="-514" w:firstLine="514"/>
        <w:spacing w:after="0" w:line="228" w:lineRule="auto"/>
        <w:tabs>
          <w:tab w:leader="none" w:pos="23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3" w:lineRule="exact"/>
        <w:rPr>
          <w:rFonts w:ascii="Times New Roman" w:cs="Times New Roman" w:eastAsia="Times New Roman" w:hAnsi="Times New Roman"/>
          <w:sz w:val="17"/>
          <w:szCs w:val="17"/>
          <w:color w:val="auto"/>
        </w:rPr>
      </w:pPr>
    </w:p>
    <w:p>
      <w:pPr>
        <w:ind w:left="-514" w:right="440" w:firstLine="514"/>
        <w:spacing w:after="0" w:line="238" w:lineRule="auto"/>
        <w:tabs>
          <w:tab w:leader="none" w:pos="23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42" w:lineRule="exact"/>
        <w:rPr>
          <w:rFonts w:ascii="Times New Roman" w:cs="Times New Roman" w:eastAsia="Times New Roman" w:hAnsi="Times New Roman"/>
          <w:sz w:val="17"/>
          <w:szCs w:val="17"/>
          <w:color w:val="auto"/>
        </w:rPr>
      </w:pPr>
    </w:p>
    <w:p>
      <w:pPr>
        <w:ind w:left="-514" w:right="380" w:firstLine="514"/>
        <w:spacing w:after="0" w:line="238" w:lineRule="auto"/>
        <w:tabs>
          <w:tab w:leader="none" w:pos="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consisting of pledges or deposits to secure obligations under workers’ compensation laws or similar legislation, including Liens of judgments thereunder which are not currently dischargeable;</w:t>
      </w:r>
    </w:p>
    <w:p>
      <w:pPr>
        <w:spacing w:after="0" w:line="142" w:lineRule="exact"/>
        <w:rPr>
          <w:rFonts w:ascii="Times New Roman" w:cs="Times New Roman" w:eastAsia="Times New Roman" w:hAnsi="Times New Roman"/>
          <w:sz w:val="17"/>
          <w:szCs w:val="17"/>
          <w:color w:val="auto"/>
        </w:rPr>
      </w:pPr>
    </w:p>
    <w:p>
      <w:pPr>
        <w:jc w:val="both"/>
        <w:ind w:left="-514" w:right="60" w:firstLine="514"/>
        <w:spacing w:after="0" w:line="228" w:lineRule="auto"/>
        <w:tabs>
          <w:tab w:leader="none" w:pos="314"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3" w:lineRule="exact"/>
        <w:rPr>
          <w:rFonts w:ascii="Times New Roman" w:cs="Times New Roman" w:eastAsia="Times New Roman" w:hAnsi="Times New Roman"/>
          <w:sz w:val="17"/>
          <w:szCs w:val="17"/>
          <w:color w:val="auto"/>
        </w:rPr>
      </w:pPr>
    </w:p>
    <w:p>
      <w:pPr>
        <w:ind w:left="326" w:hanging="326"/>
        <w:spacing w:after="0"/>
        <w:tabs>
          <w:tab w:leader="none" w:pos="32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consisting of deposits of Property to secure such Obligor’s statutory obligations in the ordinary course of its business;</w:t>
      </w:r>
    </w:p>
    <w:p>
      <w:pPr>
        <w:spacing w:after="0" w:line="165" w:lineRule="exact"/>
        <w:rPr>
          <w:rFonts w:ascii="Times New Roman" w:cs="Times New Roman" w:eastAsia="Times New Roman" w:hAnsi="Times New Roman"/>
          <w:sz w:val="17"/>
          <w:szCs w:val="17"/>
          <w:color w:val="auto"/>
        </w:rPr>
      </w:pPr>
    </w:p>
    <w:p>
      <w:pPr>
        <w:ind w:left="-514" w:right="200" w:firstLine="514"/>
        <w:spacing w:after="0" w:line="219" w:lineRule="auto"/>
        <w:tabs>
          <w:tab w:leader="none" w:pos="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consisting of deposits of Property to secure (or in lieu of) surety, appeal or customs bonds in proceedings to which such Obligor is a party in the ordinary course of its business, but not in excess of $25,000,000;</w:t>
      </w:r>
    </w:p>
    <w:p>
      <w:pPr>
        <w:ind w:left="326" w:hanging="326"/>
        <w:spacing w:after="0"/>
        <w:tabs>
          <w:tab w:leader="none" w:pos="32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“margin stock” (as defined in Regulation U of the Board of Governors of the Federal Reserve System);</w:t>
      </w:r>
    </w:p>
    <w:p>
      <w:pPr>
        <w:spacing w:after="0" w:line="147" w:lineRule="exact"/>
        <w:rPr>
          <w:rFonts w:ascii="Times New Roman" w:cs="Times New Roman" w:eastAsia="Times New Roman" w:hAnsi="Times New Roman"/>
          <w:sz w:val="17"/>
          <w:szCs w:val="17"/>
          <w:color w:val="auto"/>
        </w:rPr>
      </w:pPr>
    </w:p>
    <w:p>
      <w:pPr>
        <w:ind w:left="-514" w:right="300" w:firstLine="514"/>
        <w:spacing w:after="0" w:line="238" w:lineRule="auto"/>
        <w:tabs>
          <w:tab w:leader="none" w:pos="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permitted under sale and lease-back transactions, and any renewals or extensions thereof, so long as the Indebtedness secured thereby does not exceed $300,000,000 in the aggregate;</w:t>
      </w:r>
    </w:p>
    <w:p>
      <w:pPr>
        <w:spacing w:after="0" w:line="142" w:lineRule="exact"/>
        <w:rPr>
          <w:rFonts w:ascii="Times New Roman" w:cs="Times New Roman" w:eastAsia="Times New Roman" w:hAnsi="Times New Roman"/>
          <w:sz w:val="17"/>
          <w:szCs w:val="17"/>
          <w:color w:val="auto"/>
        </w:rPr>
      </w:pPr>
    </w:p>
    <w:p>
      <w:pPr>
        <w:ind w:left="-514" w:right="20" w:firstLine="514"/>
        <w:spacing w:after="0" w:line="238" w:lineRule="auto"/>
        <w:tabs>
          <w:tab w:leader="none" w:pos="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in connection with asset securitization transactions, so long as the aggregate outstanding principal amount of the obligations of all Obligors secured thereby does not exceed $300,000,000 at any one time;</w:t>
      </w:r>
    </w:p>
    <w:p>
      <w:pPr>
        <w:spacing w:after="0" w:line="142" w:lineRule="exact"/>
        <w:rPr>
          <w:rFonts w:ascii="Times New Roman" w:cs="Times New Roman" w:eastAsia="Times New Roman" w:hAnsi="Times New Roman"/>
          <w:sz w:val="17"/>
          <w:szCs w:val="17"/>
          <w:color w:val="auto"/>
        </w:rPr>
      </w:pPr>
    </w:p>
    <w:p>
      <w:pPr>
        <w:ind w:left="326" w:hanging="326"/>
        <w:spacing w:after="0"/>
        <w:tabs>
          <w:tab w:leader="none" w:pos="32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securing Specified Non-Recourse Debt;</w:t>
      </w:r>
    </w:p>
    <w:p>
      <w:pPr>
        <w:spacing w:after="0" w:line="165" w:lineRule="exact"/>
        <w:rPr>
          <w:rFonts w:ascii="Times New Roman" w:cs="Times New Roman" w:eastAsia="Times New Roman" w:hAnsi="Times New Roman"/>
          <w:sz w:val="17"/>
          <w:szCs w:val="17"/>
          <w:color w:val="auto"/>
        </w:rPr>
      </w:pPr>
    </w:p>
    <w:p>
      <w:pPr>
        <w:ind w:left="-514" w:right="120" w:firstLine="514"/>
        <w:spacing w:after="0" w:line="228" w:lineRule="auto"/>
        <w:tabs>
          <w:tab w:leader="none" w:pos="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43" w:lineRule="exact"/>
        <w:rPr>
          <w:rFonts w:ascii="Times New Roman" w:cs="Times New Roman" w:eastAsia="Times New Roman" w:hAnsi="Times New Roman"/>
          <w:sz w:val="17"/>
          <w:szCs w:val="17"/>
          <w:color w:val="auto"/>
        </w:rPr>
      </w:pPr>
    </w:p>
    <w:p>
      <w:pPr>
        <w:ind w:left="326" w:hanging="326"/>
        <w:spacing w:after="0"/>
        <w:tabs>
          <w:tab w:leader="none" w:pos="32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Take-or-pay obligations arising in the ordinary course of business.</w:t>
      </w:r>
    </w:p>
    <w:p>
      <w:pPr>
        <w:sectPr>
          <w:pgSz w:w="11900" w:h="16838" w:orient="portrait"/>
          <w:cols w:equalWidth="0" w:num="1">
            <w:col w:w="10726"/>
          </w:cols>
          <w:pgMar w:left="814" w:top="1127" w:right="359" w:bottom="1440" w:gutter="0" w:footer="0" w:header="0"/>
        </w:sectPr>
      </w:pPr>
    </w:p>
    <w:bookmarkStart w:id="150" w:name="page151"/>
    <w:bookmarkEnd w:id="150"/>
    <w:p>
      <w:pPr>
        <w:ind w:right="300" w:firstLine="509"/>
        <w:spacing w:after="0" w:line="22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ind w:left="520"/>
        <w:spacing w:after="0" w:line="21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means with respect to any Person any property or asset, whether real, personal or mixed, or tangible or intangible, including shares of capital</w:t>
      </w:r>
    </w:p>
    <w:p>
      <w:pPr>
        <w:spacing w:after="0"/>
        <w:rPr>
          <w:sz w:val="20"/>
          <w:szCs w:val="20"/>
          <w:color w:val="auto"/>
        </w:rPr>
      </w:pPr>
      <w:r>
        <w:rPr>
          <w:rFonts w:ascii="Times New Roman" w:cs="Times New Roman" w:eastAsia="Times New Roman" w:hAnsi="Times New Roman"/>
          <w:sz w:val="17"/>
          <w:szCs w:val="17"/>
          <w:color w:val="auto"/>
        </w:rPr>
        <w:t>stock.</w:t>
      </w:r>
    </w:p>
    <w:p>
      <w:pPr>
        <w:spacing w:after="0" w:line="143"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Non-Recourse Debt</w:t>
      </w:r>
      <w:r>
        <w:rPr>
          <w:rFonts w:ascii="Times New Roman" w:cs="Times New Roman" w:eastAsia="Times New Roman" w:hAnsi="Times New Roman"/>
          <w:sz w:val="16"/>
          <w:szCs w:val="16"/>
          <w:color w:val="auto"/>
        </w:rPr>
        <w:t>” means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13" w:lineRule="exact"/>
        <w:rPr>
          <w:sz w:val="20"/>
          <w:szCs w:val="20"/>
          <w:color w:val="auto"/>
        </w:rPr>
      </w:pPr>
    </w:p>
    <w:p>
      <w:pPr>
        <w:ind w:right="80" w:firstLine="509"/>
        <w:spacing w:after="0" w:line="22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Consolidation, Merger and Sale of Assets</w:t>
      </w:r>
    </w:p>
    <w:p>
      <w:pPr>
        <w:spacing w:after="0" w:line="169" w:lineRule="exact"/>
        <w:rPr>
          <w:sz w:val="20"/>
          <w:szCs w:val="20"/>
          <w:color w:val="auto"/>
        </w:rPr>
      </w:pPr>
    </w:p>
    <w:p>
      <w:pPr>
        <w:ind w:right="60" w:firstLine="509"/>
        <w:spacing w:after="0" w:line="228" w:lineRule="auto"/>
        <w:rPr>
          <w:sz w:val="20"/>
          <w:szCs w:val="20"/>
          <w:color w:val="auto"/>
        </w:rPr>
      </w:pPr>
      <w:r>
        <w:rPr>
          <w:rFonts w:ascii="Times New Roman" w:cs="Times New Roman" w:eastAsia="Times New Roman" w:hAnsi="Times New Roman"/>
          <w:sz w:val="17"/>
          <w:szCs w:val="17"/>
          <w:color w:val="auto"/>
        </w:rPr>
        <w:t>The Issuer will not consolidate or combine with or merge with or into or, directly or indirectly, sell, assign, convey, lease, transfer or otherwise dispose of all or substantially all of the Issuer’s assets to any Person or Persons (other than a transfer or other disposition of assets to any of the Issuer’s wholly owned Subsidiaries), in a single transaction or through a series of transactions, unless:</w:t>
      </w:r>
    </w:p>
    <w:p>
      <w:pPr>
        <w:spacing w:after="0" w:line="122" w:lineRule="exact"/>
        <w:rPr>
          <w:sz w:val="20"/>
          <w:szCs w:val="20"/>
          <w:color w:val="auto"/>
        </w:rPr>
      </w:pPr>
    </w:p>
    <w:p>
      <w:pPr>
        <w:jc w:val="both"/>
        <w:ind w:left="520" w:hanging="260"/>
        <w:spacing w:after="0" w:line="228" w:lineRule="auto"/>
        <w:tabs>
          <w:tab w:leader="none" w:pos="494"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shall be the continuing Person or, if the Issuer is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121" w:lineRule="exact"/>
        <w:rPr>
          <w:rFonts w:ascii="Times New Roman" w:cs="Times New Roman" w:eastAsia="Times New Roman" w:hAnsi="Times New Roman"/>
          <w:sz w:val="17"/>
          <w:szCs w:val="17"/>
          <w:color w:val="auto"/>
        </w:rPr>
      </w:pPr>
    </w:p>
    <w:p>
      <w:pPr>
        <w:ind w:left="520" w:right="260" w:hanging="260"/>
        <w:spacing w:after="0" w:line="238" w:lineRule="auto"/>
        <w:tabs>
          <w:tab w:leader="none" w:pos="494"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surviving entity will expressly assume all of the Issuer’s obligations under the Notes and the Indenture and will execute a supplemental indenture, in a form satisfactory to the Trustee, which will be delivered to the Trustee;</w:t>
      </w:r>
    </w:p>
    <w:p>
      <w:pPr>
        <w:spacing w:after="0" w:line="121"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such transaction or series of transactions on a pro forma basis, no default has occurred and is continuing; and</w:t>
      </w:r>
    </w:p>
    <w:p>
      <w:pPr>
        <w:spacing w:after="0" w:line="144" w:lineRule="exact"/>
        <w:rPr>
          <w:rFonts w:ascii="Times New Roman" w:cs="Times New Roman" w:eastAsia="Times New Roman" w:hAnsi="Times New Roman"/>
          <w:sz w:val="17"/>
          <w:szCs w:val="17"/>
          <w:color w:val="auto"/>
        </w:rPr>
      </w:pPr>
    </w:p>
    <w:p>
      <w:pPr>
        <w:ind w:left="520" w:right="60" w:hanging="260"/>
        <w:spacing w:after="0" w:line="228" w:lineRule="auto"/>
        <w:tabs>
          <w:tab w:leader="none" w:pos="494"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restrictions in the third bullet above shall not be applicable to:</w:t>
      </w:r>
    </w:p>
    <w:p>
      <w:pPr>
        <w:spacing w:after="0" w:line="144" w:lineRule="exact"/>
        <w:rPr>
          <w:sz w:val="20"/>
          <w:szCs w:val="20"/>
          <w:color w:val="auto"/>
        </w:rPr>
      </w:pPr>
    </w:p>
    <w:p>
      <w:pPr>
        <w:ind w:left="520" w:right="280" w:hanging="260"/>
        <w:spacing w:after="0" w:line="238" w:lineRule="auto"/>
        <w:tabs>
          <w:tab w:leader="none" w:pos="494"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or consolidation of the Issuer with an affiliate if the Issuer’s board of directors, determines in good faith that the purpose of such transaction is principally to change the Issuer’s state of incorporation or convert the Issuer’s form of organization to another form; or</w:t>
      </w:r>
    </w:p>
    <w:p>
      <w:pPr>
        <w:sectPr>
          <w:pgSz w:w="11900" w:h="16838" w:orient="portrait"/>
          <w:cols w:equalWidth="0" w:num="1">
            <w:col w:w="11200"/>
          </w:cols>
          <w:pgMar w:left="300" w:top="1313" w:right="399" w:bottom="1440" w:gutter="0" w:footer="0" w:header="0"/>
        </w:sectPr>
      </w:pPr>
    </w:p>
    <w:bookmarkStart w:id="151" w:name="page152"/>
    <w:bookmarkEnd w:id="151"/>
    <w:p>
      <w:pPr>
        <w:ind w:left="520" w:right="340" w:hanging="260"/>
        <w:spacing w:after="0" w:line="228" w:lineRule="auto"/>
        <w:tabs>
          <w:tab w:leader="none" w:pos="494"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of the Issuer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the Issuer’s state of incorporation).</w:t>
      </w:r>
    </w:p>
    <w:p>
      <w:pPr>
        <w:spacing w:after="0" w:line="143" w:lineRule="exact"/>
        <w:rPr>
          <w:sz w:val="20"/>
          <w:szCs w:val="20"/>
          <w:color w:val="auto"/>
        </w:rPr>
      </w:pPr>
    </w:p>
    <w:p>
      <w:pPr>
        <w:ind w:firstLine="509"/>
        <w:spacing w:after="0" w:line="223" w:lineRule="auto"/>
        <w:rPr>
          <w:sz w:val="20"/>
          <w:szCs w:val="20"/>
          <w:color w:val="auto"/>
        </w:rPr>
      </w:pPr>
      <w:r>
        <w:rPr>
          <w:rFonts w:ascii="Times New Roman" w:cs="Times New Roman" w:eastAsia="Times New Roman" w:hAnsi="Times New Roman"/>
          <w:sz w:val="17"/>
          <w:szCs w:val="17"/>
          <w:color w:val="auto"/>
        </w:rPr>
        <w:t>If any consolidation or merger or any sale, assignment, conveyance, lease, transfer or other disposition of all or substantially all of the Issuer’s assets occurs in accordance with the Indenture, the successor person will succeed to, and be substituted for, and may exercise every right and power of ours under the Indenture with the same effect as if such successor person had been named in the Issuer’s place in the Indenture. The Issuer will (except in the case of a lease) be discharged from all obligations and covenants under the Indenture and any debt securities issued thereunder (including the Notes).</w:t>
      </w:r>
    </w:p>
    <w:p>
      <w:pPr>
        <w:spacing w:after="0" w:line="143" w:lineRule="exact"/>
        <w:rPr>
          <w:sz w:val="20"/>
          <w:szCs w:val="20"/>
          <w:color w:val="auto"/>
        </w:rPr>
      </w:pPr>
    </w:p>
    <w:p>
      <w:pPr>
        <w:ind w:right="20" w:firstLine="509"/>
        <w:spacing w:after="0" w:line="228" w:lineRule="auto"/>
        <w:rPr>
          <w:sz w:val="20"/>
          <w:szCs w:val="20"/>
          <w:color w:val="auto"/>
        </w:rPr>
      </w:pPr>
      <w:r>
        <w:rPr>
          <w:rFonts w:ascii="Times New Roman" w:cs="Times New Roman" w:eastAsia="Times New Roman" w:hAnsi="Times New Roman"/>
          <w:sz w:val="17"/>
          <w:szCs w:val="17"/>
          <w:color w:val="auto"/>
        </w:rPr>
        <w:t>Existence. Except as permitted under “—Consolidation, Merger and Sale of Assets,” the Indenture requires the Issuer to do or cause to be done all things necessary to preserve and keep in full force and effect the Issuer’s existence, rights and franchises; provided, however, that the Issuer shall not be required to preserve any right or franchise if the Issuer determines that its preservation is no longer desirable in the conduct of business.</w:t>
      </w:r>
    </w:p>
    <w:p>
      <w:pPr>
        <w:spacing w:after="0" w:line="143" w:lineRule="exact"/>
        <w:rPr>
          <w:sz w:val="20"/>
          <w:szCs w:val="20"/>
          <w:color w:val="auto"/>
        </w:rPr>
      </w:pPr>
    </w:p>
    <w:p>
      <w:pPr>
        <w:ind w:right="120" w:firstLine="509"/>
        <w:spacing w:after="0" w:line="212" w:lineRule="auto"/>
        <w:rPr>
          <w:sz w:val="20"/>
          <w:szCs w:val="20"/>
          <w:color w:val="auto"/>
        </w:rPr>
      </w:pPr>
      <w:r>
        <w:rPr>
          <w:rFonts w:ascii="Times New Roman" w:cs="Times New Roman" w:eastAsia="Times New Roman" w:hAnsi="Times New Roman"/>
          <w:sz w:val="17"/>
          <w:szCs w:val="17"/>
          <w:color w:val="auto"/>
        </w:rPr>
        <w:t>Information. The Issuer will furnish to the Trustee any document or report the Issuer is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rPr>
          <w:sz w:val="20"/>
          <w:szCs w:val="20"/>
          <w:color w:val="auto"/>
        </w:rPr>
      </w:pPr>
      <w:r>
        <w:rPr>
          <w:rFonts w:ascii="Times New Roman" w:cs="Times New Roman" w:eastAsia="Times New Roman" w:hAnsi="Times New Roman"/>
          <w:sz w:val="17"/>
          <w:szCs w:val="17"/>
          <w:b w:val="1"/>
          <w:bCs w:val="1"/>
          <w:color w:val="auto"/>
        </w:rPr>
        <w:t>Modification and Waiver</w:t>
      </w:r>
    </w:p>
    <w:p>
      <w:pPr>
        <w:spacing w:after="0" w:line="147" w:lineRule="exact"/>
        <w:rPr>
          <w:sz w:val="20"/>
          <w:szCs w:val="20"/>
          <w:color w:val="auto"/>
        </w:rPr>
      </w:pPr>
    </w:p>
    <w:p>
      <w:pPr>
        <w:ind w:right="320" w:firstLine="509"/>
        <w:spacing w:after="0" w:line="238" w:lineRule="auto"/>
        <w:rPr>
          <w:sz w:val="20"/>
          <w:szCs w:val="20"/>
          <w:color w:val="auto"/>
        </w:rPr>
      </w:pPr>
      <w:r>
        <w:rPr>
          <w:rFonts w:ascii="Times New Roman" w:cs="Times New Roman" w:eastAsia="Times New Roman" w:hAnsi="Times New Roman"/>
          <w:sz w:val="17"/>
          <w:szCs w:val="17"/>
          <w:color w:val="auto"/>
        </w:rPr>
        <w:t>The Issuer, the Guarantors and the Trustee may amend or modify the Indenture or the Notes of any series without notice to or the consent of any holder in order to:</w:t>
      </w:r>
    </w:p>
    <w:p>
      <w:pPr>
        <w:spacing w:after="0" w:line="122" w:lineRule="exact"/>
        <w:rPr>
          <w:sz w:val="20"/>
          <w:szCs w:val="20"/>
          <w:color w:val="auto"/>
        </w:rPr>
      </w:pPr>
    </w:p>
    <w:p>
      <w:pPr>
        <w:ind w:left="520" w:right="500" w:hanging="260"/>
        <w:spacing w:after="0" w:line="238" w:lineRule="auto"/>
        <w:tabs>
          <w:tab w:leader="none" w:pos="494"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cure any ambiguities, omissions, defects or inconsistencies in the Indenture in a manner that does not adversely affect the interests of the holders in any material respect;</w:t>
      </w:r>
    </w:p>
    <w:p>
      <w:pPr>
        <w:spacing w:after="0" w:line="121"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that would provide any additional rights or benefits to the holders of the Notes;</w:t>
      </w:r>
    </w:p>
    <w:p>
      <w:pPr>
        <w:spacing w:after="0" w:line="144"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or add guarantors with respect to the Notes;</w:t>
      </w:r>
    </w:p>
    <w:p>
      <w:pPr>
        <w:spacing w:after="0" w:line="144"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secure the Notes of any series;</w:t>
      </w:r>
    </w:p>
    <w:p>
      <w:pPr>
        <w:spacing w:after="0" w:line="144"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the form or terms of Notes of any series;</w:t>
      </w:r>
    </w:p>
    <w:p>
      <w:pPr>
        <w:spacing w:after="0" w:line="144"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uncertificated Notes in addition to or in place of certificated Notes;</w:t>
      </w:r>
    </w:p>
    <w:p>
      <w:pPr>
        <w:spacing w:after="0" w:line="144"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and provide for the acceptance of appointment by a successor trustee;</w:t>
      </w:r>
    </w:p>
    <w:p>
      <w:pPr>
        <w:spacing w:after="0" w:line="144" w:lineRule="exact"/>
        <w:rPr>
          <w:rFonts w:ascii="Times New Roman" w:cs="Times New Roman" w:eastAsia="Times New Roman" w:hAnsi="Times New Roman"/>
          <w:sz w:val="17"/>
          <w:szCs w:val="17"/>
          <w:color w:val="auto"/>
        </w:rPr>
      </w:pPr>
    </w:p>
    <w:p>
      <w:pPr>
        <w:ind w:left="520" w:right="360" w:hanging="260"/>
        <w:spacing w:after="0" w:line="238" w:lineRule="auto"/>
        <w:tabs>
          <w:tab w:leader="none" w:pos="494"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the assumption by the Issuer’s successor, if any, to the Issuer’s or their obligations to holders of any outstanding Notes in compliance with the applicable provisions of the Indenture;</w:t>
      </w:r>
    </w:p>
    <w:p>
      <w:pPr>
        <w:sectPr>
          <w:pgSz w:w="11900" w:h="16838" w:orient="portrait"/>
          <w:cols w:equalWidth="0" w:num="1">
            <w:col w:w="11280"/>
          </w:cols>
          <w:pgMar w:left="300" w:top="1126" w:right="319" w:bottom="1440" w:gutter="0" w:footer="0" w:header="0"/>
        </w:sectPr>
      </w:pPr>
    </w:p>
    <w:bookmarkStart w:id="152" w:name="page153"/>
    <w:bookmarkEnd w:id="152"/>
    <w:p>
      <w:pPr>
        <w:ind w:left="480" w:hanging="220"/>
        <w:spacing w:after="0"/>
        <w:tabs>
          <w:tab w:leader="none" w:pos="48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qualify the Indenture under the Trust Indenture Act;</w:t>
      </w:r>
    </w:p>
    <w:p>
      <w:pPr>
        <w:spacing w:after="0" w:line="144" w:lineRule="exact"/>
        <w:rPr>
          <w:rFonts w:ascii="Times New Roman" w:cs="Times New Roman" w:eastAsia="Times New Roman" w:hAnsi="Times New Roman"/>
          <w:sz w:val="17"/>
          <w:szCs w:val="17"/>
          <w:color w:val="auto"/>
        </w:rPr>
      </w:pPr>
    </w:p>
    <w:p>
      <w:pPr>
        <w:ind w:left="520" w:right="400" w:hanging="260"/>
        <w:spacing w:after="0" w:line="238" w:lineRule="auto"/>
        <w:tabs>
          <w:tab w:leader="none" w:pos="494"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conform any provision in the Indenture or the terms of the securities of any series to the prospectus, offering memorandum, offering circular or any other document pursuant to which the securities of such series were offered; or</w:t>
      </w:r>
    </w:p>
    <w:p>
      <w:pPr>
        <w:spacing w:after="0" w:line="142"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that does not adversely affect the rights of any holder in any material respect.</w:t>
      </w:r>
    </w:p>
    <w:p>
      <w:pPr>
        <w:spacing w:after="0" w:line="165" w:lineRule="exact"/>
        <w:rPr>
          <w:sz w:val="20"/>
          <w:szCs w:val="20"/>
          <w:color w:val="auto"/>
        </w:rPr>
      </w:pPr>
    </w:p>
    <w:p>
      <w:pPr>
        <w:ind w:firstLine="509"/>
        <w:spacing w:after="0" w:line="218" w:lineRule="auto"/>
        <w:rPr>
          <w:sz w:val="20"/>
          <w:szCs w:val="20"/>
          <w:color w:val="auto"/>
        </w:rPr>
      </w:pPr>
      <w:r>
        <w:rPr>
          <w:rFonts w:ascii="Times New Roman" w:cs="Times New Roman" w:eastAsia="Times New Roman" w:hAnsi="Times New Roman"/>
          <w:sz w:val="17"/>
          <w:szCs w:val="17"/>
          <w:color w:val="auto"/>
        </w:rPr>
        <w:t>Other amendments and modifications of the Indenture or the Notes of any series may be made with the consent of the holders of not less than a majority in aggregate principal amount of the Notes of all series and the debt securities of all other series outstanding under the Indenture that are affected by the amendment or modification (voting together as a single class), and the Issuer’s compliance with any provision of the Indenture with respect to the debt securities of any series issued under the Indenture (including the Notes) may be waived by written notice to the Issuer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123" w:lineRule="exact"/>
        <w:rPr>
          <w:sz w:val="20"/>
          <w:szCs w:val="20"/>
          <w:color w:val="auto"/>
        </w:rPr>
      </w:pPr>
    </w:p>
    <w:p>
      <w:pPr>
        <w:ind w:left="480" w:hanging="220"/>
        <w:spacing w:after="0"/>
        <w:tabs>
          <w:tab w:leader="none" w:pos="4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or extend the fixed maturity, of the Notes of such series or alter or waive the redemption provisions of the Notes of such series;</w:t>
      </w:r>
    </w:p>
    <w:p>
      <w:pPr>
        <w:spacing w:after="0" w:line="144" w:lineRule="exact"/>
        <w:rPr>
          <w:rFonts w:ascii="Times New Roman" w:cs="Times New Roman" w:eastAsia="Times New Roman" w:hAnsi="Times New Roman"/>
          <w:sz w:val="17"/>
          <w:szCs w:val="17"/>
          <w:color w:val="auto"/>
        </w:rPr>
      </w:pPr>
    </w:p>
    <w:p>
      <w:pPr>
        <w:ind w:left="520" w:right="160" w:hanging="260"/>
        <w:spacing w:after="0" w:line="238" w:lineRule="auto"/>
        <w:tabs>
          <w:tab w:leader="none" w:pos="49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 the right of any holder of the Notes of such series to receive payment of principal or interest on the Notes of such series on and after the due dates for such principal or interest;</w:t>
      </w:r>
    </w:p>
    <w:p>
      <w:pPr>
        <w:spacing w:after="0" w:line="121"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currency in which principal, any premium or interest is paid;</w:t>
      </w:r>
    </w:p>
    <w:p>
      <w:pPr>
        <w:spacing w:after="0" w:line="144" w:lineRule="exact"/>
        <w:rPr>
          <w:rFonts w:ascii="Times New Roman" w:cs="Times New Roman" w:eastAsia="Times New Roman" w:hAnsi="Times New Roman"/>
          <w:sz w:val="17"/>
          <w:szCs w:val="17"/>
          <w:color w:val="auto"/>
        </w:rPr>
      </w:pPr>
    </w:p>
    <w:p>
      <w:pPr>
        <w:ind w:left="520" w:right="120" w:hanging="260"/>
        <w:spacing w:after="0" w:line="238" w:lineRule="auto"/>
        <w:tabs>
          <w:tab w:leader="none" w:pos="49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percentage in principal amount outstanding of Notes of such series which must consent to an amendment, supplement or waiver or consent to take any action;</w:t>
      </w:r>
    </w:p>
    <w:p>
      <w:pPr>
        <w:spacing w:after="0" w:line="121"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 the right to institute suit for the enforcement of any payment on the Notes of such series;</w:t>
      </w:r>
    </w:p>
    <w:p>
      <w:pPr>
        <w:spacing w:after="0" w:line="144"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payment default with respect to the Notes of such series;</w:t>
      </w:r>
    </w:p>
    <w:p>
      <w:pPr>
        <w:spacing w:after="0" w:line="144"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interest rate or extend the time for payment of interest on the Notes of such series; or</w:t>
      </w:r>
    </w:p>
    <w:p>
      <w:pPr>
        <w:spacing w:after="0" w:line="144" w:lineRule="exact"/>
        <w:rPr>
          <w:rFonts w:ascii="Times New Roman" w:cs="Times New Roman" w:eastAsia="Times New Roman" w:hAnsi="Times New Roman"/>
          <w:sz w:val="17"/>
          <w:szCs w:val="17"/>
          <w:color w:val="auto"/>
        </w:rPr>
      </w:pPr>
    </w:p>
    <w:p>
      <w:pPr>
        <w:ind w:left="480" w:hanging="220"/>
        <w:spacing w:after="0"/>
        <w:tabs>
          <w:tab w:leader="none" w:pos="4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the ranking of the Notes of such series.</w:t>
      </w:r>
    </w:p>
    <w:p>
      <w:pPr>
        <w:spacing w:after="0" w:line="165"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An amendment, supplemental indenture or waiver which changes, eliminates or waives any covenant or other provision of the Indenture which has expressly been included solely for the benefit of one or more particular series of the Notes, or which modifies the rights of the holders of the Notes of such series with respect to such covenant or other provision, shall be deemed not to affect the rights under the Indenture of the holders of debt securities of any other series.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Each of the following will constitute an event of default in the Indenture with respect to the Notes of any series:</w:t>
      </w:r>
    </w:p>
    <w:p>
      <w:pPr>
        <w:sectPr>
          <w:pgSz w:w="11900" w:h="16838" w:orient="portrait"/>
          <w:cols w:equalWidth="0" w:num="1">
            <w:col w:w="11280"/>
          </w:cols>
          <w:pgMar w:left="300" w:top="1127" w:right="319" w:bottom="1440" w:gutter="0" w:footer="0" w:header="0"/>
        </w:sectPr>
      </w:pPr>
    </w:p>
    <w:bookmarkStart w:id="153" w:name="page154"/>
    <w:bookmarkEnd w:id="153"/>
    <w:p>
      <w:pPr>
        <w:ind w:left="620" w:hanging="360"/>
        <w:spacing w:after="0"/>
        <w:tabs>
          <w:tab w:leader="none" w:pos="6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paying interest on the Notes of such series when it becomes due and the default continues for a period of 30 days or more;</w:t>
      </w:r>
    </w:p>
    <w:p>
      <w:pPr>
        <w:ind w:left="620" w:hanging="360"/>
        <w:spacing w:after="0" w:line="208" w:lineRule="auto"/>
        <w:tabs>
          <w:tab w:leader="none" w:pos="6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paying principal on the Notes of such series when due;</w:t>
      </w:r>
    </w:p>
    <w:p>
      <w:pPr>
        <w:ind w:left="520" w:right="20" w:hanging="260"/>
        <w:spacing w:after="0" w:line="208" w:lineRule="auto"/>
        <w:tabs>
          <w:tab w:leader="none" w:pos="60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by any Obligor in the performance, or breach, of any covenant in the Indenture (other than defaults specified in clause (a) or (b) above) and the default or breach continues for a period of 90 days or more after the Issuer receives written notice from the Trustee or the Issuer and the Trustee receive notice from the holders of at least 25% in aggregate principal amount of the Notes of all affected series and the debt securities of all other affected series outstanding under the Indenture (voting together as a single class);</w:t>
      </w:r>
    </w:p>
    <w:p>
      <w:pPr>
        <w:spacing w:after="0" w:line="1" w:lineRule="exact"/>
        <w:rPr>
          <w:rFonts w:ascii="Times New Roman" w:cs="Times New Roman" w:eastAsia="Times New Roman" w:hAnsi="Times New Roman"/>
          <w:sz w:val="17"/>
          <w:szCs w:val="17"/>
          <w:color w:val="auto"/>
        </w:rPr>
      </w:pPr>
    </w:p>
    <w:p>
      <w:pPr>
        <w:ind w:left="620" w:hanging="360"/>
        <w:spacing w:after="0" w:line="208" w:lineRule="auto"/>
        <w:tabs>
          <w:tab w:leader="none" w:pos="6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reorganization, administration or similar proceedings with respect to the Issuer or any Obligor have occurred; or</w:t>
      </w:r>
    </w:p>
    <w:p>
      <w:pPr>
        <w:ind w:left="620" w:hanging="360"/>
        <w:spacing w:after="0"/>
        <w:tabs>
          <w:tab w:leader="none" w:pos="6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Guarantee shall not be (or shall be claimed by the relevant Guarantor not to be) in full force and effect.</w:t>
      </w:r>
    </w:p>
    <w:p>
      <w:pPr>
        <w:spacing w:after="0" w:line="147" w:lineRule="exact"/>
        <w:rPr>
          <w:sz w:val="20"/>
          <w:szCs w:val="20"/>
          <w:color w:val="auto"/>
        </w:rPr>
      </w:pPr>
    </w:p>
    <w:p>
      <w:pPr>
        <w:ind w:right="140" w:firstLine="509"/>
        <w:spacing w:after="0" w:line="223" w:lineRule="auto"/>
        <w:rPr>
          <w:sz w:val="20"/>
          <w:szCs w:val="20"/>
          <w:color w:val="auto"/>
        </w:rPr>
      </w:pPr>
      <w:r>
        <w:rPr>
          <w:rFonts w:ascii="Times New Roman" w:cs="Times New Roman" w:eastAsia="Times New Roman" w:hAnsi="Times New Roman"/>
          <w:sz w:val="17"/>
          <w:szCs w:val="17"/>
          <w:color w:val="auto"/>
        </w:rPr>
        <w:t>If an event of default (other than an event of default specified in clause (d) above) under the Indenture occurs and is continuing, then the Trustee may and, at the direction of the holders of at least 25% in aggregate principal amount of the Notes of all affected series and the debt securities of all other affected series outstanding under the Indenture (voting together as a single class), will by written notice, require the Issuer to repay immediately the entire principal amount of the outstanding debt securities of each affected series, together with all accrued and unpaid interest.</w:t>
      </w:r>
    </w:p>
    <w:p>
      <w:pPr>
        <w:spacing w:after="0" w:line="143" w:lineRule="exact"/>
        <w:rPr>
          <w:sz w:val="20"/>
          <w:szCs w:val="20"/>
          <w:color w:val="auto"/>
        </w:rPr>
      </w:pPr>
    </w:p>
    <w:p>
      <w:pPr>
        <w:ind w:right="460" w:firstLine="509"/>
        <w:spacing w:after="0" w:line="238" w:lineRule="auto"/>
        <w:rPr>
          <w:sz w:val="20"/>
          <w:szCs w:val="20"/>
          <w:color w:val="auto"/>
        </w:rPr>
      </w:pPr>
      <w:r>
        <w:rPr>
          <w:rFonts w:ascii="Times New Roman" w:cs="Times New Roman" w:eastAsia="Times New Roman" w:hAnsi="Times New Roman"/>
          <w:sz w:val="17"/>
          <w:szCs w:val="17"/>
          <w:color w:val="auto"/>
        </w:rPr>
        <w:t>If an event of default under the Indenture specified in clause (d) occurs and is continuing, then the entire principal amount of the outstanding Notes will automatically become due immediately and payable without any declaration or other act on the part of the Trustee or any holder.</w:t>
      </w:r>
    </w:p>
    <w:p>
      <w:pPr>
        <w:spacing w:after="0" w:line="143" w:lineRule="exact"/>
        <w:rPr>
          <w:sz w:val="20"/>
          <w:szCs w:val="20"/>
          <w:color w:val="auto"/>
        </w:rPr>
      </w:pPr>
    </w:p>
    <w:p>
      <w:pPr>
        <w:ind w:firstLine="509"/>
        <w:spacing w:after="0" w:line="218" w:lineRule="auto"/>
        <w:rPr>
          <w:sz w:val="20"/>
          <w:szCs w:val="20"/>
          <w:color w:val="auto"/>
        </w:rPr>
      </w:pPr>
      <w:r>
        <w:rPr>
          <w:rFonts w:ascii="Times New Roman" w:cs="Times New Roman" w:eastAsia="Times New Roman" w:hAnsi="Times New Roman"/>
          <w:sz w:val="17"/>
          <w:szCs w:val="17"/>
          <w:color w:val="auto"/>
        </w:rPr>
        <w:t>After a declaration of acceleration or any automatic acceleration under clause (d) described above, the holders of a majority in principal amount of the outstanding Notes of any series (each such series voting as a separate class) may rescind this accelerated payment requirement with respect to the Notes of such series if all existing events of default with respect to the Notes of such series, except for nonpayment of the principal and interest on the Notes of such series that have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144" w:lineRule="exact"/>
        <w:rPr>
          <w:sz w:val="20"/>
          <w:szCs w:val="20"/>
          <w:color w:val="auto"/>
        </w:rPr>
      </w:pPr>
    </w:p>
    <w:p>
      <w:pPr>
        <w:ind w:right="200" w:firstLine="509"/>
        <w:spacing w:after="0" w:line="223" w:lineRule="auto"/>
        <w:rPr>
          <w:sz w:val="20"/>
          <w:szCs w:val="20"/>
          <w:color w:val="auto"/>
        </w:rPr>
      </w:pPr>
      <w:r>
        <w:rPr>
          <w:rFonts w:ascii="Times New Roman" w:cs="Times New Roman" w:eastAsia="Times New Roman" w:hAnsi="Times New Roman"/>
          <w:sz w:val="17"/>
          <w:szCs w:val="17"/>
          <w:color w:val="auto"/>
        </w:rPr>
        <w:t>The holders of a majority in principal amount of the Notes of all affected series and the debt securities of all other affected series outstanding under the Indenture (voting together as a single class) may, by written notice to the Issuer and the Trustee, also waive past defaults, except a default in paying principal or interest on any outstanding senior debt security of such series, or in respect of a covenant or a provision that cannot be modified or amended without the consent of all affected holders of the Notes of such series.</w:t>
      </w:r>
    </w:p>
    <w:p>
      <w:pPr>
        <w:spacing w:after="0" w:line="143" w:lineRule="exact"/>
        <w:rPr>
          <w:sz w:val="20"/>
          <w:szCs w:val="20"/>
          <w:color w:val="auto"/>
        </w:rPr>
      </w:pPr>
    </w:p>
    <w:p>
      <w:pPr>
        <w:ind w:right="40" w:firstLine="509"/>
        <w:spacing w:after="0" w:line="228" w:lineRule="auto"/>
        <w:rPr>
          <w:sz w:val="20"/>
          <w:szCs w:val="20"/>
          <w:color w:val="auto"/>
        </w:rPr>
      </w:pPr>
      <w:r>
        <w:rPr>
          <w:rFonts w:ascii="Times New Roman" w:cs="Times New Roman" w:eastAsia="Times New Roman" w:hAnsi="Times New Roman"/>
          <w:sz w:val="17"/>
          <w:szCs w:val="17"/>
          <w:color w:val="auto"/>
        </w:rPr>
        <w:t>The holders of at least 25% in aggregate principal amount of the Notes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w:t>
      </w:r>
    </w:p>
    <w:p>
      <w:pPr>
        <w:sectPr>
          <w:pgSz w:w="11900" w:h="16838" w:orient="portrait"/>
          <w:cols w:equalWidth="0" w:num="1">
            <w:col w:w="11280"/>
          </w:cols>
          <w:pgMar w:left="300" w:top="1119" w:right="319" w:bottom="1440" w:gutter="0" w:footer="0" w:header="0"/>
        </w:sectPr>
      </w:pPr>
    </w:p>
    <w:bookmarkStart w:id="154" w:name="page155"/>
    <w:bookmarkEnd w:id="154"/>
    <w:p>
      <w:pPr>
        <w:spacing w:after="0" w:line="228" w:lineRule="auto"/>
        <w:rPr>
          <w:sz w:val="20"/>
          <w:szCs w:val="20"/>
          <w:color w:val="auto"/>
        </w:rPr>
      </w:pPr>
      <w:r>
        <w:rPr>
          <w:rFonts w:ascii="Times New Roman" w:cs="Times New Roman" w:eastAsia="Times New Roman" w:hAnsi="Times New Roman"/>
          <w:sz w:val="17"/>
          <w:szCs w:val="17"/>
          <w:color w:val="auto"/>
        </w:rPr>
        <w:t>offer of indemnity. In addition, within this 60-day period the Trustee must not have received directions inconsistent with this written request by holders of a majority in principal amount of the Notes of all affected series and the debt securities of all other affected series then outstanding. These limitations do not apply, however, to a suit instituted by a holder of the Notes of any affected series for the enforcement of the payment of principal or interest on or after the due dates for such payment.</w:t>
      </w:r>
    </w:p>
    <w:p>
      <w:pPr>
        <w:spacing w:after="0" w:line="143" w:lineRule="exact"/>
        <w:rPr>
          <w:sz w:val="20"/>
          <w:szCs w:val="20"/>
          <w:color w:val="auto"/>
        </w:rPr>
      </w:pPr>
    </w:p>
    <w:p>
      <w:pPr>
        <w:ind w:right="20" w:firstLine="509"/>
        <w:spacing w:after="0" w:line="217" w:lineRule="auto"/>
        <w:rPr>
          <w:sz w:val="20"/>
          <w:szCs w:val="20"/>
          <w:color w:val="auto"/>
        </w:rPr>
      </w:pPr>
      <w:r>
        <w:rPr>
          <w:rFonts w:ascii="Times New Roman" w:cs="Times New Roman" w:eastAsia="Times New Roman" w:hAnsi="Times New Roman"/>
          <w:sz w:val="17"/>
          <w:szCs w:val="17"/>
          <w:color w:val="auto"/>
        </w:rPr>
        <w:t>During the existence of an event of default of which a responsible officer of the Trustee has actual knowledge or has received written notice from the Issuer or any holder of the Notes,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Notes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142" w:lineRule="exact"/>
        <w:rPr>
          <w:sz w:val="20"/>
          <w:szCs w:val="20"/>
          <w:color w:val="auto"/>
        </w:rPr>
      </w:pPr>
    </w:p>
    <w:p>
      <w:pPr>
        <w:ind w:right="40" w:firstLine="509"/>
        <w:spacing w:after="0" w:line="228" w:lineRule="auto"/>
        <w:rPr>
          <w:sz w:val="20"/>
          <w:szCs w:val="20"/>
          <w:color w:val="auto"/>
        </w:rPr>
      </w:pPr>
      <w:r>
        <w:rPr>
          <w:rFonts w:ascii="Times New Roman" w:cs="Times New Roman" w:eastAsia="Times New Roman" w:hAnsi="Times New Roman"/>
          <w:sz w:val="17"/>
          <w:szCs w:val="17"/>
          <w:color w:val="auto"/>
        </w:rPr>
        <w:t>The Trustee will, within 90 days after any default occurs with respect to the Notes of any series, give notice of the default to the holders of the Notes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43" w:lineRule="exact"/>
        <w:rPr>
          <w:sz w:val="20"/>
          <w:szCs w:val="20"/>
          <w:color w:val="auto"/>
        </w:rPr>
      </w:pPr>
    </w:p>
    <w:p>
      <w:pPr>
        <w:ind w:right="60" w:firstLine="509"/>
        <w:spacing w:after="0" w:line="238" w:lineRule="auto"/>
        <w:rPr>
          <w:sz w:val="20"/>
          <w:szCs w:val="20"/>
          <w:color w:val="auto"/>
        </w:rPr>
      </w:pPr>
      <w:r>
        <w:rPr>
          <w:rFonts w:ascii="Times New Roman" w:cs="Times New Roman" w:eastAsia="Times New Roman" w:hAnsi="Times New Roman"/>
          <w:sz w:val="17"/>
          <w:szCs w:val="17"/>
          <w:color w:val="auto"/>
        </w:rPr>
        <w:t>The Issuer is required to furnish to the Trustee an annual statement as to compliance with all conditions and covenants under the Indenture within 120 days of the end of each fiscal year.</w:t>
      </w:r>
    </w:p>
    <w:p>
      <w:pPr>
        <w:sectPr>
          <w:pgSz w:w="11900" w:h="16838" w:orient="portrait"/>
          <w:cols w:equalWidth="0" w:num="1">
            <w:col w:w="11280"/>
          </w:cols>
          <w:pgMar w:left="300" w:top="1127" w:right="31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COMCAST CORPORATION</w:t>
      </w:r>
    </w:p>
    <w:p>
      <w:pPr>
        <w:jc w:val="center"/>
        <w:spacing w:after="0"/>
        <w:rPr>
          <w:sz w:val="20"/>
          <w:szCs w:val="20"/>
          <w:color w:val="auto"/>
        </w:rPr>
      </w:pPr>
      <w:r>
        <w:rPr>
          <w:rFonts w:ascii="Times New Roman" w:cs="Times New Roman" w:eastAsia="Times New Roman" w:hAnsi="Times New Roman"/>
          <w:sz w:val="17"/>
          <w:szCs w:val="17"/>
          <w:b w:val="1"/>
          <w:bCs w:val="1"/>
          <w:color w:val="auto"/>
        </w:rPr>
        <w:t>2005 DEFERRED COMPENSATION PLAN</w:t>
      </w:r>
    </w:p>
    <w:p>
      <w:pPr>
        <w:spacing w:after="0" w:line="122" w:lineRule="exact"/>
        <w:rPr>
          <w:sz w:val="20"/>
          <w:szCs w:val="20"/>
          <w:color w:val="auto"/>
        </w:rPr>
      </w:pPr>
    </w:p>
    <w:p>
      <w:pPr>
        <w:ind w:left="1020" w:right="3440" w:firstLine="2428"/>
        <w:spacing w:after="0" w:line="419" w:lineRule="auto"/>
        <w:rPr>
          <w:sz w:val="20"/>
          <w:szCs w:val="20"/>
          <w:color w:val="auto"/>
        </w:rPr>
      </w:pPr>
      <w:r>
        <w:rPr>
          <w:rFonts w:ascii="Times New Roman" w:cs="Times New Roman" w:eastAsia="Times New Roman" w:hAnsi="Times New Roman"/>
          <w:sz w:val="17"/>
          <w:szCs w:val="17"/>
          <w:b w:val="1"/>
          <w:bCs w:val="1"/>
          <w:color w:val="auto"/>
        </w:rPr>
        <w:t xml:space="preserve">ARTICLE 1 </w:t>
      </w:r>
      <w:r>
        <w:rPr>
          <w:rFonts w:ascii="Times New Roman" w:cs="Times New Roman" w:eastAsia="Times New Roman" w:hAnsi="Times New Roman"/>
          <w:sz w:val="17"/>
          <w:szCs w:val="17"/>
          <w:color w:val="auto"/>
        </w:rPr>
        <w:t>– BACKGROUND AND COVERAGE OF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Background and Adoption of Plan</w:t>
      </w:r>
      <w:r>
        <w:rPr>
          <w:rFonts w:ascii="Times New Roman" w:cs="Times New Roman" w:eastAsia="Times New Roman" w:hAnsi="Times New Roman"/>
          <w:sz w:val="17"/>
          <w:szCs w:val="17"/>
          <w:color w:val="auto"/>
        </w:rPr>
        <w:t>.</w:t>
      </w:r>
    </w:p>
    <w:p>
      <w:pPr>
        <w:ind w:right="40" w:firstLine="1528"/>
        <w:spacing w:after="0" w:line="223"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Amendment and Restatement of the Plan</w:t>
      </w:r>
      <w:r>
        <w:rPr>
          <w:rFonts w:ascii="Times New Roman" w:cs="Times New Roman" w:eastAsia="Times New Roman" w:hAnsi="Times New Roman"/>
          <w:sz w:val="17"/>
          <w:szCs w:val="17"/>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effective February 28, 2023 (the “Restatement Effective Date”).</w:t>
      </w:r>
    </w:p>
    <w:p>
      <w:pPr>
        <w:spacing w:after="0" w:line="122" w:lineRule="exact"/>
        <w:rPr>
          <w:sz w:val="20"/>
          <w:szCs w:val="20"/>
          <w:color w:val="auto"/>
        </w:rPr>
      </w:pPr>
    </w:p>
    <w:p>
      <w:pPr>
        <w:ind w:right="60" w:firstLine="1528"/>
        <w:spacing w:after="0" w:line="218"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u w:val="single" w:color="auto"/>
          <w:color w:val="auto"/>
        </w:rPr>
        <w:t>Prior Deferred Compensation Plan</w:t>
      </w:r>
      <w:r>
        <w:rPr>
          <w:rFonts w:ascii="Times New Roman" w:cs="Times New Roman" w:eastAsia="Times New Roman" w:hAnsi="Times New Roman"/>
          <w:sz w:val="17"/>
          <w:szCs w:val="17"/>
          <w:color w:val="auto"/>
        </w:rPr>
        <w:t>. The Comcast Corporation 2002 Deferred Compensation Plan (the “Prior DC Plan”) holds deferred compensation amounts credited before January 1, 2005 and income, gains, and losses credited with respect to such amounts. To preserve the favorable tax treatment available to deferrals under the Prior DC Plan in light of the enactment of Section 409A, the Board has amended the Prior DC Plan to suspend deferrals under the Prior DC Plan of deferred compensation amounts earned and vested on and after January 1, 2005. Amounts earned and vested prior to January 1, 2005 are and will remain subject to the terms of the Prior DC Plan. Amounts earned and vested on and after January 1, 2005 will be available to be deferred pursuant to the Plan, subject to its terms and conditions.</w:t>
      </w:r>
    </w:p>
    <w:p>
      <w:pPr>
        <w:spacing w:after="0" w:line="123" w:lineRule="exact"/>
        <w:rPr>
          <w:sz w:val="20"/>
          <w:szCs w:val="20"/>
          <w:color w:val="auto"/>
        </w:rPr>
      </w:pPr>
    </w:p>
    <w:p>
      <w:pPr>
        <w:ind w:left="1540"/>
        <w:spacing w:after="0"/>
        <w:tabs>
          <w:tab w:leader="none" w:pos="2060" w:val="left"/>
        </w:tabs>
        <w:rPr>
          <w:sz w:val="20"/>
          <w:szCs w:val="20"/>
          <w:color w:val="auto"/>
        </w:rPr>
      </w:pPr>
      <w:r>
        <w:rPr>
          <w:rFonts w:ascii="Times New Roman" w:cs="Times New Roman" w:eastAsia="Times New Roman" w:hAnsi="Times New Roman"/>
          <w:sz w:val="17"/>
          <w:szCs w:val="17"/>
          <w:color w:val="auto"/>
        </w:rPr>
        <w:t>1.1.3.</w:t>
      </w:r>
      <w:r>
        <w:rPr>
          <w:sz w:val="20"/>
          <w:szCs w:val="20"/>
          <w:color w:val="auto"/>
        </w:rPr>
        <w:tab/>
      </w:r>
      <w:r>
        <w:rPr>
          <w:rFonts w:ascii="Times New Roman" w:cs="Times New Roman" w:eastAsia="Times New Roman" w:hAnsi="Times New Roman"/>
          <w:sz w:val="16"/>
          <w:szCs w:val="16"/>
          <w:u w:val="single" w:color="auto"/>
          <w:color w:val="auto"/>
        </w:rPr>
        <w:t>Prior Equity Plan</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right="100" w:firstLine="1533"/>
        <w:spacing w:after="0" w:line="218" w:lineRule="auto"/>
        <w:tabs>
          <w:tab w:leader="none" w:pos="2098"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compensation amounts attributable to Restricted Stock Units granted before the Restatement Effective Date, and income, gains, and losses credited with respect to such amounts, are outstanding under the Comcast Corporation 2022 Restricted Stock Plan (the “Prior Equity Plan”) and, to the extent a diversification election was made with respect thereto in accordance with the Prior Equity Plan, outstanding under the Plan (as in effect immediately prior to the Restatement Effective Date), and will remain subject to the terms of the Prior Equity Plan (and, to the extent a diversification election was made with respect thereto, the terms of the Plan, as in effect immediately prior to the Restatement Effective Date). Restricted Stock Units granted on or after the Restatement Effective Date (and income, gains and losses thereon) shall be subject to initial deferral elections and subsequent deferral elections as provided in this Plan.</w:t>
      </w:r>
    </w:p>
    <w:p>
      <w:pPr>
        <w:spacing w:after="0" w:line="122" w:lineRule="exact"/>
        <w:rPr>
          <w:rFonts w:ascii="Times New Roman" w:cs="Times New Roman" w:eastAsia="Times New Roman" w:hAnsi="Times New Roman"/>
          <w:sz w:val="17"/>
          <w:szCs w:val="17"/>
          <w:color w:val="auto"/>
        </w:rPr>
      </w:pPr>
    </w:p>
    <w:p>
      <w:pPr>
        <w:ind w:right="20" w:firstLine="1533"/>
        <w:spacing w:after="0" w:line="238" w:lineRule="auto"/>
        <w:tabs>
          <w:tab w:leader="none" w:pos="2108"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Participants who are RSU Deferral Eligible Employees and Non-Employee Directors may elect to defer the receipt of Restricted Stock Units granted on and after the Restatement Effective Date as provided in Part B of Article 3.</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firstLine="1528"/>
        <w:spacing w:after="0" w:line="218" w:lineRule="auto"/>
        <w:rPr>
          <w:sz w:val="20"/>
          <w:szCs w:val="20"/>
          <w:color w:val="auto"/>
        </w:rPr>
      </w:pPr>
      <w:r>
        <w:rPr>
          <w:rFonts w:ascii="Times New Roman" w:cs="Times New Roman" w:eastAsia="Times New Roman" w:hAnsi="Times New Roman"/>
          <w:sz w:val="17"/>
          <w:szCs w:val="17"/>
          <w:color w:val="auto"/>
        </w:rPr>
        <w:t>1.2.1. With respect to amounts held under the Plan that subject to Section 409A of the Code, the Plan is intended to comply with the requirements of Section 409A of the Code, and the provisions of the Plan shall be interpreted in a manner that satisfies the requirements of Section 409A of the Code, and the Plan shall be operated accordingly. If any provision of the Plan or otherwise would otherwise frustrate or conflict with this intent, the provision, term, or condition shall be interpreted and deemed amended so as to avoid this conflict. If any amount payable to a Participant under the Plan includes a “series of installment payments” (within the meaning of Treasury Regulations § 1.409A-2(b)(2)(iii)), a Participant’s right to such series of installment payments shall be treated as a right to a series of separate payments and not as a right to a single payment, and if any Award or other amount under the</w:t>
      </w:r>
    </w:p>
    <w:p>
      <w:pPr>
        <w:sectPr>
          <w:pgSz w:w="11900" w:h="16838" w:orient="portrait"/>
          <w:cols w:equalWidth="0" w:num="1">
            <w:col w:w="11280"/>
          </w:cols>
          <w:pgMar w:left="300" w:top="104" w:right="319" w:bottom="1440" w:gutter="0" w:footer="0" w:header="0"/>
        </w:sectPr>
      </w:pPr>
    </w:p>
    <w:bookmarkStart w:id="156" w:name="page157"/>
    <w:bookmarkEnd w:id="156"/>
    <w:p>
      <w:pPr>
        <w:ind w:right="20"/>
        <w:spacing w:after="0" w:line="223" w:lineRule="auto"/>
        <w:rPr>
          <w:sz w:val="20"/>
          <w:szCs w:val="20"/>
          <w:color w:val="auto"/>
        </w:rPr>
      </w:pPr>
      <w:r>
        <w:rPr>
          <w:rFonts w:ascii="Times New Roman" w:cs="Times New Roman" w:eastAsia="Times New Roman" w:hAnsi="Times New Roman"/>
          <w:sz w:val="17"/>
          <w:szCs w:val="17"/>
          <w:color w:val="auto"/>
        </w:rPr>
        <w:t>Plan includes “dividend equivalents” (within the meaning of Treasury Regulations § 1.409A-3(e)), a Participant’s right to such dividend equivalents shall be treated separately from the right to other amounts under the Award or other such amount. Notwithstanding the foregoing, the tax treatment of the benefits provided under the Plan or any applicable Award Agreement is not warranted or guaranteed, and in no event shall the Company be liable for all or any portion of any taxes, penalties, interest or other expenses that may be incurred by a Participant on account of non-compliance with Section 409A of the Code.</w:t>
      </w:r>
    </w:p>
    <w:p>
      <w:pPr>
        <w:spacing w:after="0" w:line="122" w:lineRule="exact"/>
        <w:rPr>
          <w:sz w:val="20"/>
          <w:szCs w:val="20"/>
          <w:color w:val="auto"/>
        </w:rPr>
      </w:pPr>
    </w:p>
    <w:p>
      <w:pPr>
        <w:ind w:right="20" w:firstLine="1528"/>
        <w:spacing w:after="0" w:line="228" w:lineRule="auto"/>
        <w:rPr>
          <w:sz w:val="20"/>
          <w:szCs w:val="20"/>
          <w:color w:val="auto"/>
        </w:rPr>
      </w:pPr>
      <w:r>
        <w:rPr>
          <w:rFonts w:ascii="Times New Roman" w:cs="Times New Roman" w:eastAsia="Times New Roman" w:hAnsi="Times New Roman"/>
          <w:sz w:val="17"/>
          <w:szCs w:val="17"/>
          <w:color w:val="auto"/>
        </w:rPr>
        <w:t>1.2.2. In addition to the powers reserved to the Board and the Administrator under Article 10 of the Plan, the Board and the Administrator reserve the right to amend the Plan, either retroactively or prospectively, in whatever respect is required to achieve and maintain compliance with the requirements of Section 409A.</w:t>
      </w:r>
    </w:p>
    <w:p>
      <w:pPr>
        <w:spacing w:after="0" w:line="122" w:lineRule="exact"/>
        <w:rPr>
          <w:sz w:val="20"/>
          <w:szCs w:val="20"/>
          <w:color w:val="auto"/>
        </w:rPr>
      </w:pPr>
    </w:p>
    <w:p>
      <w:pPr>
        <w:ind w:right="20" w:firstLine="1019"/>
        <w:spacing w:after="0" w:line="220"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Plan Unfunded and Limited to Non-Employee Directors, Directors Emeriti and Select Group of Management or Highly Compensated Employees</w:t>
      </w:r>
      <w:r>
        <w:rPr>
          <w:rFonts w:ascii="Times New Roman" w:cs="Times New Roman" w:eastAsia="Times New Roman" w:hAnsi="Times New Roman"/>
          <w:sz w:val="17"/>
          <w:szCs w:val="17"/>
          <w:color w:val="auto"/>
        </w:rPr>
        <w:t>. The Plan, including the deferral provisions of Article 3 and the other provisions of the Plan relating to the deferral of Restricted Stock Units, is unfunded and is maintained primarily for the purpose of providing Non-Employee Directors, Directors Emeriti and a select group of management or highly compensated employees the opportunity to defer the receipt of compensation otherwise payable to such Non-Employee Directors, Directors Emeriti and eligible employees in accordance with the terms of the Plan.</w:t>
      </w:r>
    </w:p>
    <w:p>
      <w:pPr>
        <w:spacing w:after="0" w:line="123" w:lineRule="exact"/>
        <w:rPr>
          <w:sz w:val="20"/>
          <w:szCs w:val="20"/>
          <w:color w:val="auto"/>
        </w:rPr>
      </w:pPr>
    </w:p>
    <w:p>
      <w:pPr>
        <w:ind w:right="140" w:firstLine="1019"/>
        <w:spacing w:after="0" w:line="238"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u w:val="single" w:color="auto"/>
          <w:color w:val="auto"/>
        </w:rPr>
        <w:t>References to Written Forms, Elections and Notices</w:t>
      </w:r>
      <w:r>
        <w:rPr>
          <w:rFonts w:ascii="Times New Roman" w:cs="Times New Roman" w:eastAsia="Times New Roman" w:hAnsi="Times New Roman"/>
          <w:sz w:val="17"/>
          <w:szCs w:val="17"/>
          <w:color w:val="auto"/>
        </w:rPr>
        <w:t>. Any action under the Plan that requires a written form, election, notice or other action shall be treated as completed if taken via electronic or other means, to the extent authorized by the Administrator.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ARTICLE 2 </w:t>
      </w:r>
      <w:r>
        <w:rPr>
          <w:rFonts w:ascii="Times New Roman" w:cs="Times New Roman" w:eastAsia="Times New Roman" w:hAnsi="Times New Roman"/>
          <w:sz w:val="17"/>
          <w:szCs w:val="17"/>
          <w:color w:val="auto"/>
        </w:rPr>
        <w:t>– DEFINITIONS</w:t>
      </w:r>
    </w:p>
    <w:p>
      <w:pPr>
        <w:spacing w:after="0" w:line="148" w:lineRule="exact"/>
        <w:rPr>
          <w:sz w:val="20"/>
          <w:szCs w:val="20"/>
          <w:color w:val="auto"/>
        </w:rPr>
      </w:pPr>
    </w:p>
    <w:p>
      <w:pPr>
        <w:ind w:right="20" w:firstLine="1019"/>
        <w:spacing w:after="0" w:line="228" w:lineRule="auto"/>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u w:val="single" w:color="auto"/>
          <w:color w:val="auto"/>
        </w:rPr>
        <w:t>Account</w:t>
      </w:r>
      <w:r>
        <w:rPr>
          <w:rFonts w:ascii="Times New Roman" w:cs="Times New Roman" w:eastAsia="Times New Roman" w:hAnsi="Times New Roman"/>
          <w:sz w:val="17"/>
          <w:szCs w:val="17"/>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u w:val="single" w:color="auto"/>
          <w:color w:val="auto"/>
        </w:rPr>
        <w:t>Active Participant</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ind w:left="1540"/>
        <w:spacing w:after="0"/>
        <w:tabs>
          <w:tab w:leader="none" w:pos="2060" w:val="left"/>
        </w:tabs>
        <w:rPr>
          <w:sz w:val="20"/>
          <w:szCs w:val="20"/>
          <w:color w:val="auto"/>
        </w:rPr>
      </w:pPr>
      <w:r>
        <w:rPr>
          <w:rFonts w:ascii="Times New Roman" w:cs="Times New Roman" w:eastAsia="Times New Roman" w:hAnsi="Times New Roman"/>
          <w:sz w:val="17"/>
          <w:szCs w:val="17"/>
          <w:color w:val="auto"/>
        </w:rPr>
        <w:t>2.2.1.</w:t>
      </w:r>
      <w:r>
        <w:rPr>
          <w:sz w:val="20"/>
          <w:szCs w:val="20"/>
          <w:color w:val="auto"/>
        </w:rPr>
        <w:tab/>
      </w:r>
      <w:r>
        <w:rPr>
          <w:rFonts w:ascii="Times New Roman" w:cs="Times New Roman" w:eastAsia="Times New Roman" w:hAnsi="Times New Roman"/>
          <w:sz w:val="16"/>
          <w:szCs w:val="16"/>
          <w:color w:val="auto"/>
        </w:rPr>
        <w:t>Each Participant who is in active service as a Non-Employee Director or a Director Emeritus; and</w:t>
      </w:r>
    </w:p>
    <w:p>
      <w:pPr>
        <w:spacing w:after="0" w:line="144" w:lineRule="exact"/>
        <w:rPr>
          <w:sz w:val="20"/>
          <w:szCs w:val="20"/>
          <w:color w:val="auto"/>
        </w:rPr>
      </w:pPr>
    </w:p>
    <w:p>
      <w:pPr>
        <w:ind w:left="1540"/>
        <w:spacing w:after="0"/>
        <w:tabs>
          <w:tab w:leader="none" w:pos="2060" w:val="left"/>
        </w:tabs>
        <w:rPr>
          <w:sz w:val="20"/>
          <w:szCs w:val="20"/>
          <w:color w:val="auto"/>
        </w:rPr>
      </w:pPr>
      <w:r>
        <w:rPr>
          <w:rFonts w:ascii="Times New Roman" w:cs="Times New Roman" w:eastAsia="Times New Roman" w:hAnsi="Times New Roman"/>
          <w:sz w:val="17"/>
          <w:szCs w:val="17"/>
          <w:color w:val="auto"/>
        </w:rPr>
        <w:t>2.2.2.</w:t>
      </w:r>
      <w:r>
        <w:rPr>
          <w:sz w:val="20"/>
          <w:szCs w:val="20"/>
          <w:color w:val="auto"/>
        </w:rPr>
        <w:tab/>
      </w:r>
      <w:r>
        <w:rPr>
          <w:rFonts w:ascii="Times New Roman" w:cs="Times New Roman" w:eastAsia="Times New Roman" w:hAnsi="Times New Roman"/>
          <w:sz w:val="16"/>
          <w:szCs w:val="16"/>
          <w:color w:val="auto"/>
        </w:rPr>
        <w:t>Each Participant who is actively employed by a Participating Company as an Eligible Employee.</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u w:val="single" w:color="auto"/>
          <w:color w:val="auto"/>
        </w:rPr>
        <w:t>Administrator</w:t>
      </w:r>
      <w:r>
        <w:rPr>
          <w:rFonts w:ascii="Times New Roman" w:cs="Times New Roman" w:eastAsia="Times New Roman" w:hAnsi="Times New Roman"/>
          <w:sz w:val="17"/>
          <w:szCs w:val="17"/>
          <w:color w:val="auto"/>
        </w:rPr>
        <w:t>” means the Committee or its delegate.</w:t>
      </w:r>
    </w:p>
    <w:p>
      <w:pPr>
        <w:spacing w:after="0" w:line="144" w:lineRule="exact"/>
        <w:rPr>
          <w:sz w:val="20"/>
          <w:szCs w:val="20"/>
          <w:color w:val="auto"/>
        </w:rPr>
      </w:pPr>
    </w:p>
    <w:p>
      <w:pPr>
        <w:ind w:firstLine="1019"/>
        <w:spacing w:after="0" w:line="223" w:lineRule="auto"/>
        <w:rPr>
          <w:sz w:val="20"/>
          <w:szCs w:val="20"/>
          <w:color w:val="auto"/>
        </w:rPr>
      </w:pPr>
      <w:r>
        <w:rPr>
          <w:rFonts w:ascii="Times New Roman" w:cs="Times New Roman" w:eastAsia="Times New Roman" w:hAnsi="Times New Roman"/>
          <w:sz w:val="17"/>
          <w:szCs w:val="17"/>
          <w:color w:val="auto"/>
        </w:rPr>
        <w:t>2.4.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22" w:lineRule="exact"/>
        <w:rPr>
          <w:sz w:val="20"/>
          <w:szCs w:val="20"/>
          <w:color w:val="auto"/>
        </w:rPr>
      </w:pPr>
    </w:p>
    <w:p>
      <w:pPr>
        <w:ind w:right="160" w:firstLine="1019"/>
        <w:spacing w:after="0" w:line="238" w:lineRule="auto"/>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Annual Rate of Pay</w:t>
      </w:r>
      <w:r>
        <w:rPr>
          <w:rFonts w:ascii="Times New Roman" w:cs="Times New Roman" w:eastAsia="Times New Roman" w:hAnsi="Times New Roman"/>
          <w:sz w:val="17"/>
          <w:szCs w:val="17"/>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60"/>
          </w:cols>
          <w:pgMar w:left="300" w:top="1126" w:right="339" w:bottom="1440" w:gutter="0" w:footer="0" w:header="0"/>
        </w:sectPr>
      </w:pPr>
    </w:p>
    <w:bookmarkStart w:id="157" w:name="page158"/>
    <w:bookmarkEnd w:id="157"/>
    <w:p>
      <w:pPr>
        <w:ind w:left="1020"/>
        <w:spacing w:after="0"/>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u w:val="single" w:color="auto"/>
          <w:color w:val="auto"/>
        </w:rPr>
        <w:t>Applicable Interest Rate</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1540"/>
        <w:spacing w:after="0"/>
        <w:tabs>
          <w:tab w:leader="none" w:pos="2060" w:val="left"/>
        </w:tabs>
        <w:rPr>
          <w:sz w:val="20"/>
          <w:szCs w:val="20"/>
          <w:color w:val="auto"/>
        </w:rPr>
      </w:pPr>
      <w:r>
        <w:rPr>
          <w:rFonts w:ascii="Times New Roman" w:cs="Times New Roman" w:eastAsia="Times New Roman" w:hAnsi="Times New Roman"/>
          <w:sz w:val="17"/>
          <w:szCs w:val="17"/>
          <w:color w:val="auto"/>
        </w:rPr>
        <w:t>2.6.1.</w:t>
      </w:r>
      <w:r>
        <w:rPr>
          <w:sz w:val="20"/>
          <w:szCs w:val="20"/>
          <w:color w:val="auto"/>
        </w:rPr>
        <w:tab/>
      </w:r>
      <w:r>
        <w:rPr>
          <w:rFonts w:ascii="Times New Roman" w:cs="Times New Roman" w:eastAsia="Times New Roman" w:hAnsi="Times New Roman"/>
          <w:sz w:val="16"/>
          <w:szCs w:val="16"/>
          <w:u w:val="single" w:color="auto"/>
          <w:color w:val="auto"/>
        </w:rPr>
        <w:t>Active Participants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right="580" w:firstLine="1533"/>
        <w:spacing w:after="0" w:line="228" w:lineRule="auto"/>
        <w:tabs>
          <w:tab w:leader="none" w:pos="188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Protected Account Balances</w:t>
      </w:r>
      <w:r>
        <w:rPr>
          <w:rFonts w:ascii="Times New Roman" w:cs="Times New Roman" w:eastAsia="Times New Roman" w:hAnsi="Times New Roman"/>
          <w:sz w:val="17"/>
          <w:szCs w:val="17"/>
          <w:color w:val="auto"/>
        </w:rPr>
        <w:t>. Except as otherwise provided in Section 2.6.2,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21" w:lineRule="exact"/>
        <w:rPr>
          <w:rFonts w:ascii="Times New Roman" w:cs="Times New Roman" w:eastAsia="Times New Roman" w:hAnsi="Times New Roman"/>
          <w:sz w:val="17"/>
          <w:szCs w:val="17"/>
          <w:color w:val="auto"/>
        </w:rPr>
      </w:pPr>
    </w:p>
    <w:p>
      <w:pPr>
        <w:ind w:right="20" w:firstLine="1533"/>
        <w:spacing w:after="0" w:line="223" w:lineRule="auto"/>
        <w:tabs>
          <w:tab w:leader="none" w:pos="189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Crediting Rate</w:t>
      </w:r>
      <w:r>
        <w:rPr>
          <w:rFonts w:ascii="Times New Roman" w:cs="Times New Roman" w:eastAsia="Times New Roman" w:hAnsi="Times New Roman"/>
          <w:sz w:val="17"/>
          <w:szCs w:val="17"/>
          <w:color w:val="auto"/>
        </w:rPr>
        <w:t>. Except as otherwise provided in Section 2.6.2, for amounts (other than Protected Account Balances) credited with respect to Initial Deferral Elections or with respect to Company Credits, and for amounts credited pursuant to Subsequent Deferral Elections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122" w:lineRule="exact"/>
        <w:rPr>
          <w:sz w:val="20"/>
          <w:szCs w:val="20"/>
          <w:color w:val="auto"/>
        </w:rPr>
      </w:pPr>
    </w:p>
    <w:p>
      <w:pPr>
        <w:ind w:right="20" w:firstLine="1528"/>
        <w:spacing w:after="0" w:line="216" w:lineRule="auto"/>
        <w:rPr>
          <w:sz w:val="20"/>
          <w:szCs w:val="20"/>
          <w:color w:val="auto"/>
        </w:rPr>
      </w:pPr>
      <w:r>
        <w:rPr>
          <w:rFonts w:ascii="Times New Roman" w:cs="Times New Roman" w:eastAsia="Times New Roman" w:hAnsi="Times New Roman"/>
          <w:sz w:val="17"/>
          <w:szCs w:val="17"/>
          <w:color w:val="auto"/>
        </w:rPr>
        <w:t xml:space="preserve">2.6.2. </w:t>
      </w:r>
      <w:r>
        <w:rPr>
          <w:rFonts w:ascii="Times New Roman" w:cs="Times New Roman" w:eastAsia="Times New Roman" w:hAnsi="Times New Roman"/>
          <w:sz w:val="17"/>
          <w:szCs w:val="17"/>
          <w:u w:val="single" w:color="auto"/>
          <w:color w:val="auto"/>
        </w:rPr>
        <w:t>Termination or Transition of Service</w:t>
      </w:r>
      <w:r>
        <w:rPr>
          <w:rFonts w:ascii="Times New Roman" w:cs="Times New Roman" w:eastAsia="Times New Roman" w:hAnsi="Times New Roman"/>
          <w:sz w:val="17"/>
          <w:szCs w:val="17"/>
          <w:color w:val="auto"/>
        </w:rPr>
        <w:t>. Effective for the period beginning as soon as administratively practicable following (i) a significant reduction in a Participant’s compensation and services to the Company, as determined by the Administrator in its sole discretion, and (ii) a Participant’s employment termination date, in each case, to the date the Participant’s Account is distributed in full, the Administrator, in its sole discretion, may designate the term “Applicable Interest Rate” for such Participant’s Account to mean the lesser of (x) the rate in effect under Section 2.6.1 or (y) the Prime Rate plus one percent. A 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employment termination date. Notwithstanding the foregoing, the Administrator may delegate its authority to determine the Applicable Interest Rate under this Section 2.6.2 to an officer of the Company or committee of two or more officers of the Company.</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means an award of Restricted Stock Units granted under the Equity Plan.</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2.8. “</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means the grant document that includes the specific terms and conditions of an Award.</w:t>
      </w:r>
    </w:p>
    <w:p>
      <w:pPr>
        <w:spacing w:after="0" w:line="144" w:lineRule="exact"/>
        <w:rPr>
          <w:sz w:val="20"/>
          <w:szCs w:val="20"/>
          <w:color w:val="auto"/>
        </w:rPr>
      </w:pPr>
    </w:p>
    <w:p>
      <w:pPr>
        <w:ind w:firstLine="1019"/>
        <w:spacing w:after="0" w:line="220" w:lineRule="auto"/>
        <w:rPr>
          <w:sz w:val="20"/>
          <w:szCs w:val="20"/>
          <w:color w:val="auto"/>
        </w:rPr>
      </w:pPr>
      <w:r>
        <w:rPr>
          <w:rFonts w:ascii="Times New Roman" w:cs="Times New Roman" w:eastAsia="Times New Roman" w:hAnsi="Times New Roman"/>
          <w:sz w:val="17"/>
          <w:szCs w:val="17"/>
          <w:color w:val="auto"/>
        </w:rPr>
        <w:t>2.9. “</w:t>
      </w:r>
      <w:r>
        <w:rPr>
          <w:rFonts w:ascii="Times New Roman" w:cs="Times New Roman" w:eastAsia="Times New Roman" w:hAnsi="Times New Roman"/>
          <w:sz w:val="17"/>
          <w:szCs w:val="17"/>
          <w:u w:val="single" w:color="auto"/>
          <w:color w:val="auto"/>
        </w:rPr>
        <w:t>Beneficiary</w:t>
      </w:r>
      <w:r>
        <w:rPr>
          <w:rFonts w:ascii="Times New Roman" w:cs="Times New Roman" w:eastAsia="Times New Roman" w:hAnsi="Times New Roman"/>
          <w:sz w:val="17"/>
          <w:szCs w:val="17"/>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2.10.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144" w:lineRule="exact"/>
        <w:rPr>
          <w:sz w:val="20"/>
          <w:szCs w:val="20"/>
          <w:color w:val="auto"/>
        </w:rPr>
      </w:pPr>
    </w:p>
    <w:p>
      <w:pPr>
        <w:ind w:right="20" w:firstLine="1019"/>
        <w:spacing w:after="0" w:line="238" w:lineRule="auto"/>
        <w:rPr>
          <w:sz w:val="20"/>
          <w:szCs w:val="20"/>
          <w:color w:val="auto"/>
        </w:rPr>
      </w:pPr>
      <w:r>
        <w:rPr>
          <w:rFonts w:ascii="Times New Roman" w:cs="Times New Roman" w:eastAsia="Times New Roman" w:hAnsi="Times New Roman"/>
          <w:sz w:val="17"/>
          <w:szCs w:val="17"/>
          <w:color w:val="auto"/>
        </w:rPr>
        <w:t>2.11. “</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60"/>
          </w:cols>
          <w:pgMar w:left="300" w:top="1127" w:right="339" w:bottom="1440" w:gutter="0" w:footer="0" w:header="0"/>
        </w:sectPr>
      </w:pPr>
    </w:p>
    <w:bookmarkStart w:id="158" w:name="page159"/>
    <w:bookmarkEnd w:id="158"/>
    <w:p>
      <w:pPr>
        <w:ind w:left="1020"/>
        <w:spacing w:after="0"/>
        <w:rPr>
          <w:sz w:val="20"/>
          <w:szCs w:val="20"/>
          <w:color w:val="auto"/>
        </w:rPr>
      </w:pPr>
      <w:r>
        <w:rPr>
          <w:rFonts w:ascii="Times New Roman" w:cs="Times New Roman" w:eastAsia="Times New Roman" w:hAnsi="Times New Roman"/>
          <w:sz w:val="17"/>
          <w:szCs w:val="17"/>
          <w:color w:val="auto"/>
        </w:rPr>
        <w:t>2.12.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2.13. “</w:t>
      </w:r>
      <w:r>
        <w:rPr>
          <w:rFonts w:ascii="Times New Roman" w:cs="Times New Roman" w:eastAsia="Times New Roman" w:hAnsi="Times New Roman"/>
          <w:sz w:val="17"/>
          <w:szCs w:val="17"/>
          <w:u w:val="single" w:color="auto"/>
          <w:color w:val="auto"/>
        </w:rPr>
        <w:t>Comcast Spectacor</w:t>
      </w:r>
      <w:r>
        <w:rPr>
          <w:rFonts w:ascii="Times New Roman" w:cs="Times New Roman" w:eastAsia="Times New Roman" w:hAnsi="Times New Roman"/>
          <w:sz w:val="17"/>
          <w:szCs w:val="17"/>
          <w:color w:val="auto"/>
        </w:rPr>
        <w:t>” means Comcast Spectacor, LLC.</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2.14. “</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means the Compensation Committee of the Board of Directors of the Company.</w:t>
      </w:r>
    </w:p>
    <w:p>
      <w:pPr>
        <w:spacing w:after="0" w:line="144" w:lineRule="exact"/>
        <w:rPr>
          <w:sz w:val="20"/>
          <w:szCs w:val="20"/>
          <w:color w:val="auto"/>
        </w:rPr>
      </w:pPr>
    </w:p>
    <w:p>
      <w:pPr>
        <w:ind w:right="160" w:firstLine="1019"/>
        <w:spacing w:after="0" w:line="238" w:lineRule="auto"/>
        <w:rPr>
          <w:sz w:val="20"/>
          <w:szCs w:val="20"/>
          <w:color w:val="auto"/>
        </w:rPr>
      </w:pPr>
      <w:r>
        <w:rPr>
          <w:rFonts w:ascii="Times New Roman" w:cs="Times New Roman" w:eastAsia="Times New Roman" w:hAnsi="Times New Roman"/>
          <w:sz w:val="17"/>
          <w:szCs w:val="17"/>
          <w:color w:val="auto"/>
        </w:rPr>
        <w:t>2.15.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means Comcast Corporation, a Pennsylvania corporation, including any successor thereto by merger, consolidation, acquisition of all or substantially all the assets thereof, or otherwise.</w:t>
      </w:r>
    </w:p>
    <w:p>
      <w:pPr>
        <w:spacing w:after="0" w:line="122" w:lineRule="exact"/>
        <w:rPr>
          <w:sz w:val="20"/>
          <w:szCs w:val="20"/>
          <w:color w:val="auto"/>
        </w:rPr>
      </w:pPr>
    </w:p>
    <w:p>
      <w:pPr>
        <w:ind w:right="160" w:firstLine="1019"/>
        <w:spacing w:after="0" w:line="238" w:lineRule="auto"/>
        <w:rPr>
          <w:sz w:val="20"/>
          <w:szCs w:val="20"/>
          <w:color w:val="auto"/>
        </w:rPr>
      </w:pPr>
      <w:r>
        <w:rPr>
          <w:rFonts w:ascii="Times New Roman" w:cs="Times New Roman" w:eastAsia="Times New Roman" w:hAnsi="Times New Roman"/>
          <w:sz w:val="17"/>
          <w:szCs w:val="17"/>
          <w:color w:val="auto"/>
        </w:rPr>
        <w:t>2.16. “</w:t>
      </w:r>
      <w:r>
        <w:rPr>
          <w:rFonts w:ascii="Times New Roman" w:cs="Times New Roman" w:eastAsia="Times New Roman" w:hAnsi="Times New Roman"/>
          <w:sz w:val="17"/>
          <w:szCs w:val="17"/>
          <w:u w:val="single" w:color="auto"/>
          <w:color w:val="auto"/>
        </w:rPr>
        <w:t>Company Credits</w:t>
      </w:r>
      <w:r>
        <w:rPr>
          <w:rFonts w:ascii="Times New Roman" w:cs="Times New Roman" w:eastAsia="Times New Roman" w:hAnsi="Times New Roman"/>
          <w:sz w:val="17"/>
          <w:szCs w:val="17"/>
          <w:color w:val="auto"/>
        </w:rPr>
        <w:t>” means amounts credited to a Participant’s Account that were approved before March 1, 2021 pursuant to provisions of the Plan relating to Company Credits that were in effect before the Restatement Effective Date.</w:t>
      </w:r>
    </w:p>
    <w:p>
      <w:pPr>
        <w:spacing w:after="0" w:line="122" w:lineRule="exact"/>
        <w:rPr>
          <w:sz w:val="20"/>
          <w:szCs w:val="20"/>
          <w:color w:val="auto"/>
        </w:rPr>
      </w:pPr>
    </w:p>
    <w:p>
      <w:pPr>
        <w:ind w:firstLine="1019"/>
        <w:spacing w:after="0" w:line="214" w:lineRule="auto"/>
        <w:rPr>
          <w:sz w:val="20"/>
          <w:szCs w:val="20"/>
          <w:color w:val="auto"/>
        </w:rPr>
      </w:pPr>
      <w:r>
        <w:rPr>
          <w:rFonts w:ascii="Times New Roman" w:cs="Times New Roman" w:eastAsia="Times New Roman" w:hAnsi="Times New Roman"/>
          <w:sz w:val="17"/>
          <w:szCs w:val="17"/>
          <w:color w:val="auto"/>
        </w:rPr>
        <w:t>2.17. “</w:t>
      </w:r>
      <w:r>
        <w:rPr>
          <w:rFonts w:ascii="Times New Roman" w:cs="Times New Roman" w:eastAsia="Times New Roman" w:hAnsi="Times New Roman"/>
          <w:sz w:val="17"/>
          <w:szCs w:val="17"/>
          <w:u w:val="single" w:color="auto"/>
          <w:color w:val="auto"/>
        </w:rPr>
        <w:t>Company Stock</w:t>
      </w:r>
      <w:r>
        <w:rPr>
          <w:rFonts w:ascii="Times New Roman" w:cs="Times New Roman" w:eastAsia="Times New Roman" w:hAnsi="Times New Roman"/>
          <w:sz w:val="17"/>
          <w:szCs w:val="17"/>
          <w:color w:val="auto"/>
        </w:rPr>
        <w:t>” means with respect to amounts credited to the Company Stock Fund (i) as Deferred Stock Units, (ii) pursuant to deferral elections by Non-Employee Directors or Directors Emeriti made pursuant to Section 3.1(a), and (iii) pursuant to deemed transfers pursuant to Article 5, Class A Common Stock, par value $0.01, of the Company and such other securities issued by the Company as may be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Administrator shall make appropriate equitable anti-dilution adjustments to the number and class of hypothetical shares of Company Stock credited to Participants’ Accounts under the Company Stock Fund. The number of hypothetical shares of Company Stock credited to a Participant’s Account shall be rounded down to the next lower share, and the value of fractional shares that otherwise have been credited to the Company Stock Fund shall be credited to the Income Fund. Any reference to the term “Company Stock” in the Plan shall be a reference to the appropriate number and class of shares of stock as adjusted pursuant to this Section 2.17. The Administrator’s adjustment shall be effective and binding for all purposes of the Plan.</w:t>
      </w:r>
    </w:p>
    <w:p>
      <w:pPr>
        <w:spacing w:after="0" w:line="124" w:lineRule="exact"/>
        <w:rPr>
          <w:sz w:val="20"/>
          <w:szCs w:val="20"/>
          <w:color w:val="auto"/>
        </w:rPr>
      </w:pPr>
    </w:p>
    <w:p>
      <w:pPr>
        <w:ind w:right="20" w:firstLine="1019"/>
        <w:spacing w:after="0" w:line="213" w:lineRule="auto"/>
        <w:rPr>
          <w:sz w:val="20"/>
          <w:szCs w:val="20"/>
          <w:color w:val="auto"/>
        </w:rPr>
      </w:pPr>
      <w:r>
        <w:rPr>
          <w:rFonts w:ascii="Times New Roman" w:cs="Times New Roman" w:eastAsia="Times New Roman" w:hAnsi="Times New Roman"/>
          <w:sz w:val="17"/>
          <w:szCs w:val="17"/>
          <w:color w:val="auto"/>
        </w:rPr>
        <w:t>2.18. “</w:t>
      </w:r>
      <w:r>
        <w:rPr>
          <w:rFonts w:ascii="Times New Roman" w:cs="Times New Roman" w:eastAsia="Times New Roman" w:hAnsi="Times New Roman"/>
          <w:sz w:val="17"/>
          <w:szCs w:val="17"/>
          <w:u w:val="single" w:color="auto"/>
          <w:color w:val="auto"/>
        </w:rPr>
        <w:t>Company Stock Fund</w:t>
      </w:r>
      <w:r>
        <w:rPr>
          <w:rFonts w:ascii="Times New Roman" w:cs="Times New Roman" w:eastAsia="Times New Roman" w:hAnsi="Times New Roman"/>
          <w:sz w:val="17"/>
          <w:szCs w:val="17"/>
          <w:color w:val="auto"/>
        </w:rPr>
        <w:t xml:space="preserve">” means a hypothetical investment fund pursuant to which income, gains, and losses are credited to a Participant’s Account as if the Account, to the extent deemed invested in the Company Stock Fund, were invested in hypothetical shares of Company Stock, and, except as otherwise provided in Section 2.17 with respect to fractional shares, all dividends and other distributions paid with respect to Company Stock shall be credited to an Other Investment Fund as a hypothetical purchase on the applicable dividend or distribution payment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 respect to (a) Deferred Stock Units, including Company Stock credited to the Accounts of Non-Employee Directors, dividends and other distributions shall be credited to the Company Stock Fund as a hypothetical purchase of Company Stock at Fair Market Value on the applicable dividend or distribution payment date and (b) with respect to Company Stock credited to the Accounts of Covered Participants, dividends and other distributions shall be credited to one or more Other Investment Funds as a hypothetical purchase on the applicable dividend or distribution payment date. Except to the extent provided by Section 5.2(b)(i)(C) with respect to Section 16 Officers or by the Administrator with respect to Participants who are not Section 16 Officers, amounts credited to the Company Stock Fund may not thereafter be transferred to the Income Fund or another Other Investment Fund, provided further that dividends and other distributions paid with respect to Deferred Stock Units shall be credited to the Company Stock Fund as a hypothetical purchase of shares of Company Stock at Fair Market Value on the applicable dividend or distribution payment date, and dividends and other distributions paid with respect to the Accounts of Covered Participants shall be credited to Other Investment Funds as a hypothetical purchase of one 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00" w:top="1127" w:right="359" w:bottom="1440" w:gutter="0" w:footer="0" w:header="0"/>
        </w:sectPr>
      </w:pPr>
    </w:p>
    <w:bookmarkStart w:id="159" w:name="page160"/>
    <w:bookmarkEnd w:id="159"/>
    <w:p>
      <w:pPr>
        <w:spacing w:after="0" w:line="220" w:lineRule="auto"/>
        <w:rPr>
          <w:sz w:val="20"/>
          <w:szCs w:val="20"/>
          <w:color w:val="auto"/>
        </w:rPr>
      </w:pPr>
      <w:r>
        <w:rPr>
          <w:rFonts w:ascii="Times New Roman" w:cs="Times New Roman" w:eastAsia="Times New Roman" w:hAnsi="Times New Roman"/>
          <w:sz w:val="17"/>
          <w:szCs w:val="17"/>
          <w:color w:val="auto"/>
        </w:rPr>
        <w:t>more Other Investment Funds on the applicable dividend or distribution payment date; provided that any such dividends and other distributions shall be subject to the same vesting terms and conditions (including performance goals) as are applicable to the Deferred Stock Units (if any) in accordance with the terms of the Equity Plan and the applicable Award Agreement. To the extent a distribution of a Participant’s Account is attributable to amounts credited to the Company Stock Fund (i) as Deferred Stock Units that have never been the subject of a completed Diversification Election or (ii) under circumstances described in Section 3.15.2, distributions shall be made in the form of shares of Company Stock. All other distributions of Account balances shall be made in cash.</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2.19. “</w:t>
      </w: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jc w:val="both"/>
        <w:ind w:right="120" w:firstLine="1528"/>
        <w:spacing w:after="0" w:line="228" w:lineRule="auto"/>
        <w:rPr>
          <w:sz w:val="20"/>
          <w:szCs w:val="20"/>
          <w:color w:val="auto"/>
        </w:rPr>
      </w:pPr>
      <w:r>
        <w:rPr>
          <w:rFonts w:ascii="Times New Roman" w:cs="Times New Roman" w:eastAsia="Times New Roman" w:hAnsi="Times New Roman"/>
          <w:sz w:val="17"/>
          <w:szCs w:val="17"/>
          <w:color w:val="auto"/>
        </w:rPr>
        <w:t>2.19.1. In the case of a Non-Employee Director, the total remuneration payable in cash or payable in Company Stock (as elected by a Non-Employee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122" w:lineRule="exact"/>
        <w:rPr>
          <w:sz w:val="20"/>
          <w:szCs w:val="20"/>
          <w:color w:val="auto"/>
        </w:rPr>
      </w:pPr>
    </w:p>
    <w:p>
      <w:pPr>
        <w:ind w:right="80" w:firstLine="1528"/>
        <w:spacing w:after="0" w:line="220" w:lineRule="auto"/>
        <w:rPr>
          <w:sz w:val="20"/>
          <w:szCs w:val="20"/>
          <w:color w:val="auto"/>
        </w:rPr>
      </w:pPr>
      <w:r>
        <w:rPr>
          <w:rFonts w:ascii="Times New Roman" w:cs="Times New Roman" w:eastAsia="Times New Roman" w:hAnsi="Times New Roman"/>
          <w:sz w:val="17"/>
          <w:szCs w:val="17"/>
          <w:color w:val="auto"/>
        </w:rPr>
        <w:t>2.19.2. In the case of an Eligible Employee, the total cash remuneration for services payable by a Participating Company, excluding (i) Severance Pay, (ii) sales commissions or other similar payments or awards other than cash bonus arrangements described in Section 2.19.3, (iii) bonuses earned under any program designated by the Company’s Programming Division as a “long-term incentive plan” and (iv) cash bonuses earned under any long-term incentive plan for employees of NBCUniversal, provided that the term “Compensation” shall not include cash remuneration for services payable by a Participating Company for services performed outside of the United States or the United Kingdom.</w:t>
      </w:r>
    </w:p>
    <w:p>
      <w:pPr>
        <w:spacing w:after="0" w:line="123" w:lineRule="exact"/>
        <w:rPr>
          <w:sz w:val="20"/>
          <w:szCs w:val="20"/>
          <w:color w:val="auto"/>
        </w:rPr>
      </w:pPr>
    </w:p>
    <w:p>
      <w:pPr>
        <w:ind w:right="40" w:firstLine="1528"/>
        <w:spacing w:after="0" w:line="218" w:lineRule="auto"/>
        <w:rPr>
          <w:sz w:val="20"/>
          <w:szCs w:val="20"/>
          <w:color w:val="auto"/>
        </w:rPr>
      </w:pPr>
      <w:r>
        <w:rPr>
          <w:rFonts w:ascii="Times New Roman" w:cs="Times New Roman" w:eastAsia="Times New Roman" w:hAnsi="Times New Roman"/>
          <w:sz w:val="17"/>
          <w:szCs w:val="17"/>
          <w:color w:val="auto"/>
        </w:rPr>
        <w:t>2.19.3. Except as otherwise provided by the Administrator, with respect to any Eligible Employee who is employed by NBCUniversal or any cash bonus arrangement maintained for the benefit of employees of NBCUniversal under which there is a defined sales incentive target goal and target payout that provides for payment on a quarterly, semi-annual or annual basis, the term “Compensation” shall include cash bonuses earned under any such sales incentive arrangement for employees of NBCUniversal, provided that such cash bonus arrangement is the exclusive cash bonus arrangement in which such Eligible Employee is eligible to participate and provided further that such cash bonus is attributable to services performed by an Eligible Employee in the United States or the United Kingdom.</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2.20. “</w:t>
      </w:r>
      <w:r>
        <w:rPr>
          <w:rFonts w:ascii="Times New Roman" w:cs="Times New Roman" w:eastAsia="Times New Roman" w:hAnsi="Times New Roman"/>
          <w:sz w:val="17"/>
          <w:szCs w:val="17"/>
          <w:u w:val="single" w:color="auto"/>
          <w:color w:val="auto"/>
        </w:rPr>
        <w:t>Contribution Limit</w:t>
      </w:r>
      <w:r>
        <w:rPr>
          <w:rFonts w:ascii="Times New Roman" w:cs="Times New Roman" w:eastAsia="Times New Roman" w:hAnsi="Times New Roman"/>
          <w:sz w:val="17"/>
          <w:szCs w:val="17"/>
          <w:color w:val="auto"/>
        </w:rPr>
        <w:t>” means the product of (i) five (5) times (ii) Total Compensation.</w:t>
      </w:r>
    </w:p>
    <w:p>
      <w:pPr>
        <w:spacing w:after="0" w:line="144" w:lineRule="exact"/>
        <w:rPr>
          <w:sz w:val="20"/>
          <w:szCs w:val="20"/>
          <w:color w:val="auto"/>
        </w:rPr>
      </w:pPr>
    </w:p>
    <w:p>
      <w:pPr>
        <w:jc w:val="both"/>
        <w:ind w:right="120" w:firstLine="1019"/>
        <w:spacing w:after="0" w:line="228" w:lineRule="auto"/>
        <w:rPr>
          <w:sz w:val="20"/>
          <w:szCs w:val="20"/>
          <w:color w:val="auto"/>
        </w:rPr>
      </w:pPr>
      <w:r>
        <w:rPr>
          <w:rFonts w:ascii="Times New Roman" w:cs="Times New Roman" w:eastAsia="Times New Roman" w:hAnsi="Times New Roman"/>
          <w:sz w:val="17"/>
          <w:szCs w:val="17"/>
          <w:color w:val="auto"/>
        </w:rPr>
        <w:t>2.21. “</w:t>
      </w:r>
      <w:r>
        <w:rPr>
          <w:rFonts w:ascii="Times New Roman" w:cs="Times New Roman" w:eastAsia="Times New Roman" w:hAnsi="Times New Roman"/>
          <w:sz w:val="17"/>
          <w:szCs w:val="17"/>
          <w:u w:val="single" w:color="auto"/>
          <w:color w:val="auto"/>
        </w:rPr>
        <w:t>Covered Participant</w:t>
      </w:r>
      <w:r>
        <w:rPr>
          <w:rFonts w:ascii="Times New Roman" w:cs="Times New Roman" w:eastAsia="Times New Roman" w:hAnsi="Times New Roman"/>
          <w:sz w:val="17"/>
          <w:szCs w:val="17"/>
          <w:color w:val="auto"/>
        </w:rPr>
        <w:t>” means, as of any relevant date of determination, (i) any Section 16 Officer for whom disclosure was required pursuant to Item 402 of SEC Regulation S-K in the Company’s most recent filing with the SEC under the Securities Exchange Act of 1934, as amended, and (ii) any individual, as determined by the Administrator in its discretion.</w:t>
      </w:r>
    </w:p>
    <w:p>
      <w:pPr>
        <w:spacing w:after="0" w:line="122" w:lineRule="exact"/>
        <w:rPr>
          <w:sz w:val="20"/>
          <w:szCs w:val="20"/>
          <w:color w:val="auto"/>
        </w:rPr>
      </w:pPr>
    </w:p>
    <w:p>
      <w:pPr>
        <w:ind w:right="220" w:firstLine="1019"/>
        <w:spacing w:after="0" w:line="238" w:lineRule="auto"/>
        <w:rPr>
          <w:sz w:val="20"/>
          <w:szCs w:val="20"/>
          <w:color w:val="auto"/>
        </w:rPr>
      </w:pPr>
      <w:r>
        <w:rPr>
          <w:rFonts w:ascii="Times New Roman" w:cs="Times New Roman" w:eastAsia="Times New Roman" w:hAnsi="Times New Roman"/>
          <w:sz w:val="17"/>
          <w:szCs w:val="17"/>
          <w:color w:val="auto"/>
        </w:rPr>
        <w:t>2.22. “</w:t>
      </w:r>
      <w:r>
        <w:rPr>
          <w:rFonts w:ascii="Times New Roman" w:cs="Times New Roman" w:eastAsia="Times New Roman" w:hAnsi="Times New Roman"/>
          <w:sz w:val="17"/>
          <w:szCs w:val="17"/>
          <w:u w:val="single" w:color="auto"/>
          <w:color w:val="auto"/>
        </w:rPr>
        <w:t>Deceased Participant</w:t>
      </w:r>
      <w:r>
        <w:rPr>
          <w:rFonts w:ascii="Times New Roman" w:cs="Times New Roman" w:eastAsia="Times New Roman" w:hAnsi="Times New Roman"/>
          <w:sz w:val="17"/>
          <w:szCs w:val="17"/>
          <w:color w:val="auto"/>
        </w:rPr>
        <w:t>” means a Participant whose employment, or, in the case of a Participant who was a Non-Employee Director or Director Emeritus, a Participant whose service as a Non-Employee Director or Director Emeritus, is terminated by death.</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2.23. “</w:t>
      </w:r>
      <w:r>
        <w:rPr>
          <w:rFonts w:ascii="Times New Roman" w:cs="Times New Roman" w:eastAsia="Times New Roman" w:hAnsi="Times New Roman"/>
          <w:sz w:val="17"/>
          <w:szCs w:val="17"/>
          <w:u w:val="single" w:color="auto"/>
          <w:color w:val="auto"/>
        </w:rPr>
        <w:t>Deferred Stock Units</w:t>
      </w:r>
      <w:r>
        <w:rPr>
          <w:rFonts w:ascii="Times New Roman" w:cs="Times New Roman" w:eastAsia="Times New Roman" w:hAnsi="Times New Roman"/>
          <w:sz w:val="17"/>
          <w:szCs w:val="17"/>
          <w:color w:val="auto"/>
        </w:rPr>
        <w:t>” means the number of hypothetical Shares subject to the portion of an Award covered by an Election.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27" w:right="319" w:bottom="1440" w:gutter="0" w:footer="0" w:header="0"/>
        </w:sectPr>
      </w:pPr>
    </w:p>
    <w:bookmarkStart w:id="160" w:name="page161"/>
    <w:bookmarkEnd w:id="160"/>
    <w:p>
      <w:pPr>
        <w:ind w:right="140" w:firstLine="1019"/>
        <w:spacing w:after="0" w:line="238" w:lineRule="auto"/>
        <w:rPr>
          <w:sz w:val="20"/>
          <w:szCs w:val="20"/>
          <w:color w:val="auto"/>
        </w:rPr>
      </w:pPr>
      <w:r>
        <w:rPr>
          <w:rFonts w:ascii="Times New Roman" w:cs="Times New Roman" w:eastAsia="Times New Roman" w:hAnsi="Times New Roman"/>
          <w:sz w:val="17"/>
          <w:szCs w:val="17"/>
          <w:color w:val="auto"/>
        </w:rPr>
        <w:t>2.24. “</w:t>
      </w:r>
      <w:r>
        <w:rPr>
          <w:rFonts w:ascii="Times New Roman" w:cs="Times New Roman" w:eastAsia="Times New Roman" w:hAnsi="Times New Roman"/>
          <w:sz w:val="17"/>
          <w:szCs w:val="17"/>
          <w:u w:val="single" w:color="auto"/>
          <w:color w:val="auto"/>
        </w:rPr>
        <w:t>Director Emeritus</w:t>
      </w:r>
      <w:r>
        <w:rPr>
          <w:rFonts w:ascii="Times New Roman" w:cs="Times New Roman" w:eastAsia="Times New Roman" w:hAnsi="Times New Roman"/>
          <w:sz w:val="17"/>
          <w:szCs w:val="17"/>
          <w:color w:val="auto"/>
        </w:rPr>
        <w:t>” means an individual designated by the Board, in its sole discretion, as Director Emeritus, pursuant to the Board’s Director Emeritus Policy.</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2.25. “</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ind w:right="300" w:firstLine="1528"/>
        <w:spacing w:after="0" w:line="238" w:lineRule="auto"/>
        <w:rPr>
          <w:sz w:val="20"/>
          <w:szCs w:val="20"/>
          <w:color w:val="auto"/>
        </w:rPr>
      </w:pPr>
      <w:r>
        <w:rPr>
          <w:rFonts w:ascii="Times New Roman" w:cs="Times New Roman" w:eastAsia="Times New Roman" w:hAnsi="Times New Roman"/>
          <w:sz w:val="17"/>
          <w:szCs w:val="17"/>
          <w:color w:val="auto"/>
        </w:rPr>
        <w:t>2.25.1. 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22" w:lineRule="exact"/>
        <w:rPr>
          <w:sz w:val="20"/>
          <w:szCs w:val="20"/>
          <w:color w:val="auto"/>
        </w:rPr>
      </w:pPr>
    </w:p>
    <w:p>
      <w:pPr>
        <w:jc w:val="both"/>
        <w:ind w:right="20" w:firstLine="1528"/>
        <w:spacing w:after="0" w:line="228" w:lineRule="auto"/>
        <w:rPr>
          <w:sz w:val="20"/>
          <w:szCs w:val="20"/>
          <w:color w:val="auto"/>
        </w:rPr>
      </w:pPr>
      <w:r>
        <w:rPr>
          <w:rFonts w:ascii="Times New Roman" w:cs="Times New Roman" w:eastAsia="Times New Roman" w:hAnsi="Times New Roman"/>
          <w:sz w:val="17"/>
          <w:szCs w:val="17"/>
          <w:color w:val="auto"/>
        </w:rPr>
        <w:t>2.25.2. 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22" w:lineRule="exact"/>
        <w:rPr>
          <w:sz w:val="20"/>
          <w:szCs w:val="20"/>
          <w:color w:val="auto"/>
        </w:rPr>
      </w:pPr>
    </w:p>
    <w:p>
      <w:pPr>
        <w:ind w:right="420" w:firstLine="1528"/>
        <w:spacing w:after="0" w:line="238" w:lineRule="auto"/>
        <w:rPr>
          <w:sz w:val="20"/>
          <w:szCs w:val="20"/>
          <w:color w:val="auto"/>
        </w:rPr>
      </w:pPr>
      <w:r>
        <w:rPr>
          <w:rFonts w:ascii="Times New Roman" w:cs="Times New Roman" w:eastAsia="Times New Roman" w:hAnsi="Times New Roman"/>
          <w:sz w:val="17"/>
          <w:szCs w:val="17"/>
          <w:color w:val="auto"/>
        </w:rPr>
        <w:t>2.25.3. If different from the definition in Section 2.25.1 or Section 2.25.2 above, “Disability” as it may be defined in such Participant’s employment agreement between the Participant and the Company or an Affiliate, if any.</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2.26. “</w:t>
      </w:r>
      <w:r>
        <w:rPr>
          <w:rFonts w:ascii="Times New Roman" w:cs="Times New Roman" w:eastAsia="Times New Roman" w:hAnsi="Times New Roman"/>
          <w:sz w:val="17"/>
          <w:szCs w:val="17"/>
          <w:u w:val="single" w:color="auto"/>
          <w:color w:val="auto"/>
        </w:rPr>
        <w:t>Disabled Participant</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ind w:right="60" w:firstLine="1528"/>
        <w:spacing w:after="0" w:line="238" w:lineRule="auto"/>
        <w:rPr>
          <w:sz w:val="20"/>
          <w:szCs w:val="20"/>
          <w:color w:val="auto"/>
        </w:rPr>
      </w:pPr>
      <w:r>
        <w:rPr>
          <w:rFonts w:ascii="Times New Roman" w:cs="Times New Roman" w:eastAsia="Times New Roman" w:hAnsi="Times New Roman"/>
          <w:sz w:val="17"/>
          <w:szCs w:val="17"/>
          <w:color w:val="auto"/>
        </w:rPr>
        <w:t>2.26.1. A Participant whose employment or, in the case of a Participant who is a Non-Employee Director or Director Emeritus, a Participant whose service as a Non-Employee Director or Director Emeritus, is terminated by reason of Disability;</w:t>
      </w:r>
    </w:p>
    <w:p>
      <w:pPr>
        <w:spacing w:after="0" w:line="122"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2.26.2.</w:t>
      </w:r>
      <w:r>
        <w:rPr>
          <w:sz w:val="20"/>
          <w:szCs w:val="20"/>
          <w:color w:val="auto"/>
        </w:rPr>
        <w:tab/>
      </w:r>
      <w:r>
        <w:rPr>
          <w:rFonts w:ascii="Times New Roman" w:cs="Times New Roman" w:eastAsia="Times New Roman" w:hAnsi="Times New Roman"/>
          <w:sz w:val="16"/>
          <w:szCs w:val="16"/>
          <w:color w:val="auto"/>
        </w:rPr>
        <w:t>The duly-appointed legal guardian of an individual described in Section 2.26.1 acting on behalf of such individual.</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2.27. “</w:t>
      </w:r>
      <w:r>
        <w:rPr>
          <w:rFonts w:ascii="Times New Roman" w:cs="Times New Roman" w:eastAsia="Times New Roman" w:hAnsi="Times New Roman"/>
          <w:sz w:val="17"/>
          <w:szCs w:val="17"/>
          <w:u w:val="single" w:color="auto"/>
          <w:color w:val="auto"/>
        </w:rPr>
        <w:t>Domestic Relations Order</w:t>
      </w:r>
      <w:r>
        <w:rPr>
          <w:rFonts w:ascii="Times New Roman" w:cs="Times New Roman" w:eastAsia="Times New Roman" w:hAnsi="Times New Roman"/>
          <w:sz w:val="17"/>
          <w:szCs w:val="17"/>
          <w:color w:val="auto"/>
        </w:rPr>
        <w:t>” means any judgment, decree or order (including approval of a property settlement agreement) which:</w:t>
      </w:r>
    </w:p>
    <w:p>
      <w:pPr>
        <w:spacing w:after="0" w:line="136"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2.27.1.</w:t>
      </w:r>
      <w:r>
        <w:rPr>
          <w:sz w:val="20"/>
          <w:szCs w:val="20"/>
          <w:color w:val="auto"/>
        </w:rPr>
        <w:tab/>
      </w:r>
      <w:r>
        <w:rPr>
          <w:rFonts w:ascii="Times New Roman" w:cs="Times New Roman" w:eastAsia="Times New Roman" w:hAnsi="Times New Roman"/>
          <w:sz w:val="16"/>
          <w:szCs w:val="16"/>
          <w:color w:val="auto"/>
        </w:rPr>
        <w:t>Relates to the provision of child support, alimony payments or marital property rights to a spouse or former spouse of a Participant;</w:t>
      </w:r>
    </w:p>
    <w:p>
      <w:pPr>
        <w:spacing w:after="0"/>
        <w:rPr>
          <w:sz w:val="20"/>
          <w:szCs w:val="20"/>
          <w:color w:val="auto"/>
        </w:rPr>
      </w:pPr>
      <w:r>
        <w:rPr>
          <w:rFonts w:ascii="Times New Roman" w:cs="Times New Roman" w:eastAsia="Times New Roman" w:hAnsi="Times New Roman"/>
          <w:sz w:val="17"/>
          <w:szCs w:val="17"/>
          <w:color w:val="auto"/>
        </w:rPr>
        <w:t>and</w:t>
      </w:r>
    </w:p>
    <w:p>
      <w:pPr>
        <w:spacing w:after="0" w:line="126"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2.27.2.</w:t>
        <w:tab/>
        <w:t>Is made pursuant to a State domestic relations law (including a community property law).</w:t>
      </w:r>
    </w:p>
    <w:p>
      <w:pPr>
        <w:spacing w:after="0" w:line="144" w:lineRule="exact"/>
        <w:rPr>
          <w:sz w:val="20"/>
          <w:szCs w:val="20"/>
          <w:color w:val="auto"/>
        </w:rPr>
      </w:pPr>
    </w:p>
    <w:p>
      <w:pPr>
        <w:ind w:firstLine="1019"/>
        <w:spacing w:after="0" w:line="223" w:lineRule="auto"/>
        <w:rPr>
          <w:sz w:val="20"/>
          <w:szCs w:val="20"/>
          <w:color w:val="auto"/>
        </w:rPr>
      </w:pPr>
      <w:r>
        <w:rPr>
          <w:rFonts w:ascii="Times New Roman" w:cs="Times New Roman" w:eastAsia="Times New Roman" w:hAnsi="Times New Roman"/>
          <w:sz w:val="17"/>
          <w:szCs w:val="17"/>
          <w:color w:val="auto"/>
        </w:rPr>
        <w:t>2.28. “</w:t>
      </w:r>
      <w:r>
        <w:rPr>
          <w:rFonts w:ascii="Times New Roman" w:cs="Times New Roman" w:eastAsia="Times New Roman" w:hAnsi="Times New Roman"/>
          <w:sz w:val="17"/>
          <w:szCs w:val="17"/>
          <w:u w:val="single" w:color="auto"/>
          <w:color w:val="auto"/>
        </w:rPr>
        <w:t>Diversification Election</w:t>
      </w:r>
      <w:r>
        <w:rPr>
          <w:rFonts w:ascii="Times New Roman" w:cs="Times New Roman" w:eastAsia="Times New Roman" w:hAnsi="Times New Roman"/>
          <w:sz w:val="17"/>
          <w:szCs w:val="17"/>
          <w:color w:val="auto"/>
        </w:rPr>
        <w:t>” means an election by a Participant other than a Non-Employee Director to have a portion of the Participant’s Account credited in the form of Deferred Stock Units and attributable to any grant of Restricted Stock or Restricted Stock Units deemed liquidated and credited thereafter under the Income Fund or an Other Investment Fund, as provided in Section 3.15.1, if (and to the extent that) it is approved by the Administrator in accordance with Section 3.15.2.</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2.29. “</w:t>
      </w:r>
      <w:r>
        <w:rPr>
          <w:rFonts w:ascii="Times New Roman" w:cs="Times New Roman" w:eastAsia="Times New Roman" w:hAnsi="Times New Roman"/>
          <w:sz w:val="17"/>
          <w:szCs w:val="17"/>
          <w:u w:val="single" w:color="auto"/>
          <w:color w:val="auto"/>
        </w:rPr>
        <w:t>Election</w:t>
      </w:r>
      <w:r>
        <w:rPr>
          <w:rFonts w:ascii="Times New Roman" w:cs="Times New Roman" w:eastAsia="Times New Roman" w:hAnsi="Times New Roman"/>
          <w:sz w:val="17"/>
          <w:szCs w:val="17"/>
          <w:color w:val="auto"/>
        </w:rPr>
        <w:t>” means, as applicable, an Initial Deferral Election, a Regular Deferral Election, or a Subsequent Deferral Election.</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2.30. “</w:t>
      </w:r>
      <w:r>
        <w:rPr>
          <w:rFonts w:ascii="Times New Roman" w:cs="Times New Roman" w:eastAsia="Times New Roman" w:hAnsi="Times New Roman"/>
          <w:sz w:val="17"/>
          <w:szCs w:val="17"/>
          <w:u w:val="single" w:color="auto"/>
          <w:color w:val="auto"/>
        </w:rPr>
        <w:t>Eligible Comcast Employee</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ind w:right="240" w:firstLine="1528"/>
        <w:spacing w:after="0" w:line="238" w:lineRule="auto"/>
        <w:rPr>
          <w:sz w:val="20"/>
          <w:szCs w:val="20"/>
          <w:color w:val="auto"/>
        </w:rPr>
      </w:pPr>
      <w:r>
        <w:rPr>
          <w:rFonts w:ascii="Times New Roman" w:cs="Times New Roman" w:eastAsia="Times New Roman" w:hAnsi="Times New Roman"/>
          <w:sz w:val="17"/>
          <w:szCs w:val="17"/>
          <w:color w:val="auto"/>
        </w:rPr>
        <w:t>2.30.1. Each employee of a Participating Company other than NBCUniversal, provided that such employee has an Annual Rate of Pay of $350,000 or more as of the date on which an Initial Deferral Election is filed with the Administrator;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20"/>
          </w:cols>
          <w:pgMar w:left="300" w:top="1127" w:right="379" w:bottom="1440" w:gutter="0" w:footer="0" w:header="0"/>
        </w:sectPr>
      </w:pPr>
    </w:p>
    <w:bookmarkStart w:id="161" w:name="page162"/>
    <w:bookmarkEnd w:id="161"/>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2.30.2.</w:t>
        <w:tab/>
        <w:t>Each New Key Employee who is an employee of a Participating Company other than NBCUniversal.</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2.31. “</w:t>
      </w:r>
      <w:r>
        <w:rPr>
          <w:rFonts w:ascii="Times New Roman" w:cs="Times New Roman" w:eastAsia="Times New Roman" w:hAnsi="Times New Roman"/>
          <w:sz w:val="17"/>
          <w:szCs w:val="17"/>
          <w:u w:val="single" w:color="auto"/>
          <w:color w:val="auto"/>
        </w:rPr>
        <w:t>Eligible Comcast Spectacor Employee</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ind w:right="300" w:firstLine="1528"/>
        <w:spacing w:after="0" w:line="238" w:lineRule="auto"/>
        <w:rPr>
          <w:sz w:val="20"/>
          <w:szCs w:val="20"/>
          <w:color w:val="auto"/>
        </w:rPr>
      </w:pPr>
      <w:r>
        <w:rPr>
          <w:rFonts w:ascii="Times New Roman" w:cs="Times New Roman" w:eastAsia="Times New Roman" w:hAnsi="Times New Roman"/>
          <w:sz w:val="17"/>
          <w:szCs w:val="17"/>
          <w:color w:val="auto"/>
        </w:rPr>
        <w:t>2.31.1. Each Eligible Comcast Employee who is providing services to Comcast Spectacor under a secondment arrangement between the Company and Comcast Spectacor.</w:t>
      </w:r>
    </w:p>
    <w:p>
      <w:pPr>
        <w:spacing w:after="0" w:line="122" w:lineRule="exact"/>
        <w:rPr>
          <w:sz w:val="20"/>
          <w:szCs w:val="20"/>
          <w:color w:val="auto"/>
        </w:rPr>
      </w:pPr>
    </w:p>
    <w:p>
      <w:pPr>
        <w:ind w:right="260" w:firstLine="1528"/>
        <w:spacing w:after="0" w:line="267" w:lineRule="auto"/>
        <w:rPr>
          <w:sz w:val="20"/>
          <w:szCs w:val="20"/>
          <w:color w:val="auto"/>
        </w:rPr>
      </w:pPr>
      <w:r>
        <w:rPr>
          <w:rFonts w:ascii="Times New Roman" w:cs="Times New Roman" w:eastAsia="Times New Roman" w:hAnsi="Times New Roman"/>
          <w:sz w:val="16"/>
          <w:szCs w:val="16"/>
          <w:color w:val="auto"/>
        </w:rPr>
        <w:t>2.31.2. Each employee of Comcast Spectacor, provided that such employee (a) has been designated as an Eligible Comcast Spectacor Employee by the Administrator and (b) has an Annual Rate of Pay of $350,000 or more as of the date on which an Initial Election is filed with the Administrator.</w:t>
      </w:r>
    </w:p>
    <w:p>
      <w:pPr>
        <w:spacing w:after="0" w:line="10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2.32. “</w:t>
      </w:r>
      <w:r>
        <w:rPr>
          <w:rFonts w:ascii="Times New Roman" w:cs="Times New Roman" w:eastAsia="Times New Roman" w:hAnsi="Times New Roman"/>
          <w:sz w:val="17"/>
          <w:szCs w:val="17"/>
          <w:u w:val="single" w:color="auto"/>
          <w:color w:val="auto"/>
        </w:rPr>
        <w:t>Eligible Employee</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2.32.1.</w:t>
        <w:tab/>
        <w:t>Each Eligible Comcast Employee;</w:t>
      </w:r>
    </w:p>
    <w:p>
      <w:pPr>
        <w:spacing w:after="0" w:line="144"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2.32.2.</w:t>
        <w:tab/>
        <w:t>Each Eligible NBCU Employee;</w:t>
      </w:r>
    </w:p>
    <w:p>
      <w:pPr>
        <w:spacing w:after="0" w:line="144"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2.32.3.</w:t>
        <w:tab/>
        <w:t>Each Eligible Comcast Spectacor Employee; and</w:t>
      </w:r>
    </w:p>
    <w:p>
      <w:pPr>
        <w:spacing w:after="0" w:line="144"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2.32.4.</w:t>
      </w:r>
      <w:r>
        <w:rPr>
          <w:sz w:val="20"/>
          <w:szCs w:val="20"/>
          <w:color w:val="auto"/>
        </w:rPr>
        <w:tab/>
      </w:r>
      <w:r>
        <w:rPr>
          <w:rFonts w:ascii="Times New Roman" w:cs="Times New Roman" w:eastAsia="Times New Roman" w:hAnsi="Times New Roman"/>
          <w:sz w:val="16"/>
          <w:szCs w:val="16"/>
          <w:color w:val="auto"/>
        </w:rPr>
        <w:t>Each other employee of a Participating Company who is designated by the Administrator, in its discretion, as an Eligible Employee.</w:t>
      </w:r>
    </w:p>
    <w:p>
      <w:pPr>
        <w:spacing w:after="0" w:line="144" w:lineRule="exact"/>
        <w:rPr>
          <w:sz w:val="20"/>
          <w:szCs w:val="20"/>
          <w:color w:val="auto"/>
        </w:rPr>
      </w:pPr>
    </w:p>
    <w:p>
      <w:pPr>
        <w:ind w:right="20" w:firstLine="1019"/>
        <w:spacing w:after="0" w:line="238" w:lineRule="auto"/>
        <w:rPr>
          <w:sz w:val="20"/>
          <w:szCs w:val="20"/>
          <w:color w:val="auto"/>
        </w:rPr>
      </w:pPr>
      <w:r>
        <w:rPr>
          <w:rFonts w:ascii="Times New Roman" w:cs="Times New Roman" w:eastAsia="Times New Roman" w:hAnsi="Times New Roman"/>
          <w:sz w:val="17"/>
          <w:szCs w:val="17"/>
          <w:color w:val="auto"/>
        </w:rPr>
        <w:t>2.33. “</w:t>
      </w:r>
      <w:r>
        <w:rPr>
          <w:rFonts w:ascii="Times New Roman" w:cs="Times New Roman" w:eastAsia="Times New Roman" w:hAnsi="Times New Roman"/>
          <w:sz w:val="17"/>
          <w:szCs w:val="17"/>
          <w:u w:val="single" w:color="auto"/>
          <w:color w:val="auto"/>
        </w:rPr>
        <w:t>Eligible NBCU Employee</w:t>
      </w:r>
      <w:r>
        <w:rPr>
          <w:rFonts w:ascii="Times New Roman" w:cs="Times New Roman" w:eastAsia="Times New Roman" w:hAnsi="Times New Roman"/>
          <w:sz w:val="17"/>
          <w:szCs w:val="17"/>
          <w:color w:val="auto"/>
        </w:rPr>
        <w:t>” means individuals described in this Section 2.33, provided that, in each case, except as otherwise designated by the Administrator, such individual’s Compensation is administered under NBCUniversal’s common payroll system.</w:t>
      </w:r>
    </w:p>
    <w:p>
      <w:pPr>
        <w:spacing w:after="0" w:line="122"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2.33.1.</w:t>
        <w:tab/>
        <w:t>Each New Key Employee who is an employee of NBCUniversal.</w:t>
      </w:r>
    </w:p>
    <w:p>
      <w:pPr>
        <w:spacing w:after="0" w:line="144" w:lineRule="exact"/>
        <w:rPr>
          <w:sz w:val="20"/>
          <w:szCs w:val="20"/>
          <w:color w:val="auto"/>
        </w:rPr>
      </w:pPr>
    </w:p>
    <w:p>
      <w:pPr>
        <w:ind w:right="160" w:firstLine="1528"/>
        <w:spacing w:after="0" w:line="238" w:lineRule="auto"/>
        <w:rPr>
          <w:sz w:val="20"/>
          <w:szCs w:val="20"/>
          <w:color w:val="auto"/>
        </w:rPr>
      </w:pPr>
      <w:r>
        <w:rPr>
          <w:rFonts w:ascii="Times New Roman" w:cs="Times New Roman" w:eastAsia="Times New Roman" w:hAnsi="Times New Roman"/>
          <w:sz w:val="17"/>
          <w:szCs w:val="17"/>
          <w:color w:val="auto"/>
        </w:rPr>
        <w:t>2.33.2. Each employee of NBCUniversal who has been designated as a member of NBCUniversal’s Executive Committee or Management Committee by the Chief Executive Officer of NBCUniversal and approved by the Administrator.</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2.34. “</w:t>
      </w:r>
      <w:r>
        <w:rPr>
          <w:rFonts w:ascii="Times New Roman" w:cs="Times New Roman" w:eastAsia="Times New Roman" w:hAnsi="Times New Roman"/>
          <w:sz w:val="17"/>
          <w:szCs w:val="17"/>
          <w:u w:val="single" w:color="auto"/>
          <w:color w:val="auto"/>
        </w:rPr>
        <w:t>Equity Plan</w:t>
      </w:r>
      <w:r>
        <w:rPr>
          <w:rFonts w:ascii="Times New Roman" w:cs="Times New Roman" w:eastAsia="Times New Roman" w:hAnsi="Times New Roman"/>
          <w:sz w:val="17"/>
          <w:szCs w:val="17"/>
          <w:color w:val="auto"/>
        </w:rPr>
        <w:t>” means the Comcast Corporation 2023 Omnibus Equity Incentive Plan and any successor plan.</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2.35. “</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firstLine="1528"/>
        <w:spacing w:after="0" w:line="228" w:lineRule="auto"/>
        <w:rPr>
          <w:sz w:val="20"/>
          <w:szCs w:val="20"/>
          <w:color w:val="auto"/>
        </w:rPr>
      </w:pPr>
      <w:r>
        <w:rPr>
          <w:rFonts w:ascii="Times New Roman" w:cs="Times New Roman" w:eastAsia="Times New Roman" w:hAnsi="Times New Roman"/>
          <w:sz w:val="17"/>
          <w:szCs w:val="17"/>
          <w:color w:val="auto"/>
        </w:rPr>
        <w:t>2.35.1. If Shares, or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22" w:lineRule="exact"/>
        <w:rPr>
          <w:sz w:val="20"/>
          <w:szCs w:val="20"/>
          <w:color w:val="auto"/>
        </w:rPr>
      </w:pPr>
    </w:p>
    <w:p>
      <w:pPr>
        <w:ind w:right="140" w:firstLine="1528"/>
        <w:spacing w:after="0" w:line="228" w:lineRule="auto"/>
        <w:rPr>
          <w:sz w:val="20"/>
          <w:szCs w:val="20"/>
          <w:color w:val="auto"/>
        </w:rPr>
      </w:pPr>
      <w:r>
        <w:rPr>
          <w:rFonts w:ascii="Times New Roman" w:cs="Times New Roman" w:eastAsia="Times New Roman" w:hAnsi="Times New Roman"/>
          <w:sz w:val="17"/>
          <w:szCs w:val="17"/>
          <w:color w:val="auto"/>
        </w:rPr>
        <w:t>2.35.2. If Shares, or shares of any Other Investment Fund are not so listed, but trades of shares are reported on a quotation system, Fair Market Value shall be determined based on the last quoted sale price of a share on the quotation system on the date of determination, or if such date is not a trading day, the next trading date.</w:t>
      </w:r>
    </w:p>
    <w:p>
      <w:pPr>
        <w:spacing w:after="0" w:line="122" w:lineRule="exact"/>
        <w:rPr>
          <w:sz w:val="20"/>
          <w:szCs w:val="20"/>
          <w:color w:val="auto"/>
        </w:rPr>
      </w:pPr>
    </w:p>
    <w:p>
      <w:pPr>
        <w:ind w:right="500" w:firstLine="1528"/>
        <w:spacing w:after="0" w:line="238" w:lineRule="auto"/>
        <w:rPr>
          <w:sz w:val="20"/>
          <w:szCs w:val="20"/>
          <w:color w:val="auto"/>
        </w:rPr>
      </w:pPr>
      <w:r>
        <w:rPr>
          <w:rFonts w:ascii="Times New Roman" w:cs="Times New Roman" w:eastAsia="Times New Roman" w:hAnsi="Times New Roman"/>
          <w:sz w:val="17"/>
          <w:szCs w:val="17"/>
          <w:color w:val="auto"/>
        </w:rPr>
        <w:t>2.35.3. If Shares, or shares of any Other Investment Fund are not so listed nor trades of shares so reported, Fair Market Value shall be determined by the Administrator in good faith.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20"/>
          </w:cols>
          <w:pgMar w:left="300" w:top="1126" w:right="379" w:bottom="1440" w:gutter="0" w:footer="0" w:header="0"/>
        </w:sectPr>
      </w:pPr>
    </w:p>
    <w:bookmarkStart w:id="162" w:name="page163"/>
    <w:bookmarkEnd w:id="162"/>
    <w:p>
      <w:pPr>
        <w:ind w:right="560" w:firstLine="1019"/>
        <w:spacing w:after="0" w:line="238" w:lineRule="auto"/>
        <w:rPr>
          <w:sz w:val="20"/>
          <w:szCs w:val="20"/>
          <w:color w:val="auto"/>
        </w:rPr>
      </w:pPr>
      <w:r>
        <w:rPr>
          <w:rFonts w:ascii="Times New Roman" w:cs="Times New Roman" w:eastAsia="Times New Roman" w:hAnsi="Times New Roman"/>
          <w:sz w:val="17"/>
          <w:szCs w:val="17"/>
          <w:color w:val="auto"/>
        </w:rPr>
        <w:t>2.36. “</w:t>
      </w:r>
      <w:r>
        <w:rPr>
          <w:rFonts w:ascii="Times New Roman" w:cs="Times New Roman" w:eastAsia="Times New Roman" w:hAnsi="Times New Roman"/>
          <w:sz w:val="17"/>
          <w:szCs w:val="17"/>
          <w:u w:val="single" w:color="auto"/>
          <w:color w:val="auto"/>
        </w:rPr>
        <w:t>Family Member</w:t>
      </w:r>
      <w:r>
        <w:rPr>
          <w:rFonts w:ascii="Times New Roman" w:cs="Times New Roman" w:eastAsia="Times New Roman" w:hAnsi="Times New Roman"/>
          <w:sz w:val="17"/>
          <w:szCs w:val="17"/>
          <w:color w:val="auto"/>
        </w:rPr>
        <w:t>” has the meaning given to such term in General Instructions A.1(a)(5) to Form S-8 under the Securities Act of 1933, as amended, and any successor thereto.</w:t>
      </w:r>
    </w:p>
    <w:p>
      <w:pPr>
        <w:spacing w:after="0" w:line="122" w:lineRule="exact"/>
        <w:rPr>
          <w:sz w:val="20"/>
          <w:szCs w:val="20"/>
          <w:color w:val="auto"/>
        </w:rPr>
      </w:pPr>
    </w:p>
    <w:p>
      <w:pPr>
        <w:ind w:right="40" w:firstLine="1019"/>
        <w:spacing w:after="0" w:line="218" w:lineRule="auto"/>
        <w:rPr>
          <w:sz w:val="20"/>
          <w:szCs w:val="20"/>
          <w:color w:val="auto"/>
        </w:rPr>
      </w:pPr>
      <w:r>
        <w:rPr>
          <w:rFonts w:ascii="Times New Roman" w:cs="Times New Roman" w:eastAsia="Times New Roman" w:hAnsi="Times New Roman"/>
          <w:sz w:val="17"/>
          <w:szCs w:val="17"/>
          <w:color w:val="auto"/>
        </w:rPr>
        <w:t>2.37. “</w:t>
      </w:r>
      <w:r>
        <w:rPr>
          <w:rFonts w:ascii="Times New Roman" w:cs="Times New Roman" w:eastAsia="Times New Roman" w:hAnsi="Times New Roman"/>
          <w:sz w:val="17"/>
          <w:szCs w:val="17"/>
          <w:u w:val="single" w:color="auto"/>
          <w:color w:val="auto"/>
        </w:rPr>
        <w:t>Hardship</w:t>
      </w:r>
      <w:r>
        <w:rPr>
          <w:rFonts w:ascii="Times New Roman" w:cs="Times New Roman" w:eastAsia="Times New Roman" w:hAnsi="Times New Roman"/>
          <w:sz w:val="17"/>
          <w:szCs w:val="17"/>
          <w:color w:val="auto"/>
        </w:rPr>
        <w:t>” means an “unforeseeable emergency,” as defined in Section 409A. The Administrator shall determine whether the circumstances of the Participant constitute an unforeseeable emergency and thus a Hardship within the meaning of this Section 2.37. Following a uniform procedure, the Administrator’s determination shall consider any facts or conditions deemed necessary or advisable by the Administrator, and the Participant shall be required to submit any evidence of the Participant’s circumstances that the Administrator requires. The determination as to whether the Participant’s circumstances are a case of Hardship shall be based on the facts of each case; provided however, that all determinations as to Hardship shall be uniformly and consistently made according to the provisions of this Section 2.37 for all Participants in similar circumstances.</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2.38. “</w:t>
      </w:r>
      <w:r>
        <w:rPr>
          <w:rFonts w:ascii="Times New Roman" w:cs="Times New Roman" w:eastAsia="Times New Roman" w:hAnsi="Times New Roman"/>
          <w:sz w:val="17"/>
          <w:szCs w:val="17"/>
          <w:u w:val="single" w:color="auto"/>
          <w:color w:val="auto"/>
        </w:rPr>
        <w:t>High Balance Participant</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ind w:right="360" w:firstLine="1528"/>
        <w:spacing w:after="0" w:line="238" w:lineRule="auto"/>
        <w:rPr>
          <w:sz w:val="20"/>
          <w:szCs w:val="20"/>
          <w:color w:val="auto"/>
        </w:rPr>
      </w:pPr>
      <w:r>
        <w:rPr>
          <w:rFonts w:ascii="Times New Roman" w:cs="Times New Roman" w:eastAsia="Times New Roman" w:hAnsi="Times New Roman"/>
          <w:sz w:val="17"/>
          <w:szCs w:val="17"/>
          <w:color w:val="auto"/>
        </w:rPr>
        <w:t>2.38.1. a Participant the value of whose Account that is deemed invested in the Income Fund is greater than or equal to the Income Fund Limit, as determined by the Administrator;</w:t>
      </w:r>
    </w:p>
    <w:p>
      <w:pPr>
        <w:spacing w:after="0" w:line="122"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2.38.2.</w:t>
        <w:tab/>
        <w:t>a Participant who is a Non-Employee Director; and</w:t>
      </w:r>
    </w:p>
    <w:p>
      <w:pPr>
        <w:spacing w:after="0" w:line="144"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2.38.3.</w:t>
      </w:r>
      <w:r>
        <w:rPr>
          <w:sz w:val="20"/>
          <w:szCs w:val="20"/>
          <w:color w:val="auto"/>
        </w:rPr>
        <w:tab/>
      </w:r>
      <w:r>
        <w:rPr>
          <w:rFonts w:ascii="Times New Roman" w:cs="Times New Roman" w:eastAsia="Times New Roman" w:hAnsi="Times New Roman"/>
          <w:sz w:val="16"/>
          <w:szCs w:val="16"/>
          <w:color w:val="auto"/>
        </w:rPr>
        <w:t>a Participant who is a Covered Participant.</w:t>
      </w:r>
    </w:p>
    <w:p>
      <w:pPr>
        <w:spacing w:after="0" w:line="144" w:lineRule="exact"/>
        <w:rPr>
          <w:sz w:val="20"/>
          <w:szCs w:val="20"/>
          <w:color w:val="auto"/>
        </w:rPr>
      </w:pPr>
    </w:p>
    <w:p>
      <w:pPr>
        <w:ind w:right="40" w:firstLine="1019"/>
        <w:spacing w:after="0" w:line="228" w:lineRule="auto"/>
        <w:rPr>
          <w:sz w:val="20"/>
          <w:szCs w:val="20"/>
          <w:color w:val="auto"/>
        </w:rPr>
      </w:pPr>
      <w:r>
        <w:rPr>
          <w:rFonts w:ascii="Times New Roman" w:cs="Times New Roman" w:eastAsia="Times New Roman" w:hAnsi="Times New Roman"/>
          <w:sz w:val="17"/>
          <w:szCs w:val="17"/>
          <w:color w:val="auto"/>
        </w:rPr>
        <w:t>2.39. “</w:t>
      </w:r>
      <w:r>
        <w:rPr>
          <w:rFonts w:ascii="Times New Roman" w:cs="Times New Roman" w:eastAsia="Times New Roman" w:hAnsi="Times New Roman"/>
          <w:sz w:val="17"/>
          <w:szCs w:val="17"/>
          <w:u w:val="single" w:color="auto"/>
          <w:color w:val="auto"/>
        </w:rPr>
        <w:t>Inactive Participant</w:t>
      </w:r>
      <w:r>
        <w:rPr>
          <w:rFonts w:ascii="Times New Roman" w:cs="Times New Roman" w:eastAsia="Times New Roman" w:hAnsi="Times New Roman"/>
          <w:sz w:val="17"/>
          <w:szCs w:val="17"/>
          <w:color w:val="auto"/>
        </w:rPr>
        <w:t>” means each Participant (other than a Non-Employee Director or Section 16 Officer described in Section 3.5(a), Retired Participant, Deceased Participant or Disabled Participant) who is not in active service as a Non-Employee Director or Director Emeritus and is not actively employed by a Participating Company.</w:t>
      </w:r>
    </w:p>
    <w:p>
      <w:pPr>
        <w:spacing w:after="0" w:line="122" w:lineRule="exact"/>
        <w:rPr>
          <w:sz w:val="20"/>
          <w:szCs w:val="20"/>
          <w:color w:val="auto"/>
        </w:rPr>
      </w:pPr>
    </w:p>
    <w:p>
      <w:pPr>
        <w:ind w:firstLine="1019"/>
        <w:spacing w:after="0" w:line="220" w:lineRule="auto"/>
        <w:rPr>
          <w:sz w:val="20"/>
          <w:szCs w:val="20"/>
          <w:color w:val="auto"/>
        </w:rPr>
      </w:pPr>
      <w:r>
        <w:rPr>
          <w:rFonts w:ascii="Times New Roman" w:cs="Times New Roman" w:eastAsia="Times New Roman" w:hAnsi="Times New Roman"/>
          <w:sz w:val="17"/>
          <w:szCs w:val="17"/>
          <w:color w:val="auto"/>
        </w:rPr>
        <w:t>2.40. “</w:t>
      </w:r>
      <w:r>
        <w:rPr>
          <w:rFonts w:ascii="Times New Roman" w:cs="Times New Roman" w:eastAsia="Times New Roman" w:hAnsi="Times New Roman"/>
          <w:sz w:val="17"/>
          <w:szCs w:val="17"/>
          <w:u w:val="single" w:color="auto"/>
          <w:color w:val="auto"/>
        </w:rPr>
        <w:t>Income Fund</w:t>
      </w:r>
      <w:r>
        <w:rPr>
          <w:rFonts w:ascii="Times New Roman" w:cs="Times New Roman" w:eastAsia="Times New Roman" w:hAnsi="Times New Roman"/>
          <w:sz w:val="17"/>
          <w:szCs w:val="17"/>
          <w:color w:val="auto"/>
        </w:rPr>
        <w:t>” means a hypothetical investment fund pursuant to which income, gains and losses are credited to a Participant’s Account as if the Account, to the extent deemed invested in the Income Fund, including an amount equal to the Fair Market Value of Deferred Stock Units subject to a Diversification Election is credited as of the effective date of such Diversification Election, were credited with interest at the Applicable Interest Rate. In addition, the Income Fund shall also be deemed to hold dividend equivalents and earnings on dividend equivalents credited with respect to Deferred Stock Units. For purposes of this Section 2.40, the Income Fund shall include amounts credited to the Income Fund under the Prior DC Plan and the Prior Equity Plan.</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2.41. “</w:t>
      </w:r>
      <w:r>
        <w:rPr>
          <w:rFonts w:ascii="Times New Roman" w:cs="Times New Roman" w:eastAsia="Times New Roman" w:hAnsi="Times New Roman"/>
          <w:sz w:val="17"/>
          <w:szCs w:val="17"/>
          <w:u w:val="single" w:color="auto"/>
          <w:color w:val="auto"/>
        </w:rPr>
        <w:t>Income Fund Limit</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ind w:right="240" w:firstLine="1528"/>
        <w:spacing w:after="0" w:line="223" w:lineRule="auto"/>
        <w:rPr>
          <w:sz w:val="20"/>
          <w:szCs w:val="20"/>
          <w:color w:val="auto"/>
        </w:rPr>
      </w:pPr>
      <w:r>
        <w:rPr>
          <w:rFonts w:ascii="Times New Roman" w:cs="Times New Roman" w:eastAsia="Times New Roman" w:hAnsi="Times New Roman"/>
          <w:sz w:val="17"/>
          <w:szCs w:val="17"/>
          <w:color w:val="auto"/>
        </w:rPr>
        <w:t>2.41.1. With respect to Participants other than Participants described in Section 2.41.2, Section 2.41.3, and Section 2.41.4, $100 million, provided that if the amount credited to a Participant’s Income Fund is greater than $100 million, the Income Fund Limit applicable to such Participant for any applicable Plan Year shall be equal to the amount credited to a Participant’s Income Fund as of the December 31 immediately preceding such applicable Plan Year until such balance is equal to or less than $100 million.</w:t>
      </w:r>
    </w:p>
    <w:p>
      <w:pPr>
        <w:spacing w:after="0" w:line="122"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2.41.2.</w:t>
      </w:r>
      <w:r>
        <w:rPr>
          <w:sz w:val="20"/>
          <w:szCs w:val="20"/>
          <w:color w:val="auto"/>
        </w:rPr>
        <w:tab/>
      </w:r>
      <w:r>
        <w:rPr>
          <w:rFonts w:ascii="Times New Roman" w:cs="Times New Roman" w:eastAsia="Times New Roman" w:hAnsi="Times New Roman"/>
          <w:sz w:val="16"/>
          <w:szCs w:val="16"/>
          <w:color w:val="auto"/>
        </w:rPr>
        <w:t>With respect to Participants who are Non-Employee Directors, $0 (zero dollars).</w:t>
      </w:r>
    </w:p>
    <w:p>
      <w:pPr>
        <w:spacing w:after="0" w:line="144"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2.41.3.</w:t>
      </w:r>
      <w:r>
        <w:rPr>
          <w:sz w:val="20"/>
          <w:szCs w:val="20"/>
          <w:color w:val="auto"/>
        </w:rPr>
        <w:tab/>
      </w:r>
      <w:r>
        <w:rPr>
          <w:rFonts w:ascii="Times New Roman" w:cs="Times New Roman" w:eastAsia="Times New Roman" w:hAnsi="Times New Roman"/>
          <w:sz w:val="16"/>
          <w:szCs w:val="16"/>
          <w:color w:val="auto"/>
        </w:rPr>
        <w:t>With respect to Participants who are Covered Participants as of such date, $0 (zero dollars).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27" w:right="319" w:bottom="1440" w:gutter="0" w:footer="0" w:header="0"/>
        </w:sectPr>
      </w:pPr>
    </w:p>
    <w:bookmarkStart w:id="163" w:name="page164"/>
    <w:bookmarkEnd w:id="163"/>
    <w:p>
      <w:pPr>
        <w:ind w:right="540" w:firstLine="1528"/>
        <w:spacing w:after="0" w:line="238" w:lineRule="auto"/>
        <w:rPr>
          <w:sz w:val="20"/>
          <w:szCs w:val="20"/>
          <w:color w:val="auto"/>
        </w:rPr>
      </w:pPr>
      <w:r>
        <w:rPr>
          <w:rFonts w:ascii="Times New Roman" w:cs="Times New Roman" w:eastAsia="Times New Roman" w:hAnsi="Times New Roman"/>
          <w:sz w:val="17"/>
          <w:szCs w:val="17"/>
          <w:color w:val="auto"/>
        </w:rPr>
        <w:t>2.41.4. Effective as of the last day of the month following the date a Participant first becomes a Non-Employee Director or a Covered Participant, $0 (zero dollars).</w:t>
      </w:r>
    </w:p>
    <w:p>
      <w:pPr>
        <w:spacing w:after="0" w:line="12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color w:val="auto"/>
        </w:rPr>
        <w:t>The Administrator may waive or modify downward the Income Fund Limit applicable to one or more High Balance Participants in its discretion. For purposes of this Section 2.41, the Income Fund shall include amounts credited to the Income Fund under the Prior DC Plan and the Prior Equity Plan.</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2.42. “</w:t>
      </w:r>
      <w:r>
        <w:rPr>
          <w:rFonts w:ascii="Times New Roman" w:cs="Times New Roman" w:eastAsia="Times New Roman" w:hAnsi="Times New Roman"/>
          <w:sz w:val="17"/>
          <w:szCs w:val="17"/>
          <w:u w:val="single" w:color="auto"/>
          <w:color w:val="auto"/>
        </w:rPr>
        <w:t>Initial Deferral Election</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340" w:firstLine="1528"/>
        <w:spacing w:after="0" w:line="228" w:lineRule="auto"/>
        <w:rPr>
          <w:sz w:val="20"/>
          <w:szCs w:val="20"/>
          <w:color w:val="auto"/>
        </w:rPr>
      </w:pPr>
      <w:r>
        <w:rPr>
          <w:rFonts w:ascii="Times New Roman" w:cs="Times New Roman" w:eastAsia="Times New Roman" w:hAnsi="Times New Roman"/>
          <w:sz w:val="17"/>
          <w:szCs w:val="17"/>
          <w:color w:val="auto"/>
        </w:rPr>
        <w:t xml:space="preserve">2.42.1. </w:t>
      </w:r>
      <w:r>
        <w:rPr>
          <w:rFonts w:ascii="Times New Roman" w:cs="Times New Roman" w:eastAsia="Times New Roman" w:hAnsi="Times New Roman"/>
          <w:sz w:val="17"/>
          <w:szCs w:val="17"/>
          <w:u w:val="single" w:color="auto"/>
          <w:color w:val="auto"/>
        </w:rPr>
        <w:t>Non-Employee Directors and Directors Emeriti</w:t>
      </w:r>
      <w:r>
        <w:rPr>
          <w:rFonts w:ascii="Times New Roman" w:cs="Times New Roman" w:eastAsia="Times New Roman" w:hAnsi="Times New Roman"/>
          <w:sz w:val="17"/>
          <w:szCs w:val="17"/>
          <w:color w:val="auto"/>
        </w:rPr>
        <w:t>. With respect to Non-Employee Directors and Directors Emeriti, the term “Initial Deferral Election” means one or more written elections on a form provided by the Administrator and filed with the Administrator in accordance with Article 3, pursuant to which a Non-Employee Director or Director Emeritus may:</w:t>
      </w:r>
    </w:p>
    <w:p>
      <w:pPr>
        <w:spacing w:after="0" w:line="122" w:lineRule="exact"/>
        <w:rPr>
          <w:sz w:val="20"/>
          <w:szCs w:val="20"/>
          <w:color w:val="auto"/>
        </w:rPr>
      </w:pPr>
    </w:p>
    <w:p>
      <w:pPr>
        <w:ind w:right="240" w:firstLine="1533"/>
        <w:spacing w:after="0" w:line="238" w:lineRule="auto"/>
        <w:tabs>
          <w:tab w:leader="none" w:pos="188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 to defer the receipt of any portion of the Compensation payable for the performance of services as a Non-Employee Director or a Director Emeritus, net of required withholdings and deductions as determined by the Administrator in its sole discretion;</w:t>
      </w:r>
    </w:p>
    <w:p>
      <w:pPr>
        <w:spacing w:after="0" w:line="121"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 to defer the receipt of Restricted Stock Units; and</w:t>
      </w:r>
    </w:p>
    <w:p>
      <w:pPr>
        <w:spacing w:after="0" w:line="136"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Designate the time of payment of the amount of deferred Compensation and Deferred Stock Units to which the Initial Deferral Election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relates.</w:t>
      </w:r>
    </w:p>
    <w:p>
      <w:pPr>
        <w:spacing w:after="0" w:line="126" w:lineRule="exact"/>
        <w:rPr>
          <w:sz w:val="20"/>
          <w:szCs w:val="20"/>
          <w:color w:val="auto"/>
        </w:rPr>
      </w:pPr>
    </w:p>
    <w:p>
      <w:pPr>
        <w:ind w:firstLine="1528"/>
        <w:spacing w:after="0" w:line="238" w:lineRule="auto"/>
        <w:rPr>
          <w:sz w:val="20"/>
          <w:szCs w:val="20"/>
          <w:color w:val="auto"/>
        </w:rPr>
      </w:pPr>
      <w:r>
        <w:rPr>
          <w:rFonts w:ascii="Times New Roman" w:cs="Times New Roman" w:eastAsia="Times New Roman" w:hAnsi="Times New Roman"/>
          <w:sz w:val="17"/>
          <w:szCs w:val="17"/>
          <w:color w:val="auto"/>
        </w:rPr>
        <w:t xml:space="preserve">2.42.2. </w:t>
      </w:r>
      <w:r>
        <w:rPr>
          <w:rFonts w:ascii="Times New Roman" w:cs="Times New Roman" w:eastAsia="Times New Roman" w:hAnsi="Times New Roman"/>
          <w:sz w:val="17"/>
          <w:szCs w:val="17"/>
          <w:u w:val="single" w:color="auto"/>
          <w:color w:val="auto"/>
        </w:rPr>
        <w:t>Eligible Employees</w:t>
      </w:r>
      <w:r>
        <w:rPr>
          <w:rFonts w:ascii="Times New Roman" w:cs="Times New Roman" w:eastAsia="Times New Roman" w:hAnsi="Times New Roman"/>
          <w:sz w:val="17"/>
          <w:szCs w:val="17"/>
          <w:color w:val="auto"/>
        </w:rPr>
        <w:t>. The term “Initial Deferral Election” means one or more written elections provided by the Administrator and filed with the Administrator in accordance with Article 3 pursuant to which an Eligible Employee may:</w:t>
      </w:r>
    </w:p>
    <w:p>
      <w:pPr>
        <w:spacing w:after="0" w:line="122" w:lineRule="exact"/>
        <w:rPr>
          <w:sz w:val="20"/>
          <w:szCs w:val="20"/>
          <w:color w:val="auto"/>
        </w:rPr>
      </w:pPr>
    </w:p>
    <w:p>
      <w:pPr>
        <w:ind w:left="1900" w:hanging="367"/>
        <w:spacing w:after="0"/>
        <w:tabs>
          <w:tab w:leader="none" w:pos="19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limitations described in Section 2.42.3,</w:t>
      </w:r>
    </w:p>
    <w:p>
      <w:pPr>
        <w:spacing w:after="0" w:line="136" w:lineRule="exact"/>
        <w:rPr>
          <w:rFonts w:ascii="Times New Roman" w:cs="Times New Roman" w:eastAsia="Times New Roman" w:hAnsi="Times New Roman"/>
          <w:sz w:val="17"/>
          <w:szCs w:val="17"/>
          <w:color w:val="auto"/>
        </w:rPr>
      </w:pPr>
    </w:p>
    <w:p>
      <w:pPr>
        <w:ind w:left="2380" w:hanging="338"/>
        <w:spacing w:after="0"/>
        <w:tabs>
          <w:tab w:leader="none" w:pos="238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 to defer Compensation payable for the performance of services as an Eligible Employee following the time that such election</w:t>
      </w:r>
    </w:p>
    <w:p>
      <w:pPr>
        <w:spacing w:after="0"/>
        <w:rPr>
          <w:sz w:val="20"/>
          <w:szCs w:val="20"/>
          <w:color w:val="auto"/>
        </w:rPr>
      </w:pPr>
      <w:r>
        <w:rPr>
          <w:rFonts w:ascii="Times New Roman" w:cs="Times New Roman" w:eastAsia="Times New Roman" w:hAnsi="Times New Roman"/>
          <w:sz w:val="17"/>
          <w:szCs w:val="17"/>
          <w:color w:val="auto"/>
        </w:rPr>
        <w:t>is filed; and</w:t>
      </w:r>
    </w:p>
    <w:p>
      <w:pPr>
        <w:spacing w:after="0" w:line="118" w:lineRule="exact"/>
        <w:rPr>
          <w:sz w:val="20"/>
          <w:szCs w:val="20"/>
          <w:color w:val="auto"/>
        </w:rPr>
      </w:pPr>
    </w:p>
    <w:p>
      <w:pPr>
        <w:ind w:left="2420" w:hanging="378"/>
        <w:spacing w:after="0"/>
        <w:tabs>
          <w:tab w:leader="none" w:pos="24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Participant who is an RSU Deferral Eligible Employee, elect to defer the receipt of Restricted Stock Units that qualify as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Performance-Based Compensation;</w:t>
      </w:r>
    </w:p>
    <w:p>
      <w:pPr>
        <w:spacing w:after="0" w:line="118"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Designate the time of payment of the amount of deferred Compensation and Deferred Stock Units to which the Initial Deferral Election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relates.</w:t>
      </w:r>
    </w:p>
    <w:p>
      <w:pPr>
        <w:spacing w:after="0" w:line="126"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2.42.3.</w:t>
      </w:r>
      <w:r>
        <w:rPr>
          <w:sz w:val="20"/>
          <w:szCs w:val="20"/>
          <w:color w:val="auto"/>
        </w:rPr>
        <w:tab/>
      </w:r>
      <w:r>
        <w:rPr>
          <w:rFonts w:ascii="Times New Roman" w:cs="Times New Roman" w:eastAsia="Times New Roman" w:hAnsi="Times New Roman"/>
          <w:sz w:val="16"/>
          <w:szCs w:val="16"/>
          <w:color w:val="auto"/>
        </w:rPr>
        <w:t>The following rules shall apply to Initial Deferral Elections other than Initial Deferral Elections described in Section 2.42.2(a)(ii):</w:t>
      </w:r>
    </w:p>
    <w:p>
      <w:pPr>
        <w:spacing w:after="0" w:line="144" w:lineRule="exact"/>
        <w:rPr>
          <w:sz w:val="20"/>
          <w:szCs w:val="20"/>
          <w:color w:val="auto"/>
        </w:rPr>
      </w:pPr>
    </w:p>
    <w:p>
      <w:pPr>
        <w:ind w:left="1900" w:hanging="367"/>
        <w:spacing w:after="0"/>
        <w:tabs>
          <w:tab w:leader="none" w:pos="19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limits on deferrals of Compensation described in Section 2.42.3(b) and Section 2.42.3(c):</w:t>
      </w:r>
    </w:p>
    <w:p>
      <w:pPr>
        <w:spacing w:after="0" w:line="144" w:lineRule="exact"/>
        <w:rPr>
          <w:rFonts w:ascii="Times New Roman" w:cs="Times New Roman" w:eastAsia="Times New Roman" w:hAnsi="Times New Roman"/>
          <w:sz w:val="17"/>
          <w:szCs w:val="17"/>
          <w:color w:val="auto"/>
        </w:rPr>
      </w:pPr>
    </w:p>
    <w:p>
      <w:pPr>
        <w:ind w:right="380" w:firstLine="2042"/>
        <w:spacing w:after="0" w:line="238" w:lineRule="auto"/>
        <w:tabs>
          <w:tab w:leader="none" w:pos="2367"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113" w:lineRule="exact"/>
        <w:rPr>
          <w:rFonts w:ascii="Times New Roman" w:cs="Times New Roman" w:eastAsia="Times New Roman" w:hAnsi="Times New Roman"/>
          <w:sz w:val="17"/>
          <w:szCs w:val="17"/>
          <w:color w:val="auto"/>
        </w:rPr>
      </w:pPr>
    </w:p>
    <w:p>
      <w:pPr>
        <w:ind w:left="2420" w:hanging="378"/>
        <w:spacing w:after="0"/>
        <w:tabs>
          <w:tab w:leader="none" w:pos="242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amount of a Signing Bonus available for deferral pursuant to an Initial Deferral Election shall not exceed 50%,</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127"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color w:val="auto"/>
        </w:rPr>
        <w:t>determined by the Administrator in its discretion on an exceptions basis for Participants who are not Section 16 Officers.</w:t>
      </w:r>
    </w:p>
    <w:p>
      <w:pPr>
        <w:spacing w:after="0" w:line="144" w:lineRule="exact"/>
        <w:rPr>
          <w:sz w:val="20"/>
          <w:szCs w:val="20"/>
          <w:color w:val="auto"/>
        </w:rPr>
      </w:pPr>
    </w:p>
    <w:p>
      <w:pPr>
        <w:ind w:right="360" w:firstLine="1533"/>
        <w:spacing w:after="0" w:line="238" w:lineRule="auto"/>
        <w:tabs>
          <w:tab w:leader="none" w:pos="1893"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amount subject to Initial Deferral Elections for any Plan Year shall not exceed 35% of Total Compensation, except as otherwise determined by the Administrator in its discretion on an exceptions basis for Participants who are not Section 16 Officers.</w:t>
      </w:r>
    </w:p>
    <w:p>
      <w:pPr>
        <w:spacing w:after="0" w:line="121" w:lineRule="exact"/>
        <w:rPr>
          <w:rFonts w:ascii="Times New Roman" w:cs="Times New Roman" w:eastAsia="Times New Roman" w:hAnsi="Times New Roman"/>
          <w:sz w:val="17"/>
          <w:szCs w:val="17"/>
          <w:color w:val="auto"/>
        </w:rPr>
      </w:pPr>
    </w:p>
    <w:p>
      <w:pPr>
        <w:ind w:right="60" w:firstLine="1533"/>
        <w:spacing w:after="0" w:line="227" w:lineRule="auto"/>
        <w:tabs>
          <w:tab w:leader="none" w:pos="188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Initial Deferral Election with respect to Compensation expected to be earned in a Plan Year shall be effective if the sum of (x) the value of the Eligible Employee’s Account in the Plan, plus (y) the value of the Eligible Employee’s Account in the Prior DC Plan, plus (z) the value of the Eligible Employee’s Account in the Prior Equity Plan to the extent such Account is credited to the “Income Fund” thereunder, exceeds the Contribution Limit with respect to such Plan Year, determined as of September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immediately preceding such Plan Year.</w:t>
      </w:r>
    </w:p>
    <w:p>
      <w:pPr>
        <w:spacing w:after="0" w:line="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2.43. “</w:t>
      </w:r>
      <w:r>
        <w:rPr>
          <w:rFonts w:ascii="Times New Roman" w:cs="Times New Roman" w:eastAsia="Times New Roman" w:hAnsi="Times New Roman"/>
          <w:sz w:val="17"/>
          <w:szCs w:val="17"/>
          <w:u w:val="single" w:color="auto"/>
          <w:color w:val="auto"/>
        </w:rPr>
        <w:t>NBCUniversal</w:t>
      </w:r>
      <w:r>
        <w:rPr>
          <w:rFonts w:ascii="Times New Roman" w:cs="Times New Roman" w:eastAsia="Times New Roman" w:hAnsi="Times New Roman"/>
          <w:sz w:val="17"/>
          <w:szCs w:val="17"/>
          <w:color w:val="auto"/>
        </w:rPr>
        <w:t>” means NBCUniversal, LLC and its subsidiaries.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2.44. “</w:t>
      </w:r>
      <w:r>
        <w:rPr>
          <w:rFonts w:ascii="Times New Roman" w:cs="Times New Roman" w:eastAsia="Times New Roman" w:hAnsi="Times New Roman"/>
          <w:sz w:val="17"/>
          <w:szCs w:val="17"/>
          <w:u w:val="single" w:color="auto"/>
          <w:color w:val="auto"/>
        </w:rPr>
        <w:t>New Key Employee</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2.44.1.</w:t>
      </w:r>
      <w:r>
        <w:rPr>
          <w:sz w:val="20"/>
          <w:szCs w:val="20"/>
          <w:color w:val="auto"/>
        </w:rPr>
        <w:tab/>
      </w:r>
      <w:r>
        <w:rPr>
          <w:rFonts w:ascii="Times New Roman" w:cs="Times New Roman" w:eastAsia="Times New Roman" w:hAnsi="Times New Roman"/>
          <w:sz w:val="16"/>
          <w:szCs w:val="16"/>
          <w:u w:val="single" w:color="auto"/>
          <w:color w:val="auto"/>
        </w:rPr>
        <w:t>Employees of Comcast.</w:t>
      </w:r>
    </w:p>
    <w:p>
      <w:pPr>
        <w:spacing w:after="0" w:line="144" w:lineRule="exact"/>
        <w:rPr>
          <w:sz w:val="20"/>
          <w:szCs w:val="20"/>
          <w:color w:val="auto"/>
        </w:rPr>
      </w:pPr>
    </w:p>
    <w:p>
      <w:pPr>
        <w:ind w:left="1900" w:hanging="367"/>
        <w:spacing w:after="0"/>
        <w:tabs>
          <w:tab w:leader="none" w:pos="19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Section 2.44.4, each employee of a Participating Company other than NBCUniversal:</w:t>
      </w:r>
    </w:p>
    <w:p>
      <w:pPr>
        <w:spacing w:after="0" w:line="144" w:lineRule="exact"/>
        <w:rPr>
          <w:rFonts w:ascii="Times New Roman" w:cs="Times New Roman" w:eastAsia="Times New Roman" w:hAnsi="Times New Roman"/>
          <w:sz w:val="17"/>
          <w:szCs w:val="17"/>
          <w:color w:val="auto"/>
        </w:rPr>
      </w:pPr>
    </w:p>
    <w:p>
      <w:pPr>
        <w:ind w:right="480" w:firstLine="2042"/>
        <w:spacing w:after="0" w:line="238" w:lineRule="auto"/>
        <w:tabs>
          <w:tab w:leader="none" w:pos="2367"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(x) becomes an employee of a Participating Company and (y) has an Annual Rate of Pay of $350,000 or more as of his employment commencement date, or</w:t>
      </w:r>
    </w:p>
    <w:p>
      <w:pPr>
        <w:spacing w:after="0" w:line="121" w:lineRule="exact"/>
        <w:rPr>
          <w:rFonts w:ascii="Times New Roman" w:cs="Times New Roman" w:eastAsia="Times New Roman" w:hAnsi="Times New Roman"/>
          <w:sz w:val="17"/>
          <w:szCs w:val="17"/>
          <w:color w:val="auto"/>
        </w:rPr>
      </w:pPr>
    </w:p>
    <w:p>
      <w:pPr>
        <w:ind w:left="2420" w:hanging="378"/>
        <w:spacing w:after="0"/>
        <w:tabs>
          <w:tab w:leader="none" w:pos="2420"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 (x) has an Annual Rate of Pay that is increased to $350,000 or more and (y) immediately preceding such increase, was not an</w:t>
      </w:r>
    </w:p>
    <w:p>
      <w:pPr>
        <w:spacing w:after="0" w:line="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Eligible Employee.</w:t>
      </w:r>
    </w:p>
    <w:p>
      <w:pPr>
        <w:spacing w:after="0" w:line="126" w:lineRule="exact"/>
        <w:rPr>
          <w:sz w:val="20"/>
          <w:szCs w:val="20"/>
          <w:color w:val="auto"/>
        </w:rPr>
      </w:pPr>
    </w:p>
    <w:p>
      <w:pPr>
        <w:ind w:right="240" w:firstLine="1528"/>
        <w:spacing w:after="0" w:line="228" w:lineRule="auto"/>
        <w:rPr>
          <w:sz w:val="20"/>
          <w:szCs w:val="20"/>
          <w:color w:val="auto"/>
        </w:rPr>
      </w:pPr>
      <w:r>
        <w:rPr>
          <w:rFonts w:ascii="Times New Roman" w:cs="Times New Roman" w:eastAsia="Times New Roman" w:hAnsi="Times New Roman"/>
          <w:sz w:val="17"/>
          <w:szCs w:val="17"/>
          <w:color w:val="auto"/>
        </w:rPr>
        <w:t xml:space="preserve">2.44.2. </w:t>
      </w:r>
      <w:r>
        <w:rPr>
          <w:rFonts w:ascii="Times New Roman" w:cs="Times New Roman" w:eastAsia="Times New Roman" w:hAnsi="Times New Roman"/>
          <w:sz w:val="17"/>
          <w:szCs w:val="17"/>
          <w:u w:val="single" w:color="auto"/>
          <w:color w:val="auto"/>
        </w:rPr>
        <w:t>Employees of NBCUniversal</w:t>
      </w:r>
      <w:r>
        <w:rPr>
          <w:rFonts w:ascii="Times New Roman" w:cs="Times New Roman" w:eastAsia="Times New Roman" w:hAnsi="Times New Roman"/>
          <w:sz w:val="17"/>
          <w:szCs w:val="17"/>
          <w:color w:val="auto"/>
        </w:rPr>
        <w:t>. Except as provided in Section 2.44.4, each employee of NBCUniversal who (x) first becomes a member of the NBCUniversal Executive Committee or the NBCUniversal Management Committee and approved by the Administrator during a Plan Year and (y) immediately preceding the effective date of such membership, was not an Eligible Employee.</w:t>
      </w:r>
    </w:p>
    <w:p>
      <w:pPr>
        <w:spacing w:after="0" w:line="122"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7"/>
          <w:szCs w:val="17"/>
          <w:color w:val="auto"/>
        </w:rPr>
        <w:t>2.44.3.</w:t>
      </w:r>
      <w:r>
        <w:rPr>
          <w:sz w:val="20"/>
          <w:szCs w:val="20"/>
          <w:color w:val="auto"/>
        </w:rPr>
        <w:tab/>
      </w:r>
      <w:r>
        <w:rPr>
          <w:rFonts w:ascii="Times New Roman" w:cs="Times New Roman" w:eastAsia="Times New Roman" w:hAnsi="Times New Roman"/>
          <w:sz w:val="17"/>
          <w:szCs w:val="17"/>
          <w:u w:val="single" w:color="auto"/>
          <w:color w:val="auto"/>
        </w:rPr>
        <w:t>Employees of Comcast Spectacor</w:t>
      </w:r>
      <w:r>
        <w:rPr>
          <w:rFonts w:ascii="Times New Roman" w:cs="Times New Roman" w:eastAsia="Times New Roman" w:hAnsi="Times New Roman"/>
          <w:sz w:val="17"/>
          <w:szCs w:val="17"/>
          <w:color w:val="auto"/>
        </w:rPr>
        <w:t>. Except as provided in Section 2.44.4, each employee of Comcast Spectacor:</w:t>
      </w:r>
    </w:p>
    <w:p>
      <w:pPr>
        <w:spacing w:after="0" w:line="144" w:lineRule="exact"/>
        <w:rPr>
          <w:sz w:val="20"/>
          <w:szCs w:val="20"/>
          <w:color w:val="auto"/>
        </w:rPr>
      </w:pPr>
    </w:p>
    <w:p>
      <w:pPr>
        <w:ind w:right="520" w:firstLine="1533"/>
        <w:spacing w:after="0" w:line="238" w:lineRule="auto"/>
        <w:tabs>
          <w:tab w:leader="none" w:pos="2098"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(i) becomes an employee of Comcast Spectacor, (ii) has an Annual Rate of Pay of $350,000 or more as of his employment commencement date and (iii) is designated as an Eligible Comcast Spectacor Employee by the Administrator, or</w:t>
      </w:r>
    </w:p>
    <w:p>
      <w:pPr>
        <w:spacing w:after="0" w:line="121" w:lineRule="exact"/>
        <w:rPr>
          <w:rFonts w:ascii="Times New Roman" w:cs="Times New Roman" w:eastAsia="Times New Roman" w:hAnsi="Times New Roman"/>
          <w:sz w:val="17"/>
          <w:szCs w:val="17"/>
          <w:color w:val="auto"/>
        </w:rPr>
      </w:pPr>
    </w:p>
    <w:p>
      <w:pPr>
        <w:ind w:right="620" w:firstLine="1533"/>
        <w:spacing w:after="0" w:line="238" w:lineRule="auto"/>
        <w:tabs>
          <w:tab w:leader="none" w:pos="2108"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(x) is designated as an Eligible Comcast Spectacor Employee by the Administrator, (y) has an Annual Rate of Pay that is increased to $350,000 or more and (z) immediately preceding such increase, was not an Eligible Employee.</w:t>
      </w:r>
    </w:p>
    <w:p>
      <w:pPr>
        <w:spacing w:after="0" w:line="114"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2.44.4.</w:t>
      </w:r>
      <w:r>
        <w:rPr>
          <w:sz w:val="20"/>
          <w:szCs w:val="20"/>
          <w:color w:val="auto"/>
        </w:rPr>
        <w:tab/>
      </w:r>
      <w:r>
        <w:rPr>
          <w:rFonts w:ascii="Times New Roman" w:cs="Times New Roman" w:eastAsia="Times New Roman" w:hAnsi="Times New Roman"/>
          <w:sz w:val="16"/>
          <w:szCs w:val="16"/>
          <w:color w:val="auto"/>
        </w:rPr>
        <w:t>Notwithstanding Section 2.44.1, 2.44.2, 2.44.3 or 3.3(b) to the contrary, no individual shall be treated as a New Key Employee or a</w:t>
      </w:r>
    </w:p>
    <w:p>
      <w:pPr>
        <w:spacing w:after="0"/>
        <w:rPr>
          <w:sz w:val="20"/>
          <w:szCs w:val="20"/>
          <w:color w:val="auto"/>
        </w:rPr>
      </w:pPr>
      <w:r>
        <w:rPr>
          <w:rFonts w:ascii="Times New Roman" w:cs="Times New Roman" w:eastAsia="Times New Roman" w:hAnsi="Times New Roman"/>
          <w:sz w:val="17"/>
          <w:szCs w:val="17"/>
          <w:color w:val="auto"/>
        </w:rPr>
        <w:t>New Non-Employee Director with respect to any Plan Year if: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60"/>
          </w:cols>
          <w:pgMar w:left="300" w:top="1127" w:right="339" w:bottom="1440" w:gutter="0" w:footer="0" w:header="0"/>
        </w:sectPr>
      </w:pPr>
    </w:p>
    <w:bookmarkStart w:id="165" w:name="page166"/>
    <w:bookmarkEnd w:id="165"/>
    <w:p>
      <w:pPr>
        <w:ind w:right="220" w:firstLine="1533"/>
        <w:spacing w:after="0" w:line="267" w:lineRule="auto"/>
        <w:tabs>
          <w:tab w:leader="none" w:pos="1886"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employee or Non-Employee Director was eligible to participate in another plan sponsored by the Company or an Affiliate of the Company which is considered to be of a similar type as defined in Treasury Regulation Section 1.409A-1(c)(2)(i)(A) or (B) with respect to such Plan Year; or</w:t>
      </w:r>
    </w:p>
    <w:p>
      <w:pPr>
        <w:spacing w:after="0" w:line="99" w:lineRule="exact"/>
        <w:rPr>
          <w:rFonts w:ascii="Times New Roman" w:cs="Times New Roman" w:eastAsia="Times New Roman" w:hAnsi="Times New Roman"/>
          <w:sz w:val="16"/>
          <w:szCs w:val="16"/>
          <w:color w:val="auto"/>
        </w:rPr>
      </w:pPr>
    </w:p>
    <w:p>
      <w:pPr>
        <w:ind w:right="160" w:firstLine="1533"/>
        <w:spacing w:after="0" w:line="228" w:lineRule="auto"/>
        <w:tabs>
          <w:tab w:leader="none" w:pos="189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employee or Non-Employee Director has been eligible to participate in the Plan or any other plan referenced in Section 2.44.4(a) (other than with respect to the accrual of earnings) at any time during the 24-month period ending on the date such employee would, but for this Section 2.44.4, otherwise become a New Key Employee.</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2.45. “</w:t>
      </w:r>
      <w:r>
        <w:rPr>
          <w:rFonts w:ascii="Times New Roman" w:cs="Times New Roman" w:eastAsia="Times New Roman" w:hAnsi="Times New Roman"/>
          <w:sz w:val="17"/>
          <w:szCs w:val="17"/>
          <w:u w:val="single" w:color="auto"/>
          <w:color w:val="auto"/>
        </w:rPr>
        <w:t>Non-Employee Director</w:t>
      </w:r>
      <w:r>
        <w:rPr>
          <w:rFonts w:ascii="Times New Roman" w:cs="Times New Roman" w:eastAsia="Times New Roman" w:hAnsi="Times New Roman"/>
          <w:sz w:val="17"/>
          <w:szCs w:val="17"/>
          <w:color w:val="auto"/>
        </w:rPr>
        <w:t>” means a member of the Board who is not an Eligible Employee of a Participating Company.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2.46. “</w:t>
      </w:r>
      <w:r>
        <w:rPr>
          <w:rFonts w:ascii="Times New Roman" w:cs="Times New Roman" w:eastAsia="Times New Roman" w:hAnsi="Times New Roman"/>
          <w:sz w:val="17"/>
          <w:szCs w:val="17"/>
          <w:u w:val="single" w:color="auto"/>
          <w:color w:val="auto"/>
        </w:rPr>
        <w:t>Normal Retirement</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ind w:right="180" w:firstLine="1528"/>
        <w:spacing w:after="0" w:line="228" w:lineRule="auto"/>
        <w:rPr>
          <w:sz w:val="20"/>
          <w:szCs w:val="20"/>
          <w:color w:val="auto"/>
        </w:rPr>
      </w:pPr>
      <w:r>
        <w:rPr>
          <w:rFonts w:ascii="Times New Roman" w:cs="Times New Roman" w:eastAsia="Times New Roman" w:hAnsi="Times New Roman"/>
          <w:sz w:val="17"/>
          <w:szCs w:val="17"/>
          <w:color w:val="auto"/>
        </w:rPr>
        <w:t>2.46.1. 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22" w:lineRule="exact"/>
        <w:rPr>
          <w:sz w:val="20"/>
          <w:szCs w:val="20"/>
          <w:color w:val="auto"/>
        </w:rPr>
      </w:pPr>
    </w:p>
    <w:p>
      <w:pPr>
        <w:ind w:right="480" w:firstLine="1528"/>
        <w:spacing w:after="0" w:line="238" w:lineRule="auto"/>
        <w:rPr>
          <w:sz w:val="20"/>
          <w:szCs w:val="20"/>
          <w:color w:val="auto"/>
        </w:rPr>
      </w:pPr>
      <w:r>
        <w:rPr>
          <w:rFonts w:ascii="Times New Roman" w:cs="Times New Roman" w:eastAsia="Times New Roman" w:hAnsi="Times New Roman"/>
          <w:sz w:val="17"/>
          <w:szCs w:val="17"/>
          <w:color w:val="auto"/>
        </w:rPr>
        <w:t>2.46.2. For a Participant who is a Non-Employee Director or Director Emeritus immediately preceding his termination of service, the Participant’s normal retirement from the Board.</w:t>
      </w:r>
    </w:p>
    <w:p>
      <w:pPr>
        <w:spacing w:after="0" w:line="122" w:lineRule="exact"/>
        <w:rPr>
          <w:sz w:val="20"/>
          <w:szCs w:val="20"/>
          <w:color w:val="auto"/>
        </w:rPr>
      </w:pPr>
    </w:p>
    <w:p>
      <w:pPr>
        <w:ind w:right="80" w:firstLine="1019"/>
        <w:spacing w:after="0" w:line="223" w:lineRule="auto"/>
        <w:rPr>
          <w:sz w:val="20"/>
          <w:szCs w:val="20"/>
          <w:color w:val="auto"/>
        </w:rPr>
      </w:pPr>
      <w:r>
        <w:rPr>
          <w:rFonts w:ascii="Times New Roman" w:cs="Times New Roman" w:eastAsia="Times New Roman" w:hAnsi="Times New Roman"/>
          <w:sz w:val="17"/>
          <w:szCs w:val="17"/>
          <w:color w:val="auto"/>
        </w:rPr>
        <w:t>2.47. “</w:t>
      </w:r>
      <w:r>
        <w:rPr>
          <w:rFonts w:ascii="Times New Roman" w:cs="Times New Roman" w:eastAsia="Times New Roman" w:hAnsi="Times New Roman"/>
          <w:sz w:val="17"/>
          <w:szCs w:val="17"/>
          <w:u w:val="single" w:color="auto"/>
          <w:color w:val="auto"/>
        </w:rPr>
        <w:t>Other Investment Fund</w:t>
      </w:r>
      <w:r>
        <w:rPr>
          <w:rFonts w:ascii="Times New Roman" w:cs="Times New Roman" w:eastAsia="Times New Roman" w:hAnsi="Times New Roman"/>
          <w:sz w:val="17"/>
          <w:szCs w:val="17"/>
          <w:color w:val="auto"/>
        </w:rPr>
        <w:t>” means the Company Stock Fund and such other hypothetical investment funds designated by the Administrator, pursuant to which income, gains, and losses are credited to a Participant’s Account as if the Account, to the extent deemed invested in such Other Investment Fund, were credited with income, gains, and losses as if actually invested in such Other Investment Fund. The Participant shall designate the Other Investment Funds in which the Participant’s Account shall be invested in accordance with rules established by the Administrator.</w:t>
      </w:r>
    </w:p>
    <w:p>
      <w:pPr>
        <w:spacing w:after="0" w:line="122" w:lineRule="exact"/>
        <w:rPr>
          <w:sz w:val="20"/>
          <w:szCs w:val="20"/>
          <w:color w:val="auto"/>
        </w:rPr>
      </w:pPr>
    </w:p>
    <w:p>
      <w:pPr>
        <w:jc w:val="both"/>
        <w:ind w:right="120" w:firstLine="1019"/>
        <w:spacing w:after="0" w:line="228" w:lineRule="auto"/>
        <w:rPr>
          <w:sz w:val="20"/>
          <w:szCs w:val="20"/>
          <w:color w:val="auto"/>
        </w:rPr>
      </w:pPr>
      <w:r>
        <w:rPr>
          <w:rFonts w:ascii="Times New Roman" w:cs="Times New Roman" w:eastAsia="Times New Roman" w:hAnsi="Times New Roman"/>
          <w:sz w:val="17"/>
          <w:szCs w:val="17"/>
          <w:color w:val="auto"/>
        </w:rPr>
        <w:t>2.48.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means each individual who has made an Initial Deferral Election, or for whom an Account is established pursuant to Section 5.1, and who has an undistributed amount credited to an Account under the Plan, including an Active Participant, a Deceased Participant, a Retired Participant, an RSU Deferral Eligible Employee, a Disabled Participant, and an Inactive Participant.</w:t>
      </w:r>
    </w:p>
    <w:p>
      <w:pPr>
        <w:spacing w:after="0" w:line="122" w:lineRule="exact"/>
        <w:rPr>
          <w:sz w:val="20"/>
          <w:szCs w:val="20"/>
          <w:color w:val="auto"/>
        </w:rPr>
      </w:pPr>
    </w:p>
    <w:p>
      <w:pPr>
        <w:ind w:firstLine="1019"/>
        <w:spacing w:after="0" w:line="223" w:lineRule="auto"/>
        <w:rPr>
          <w:sz w:val="20"/>
          <w:szCs w:val="20"/>
          <w:color w:val="auto"/>
        </w:rPr>
      </w:pPr>
      <w:r>
        <w:rPr>
          <w:rFonts w:ascii="Times New Roman" w:cs="Times New Roman" w:eastAsia="Times New Roman" w:hAnsi="Times New Roman"/>
          <w:sz w:val="17"/>
          <w:szCs w:val="17"/>
          <w:color w:val="auto"/>
        </w:rPr>
        <w:t>2.49. “</w:t>
      </w:r>
      <w:r>
        <w:rPr>
          <w:rFonts w:ascii="Times New Roman" w:cs="Times New Roman" w:eastAsia="Times New Roman" w:hAnsi="Times New Roman"/>
          <w:sz w:val="17"/>
          <w:szCs w:val="17"/>
          <w:u w:val="single" w:color="auto"/>
          <w:color w:val="auto"/>
        </w:rPr>
        <w:t>Participating Company</w:t>
      </w:r>
      <w:r>
        <w:rPr>
          <w:rFonts w:ascii="Times New Roman" w:cs="Times New Roman" w:eastAsia="Times New Roman" w:hAnsi="Times New Roman"/>
          <w:sz w:val="17"/>
          <w:szCs w:val="17"/>
          <w:color w:val="auto"/>
        </w:rPr>
        <w:t>” means the Company and each Affiliate of the Company in which the Company owns, directly or indirectly, 50 percent or more of the voting interests or value, other than such an affiliate designated by the Administrator as an excluded Affiliate. Notwithstanding the foregoing, the Administrator may delegate its authority to designate an eligible Affiliate as an excluded Affiliate under this Section 2.49 to an officer of the Company or committee of two or more officers of the Company.</w:t>
      </w:r>
    </w:p>
    <w:p>
      <w:pPr>
        <w:spacing w:after="0" w:line="122" w:lineRule="exact"/>
        <w:rPr>
          <w:sz w:val="20"/>
          <w:szCs w:val="20"/>
          <w:color w:val="auto"/>
        </w:rPr>
      </w:pPr>
    </w:p>
    <w:p>
      <w:pPr>
        <w:ind w:right="40" w:firstLine="1019"/>
        <w:spacing w:after="0" w:line="238" w:lineRule="auto"/>
        <w:rPr>
          <w:sz w:val="20"/>
          <w:szCs w:val="20"/>
          <w:color w:val="auto"/>
        </w:rPr>
      </w:pPr>
      <w:r>
        <w:rPr>
          <w:rFonts w:ascii="Times New Roman" w:cs="Times New Roman" w:eastAsia="Times New Roman" w:hAnsi="Times New Roman"/>
          <w:sz w:val="17"/>
          <w:szCs w:val="17"/>
          <w:color w:val="auto"/>
        </w:rPr>
        <w:t>2.50. “</w:t>
      </w:r>
      <w:r>
        <w:rPr>
          <w:rFonts w:ascii="Times New Roman" w:cs="Times New Roman" w:eastAsia="Times New Roman" w:hAnsi="Times New Roman"/>
          <w:sz w:val="17"/>
          <w:szCs w:val="17"/>
          <w:u w:val="single" w:color="auto"/>
          <w:color w:val="auto"/>
        </w:rPr>
        <w:t>Performance-Based Compensation</w:t>
      </w:r>
      <w:r>
        <w:rPr>
          <w:rFonts w:ascii="Times New Roman" w:cs="Times New Roman" w:eastAsia="Times New Roman" w:hAnsi="Times New Roman"/>
          <w:sz w:val="17"/>
          <w:szCs w:val="17"/>
          <w:color w:val="auto"/>
        </w:rPr>
        <w:t>” means Compensation or an Award that satisfies the requirements for “Performance-Based Compensation” under Section 409A.</w:t>
      </w:r>
    </w:p>
    <w:p>
      <w:pPr>
        <w:spacing w:after="0" w:line="122" w:lineRule="exact"/>
        <w:rPr>
          <w:sz w:val="20"/>
          <w:szCs w:val="20"/>
          <w:color w:val="auto"/>
        </w:rPr>
      </w:pPr>
    </w:p>
    <w:p>
      <w:pPr>
        <w:jc w:val="both"/>
        <w:ind w:right="500" w:firstLine="1019"/>
        <w:spacing w:after="0" w:line="267" w:lineRule="auto"/>
        <w:rPr>
          <w:sz w:val="20"/>
          <w:szCs w:val="20"/>
          <w:color w:val="auto"/>
        </w:rPr>
      </w:pPr>
      <w:r>
        <w:rPr>
          <w:rFonts w:ascii="Times New Roman" w:cs="Times New Roman" w:eastAsia="Times New Roman" w:hAnsi="Times New Roman"/>
          <w:sz w:val="16"/>
          <w:szCs w:val="16"/>
          <w:color w:val="auto"/>
        </w:rPr>
        <w:t>2.51. “</w:t>
      </w: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means a period of at least 12 months during which a Participant may earn Performance-Based Compensation. The Performance Period for annual incentive bonuses earned by Eligible Comcast Spectacor Employees shall be Comcast Spectacor’s fiscal year ending June 30.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00"/>
          </w:cols>
          <w:pgMar w:left="300" w:top="1127" w:right="399" w:bottom="1440" w:gutter="0" w:footer="0" w:header="0"/>
        </w:sectPr>
      </w:pPr>
    </w:p>
    <w:bookmarkStart w:id="166" w:name="page167"/>
    <w:bookmarkEnd w:id="166"/>
    <w:p>
      <w:pPr>
        <w:ind w:left="1020"/>
        <w:spacing w:after="0"/>
        <w:rPr>
          <w:sz w:val="20"/>
          <w:szCs w:val="20"/>
          <w:color w:val="auto"/>
        </w:rPr>
      </w:pPr>
      <w:r>
        <w:rPr>
          <w:rFonts w:ascii="Times New Roman" w:cs="Times New Roman" w:eastAsia="Times New Roman" w:hAnsi="Times New Roman"/>
          <w:sz w:val="17"/>
          <w:szCs w:val="17"/>
          <w:color w:val="auto"/>
        </w:rPr>
        <w:t>2.52.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 corporation, a partnership, an association, a trust or any other entity or organization.</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2.53.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the Comcast Corporation 2005 Deferred Compensation Plan, as set forth herein, and as amended from time to time.</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2.54. “</w:t>
      </w:r>
      <w:r>
        <w:rPr>
          <w:rFonts w:ascii="Times New Roman" w:cs="Times New Roman" w:eastAsia="Times New Roman" w:hAnsi="Times New Roman"/>
          <w:sz w:val="17"/>
          <w:szCs w:val="17"/>
          <w:u w:val="single" w:color="auto"/>
          <w:color w:val="auto"/>
        </w:rPr>
        <w:t>Plan Year</w:t>
      </w:r>
      <w:r>
        <w:rPr>
          <w:rFonts w:ascii="Times New Roman" w:cs="Times New Roman" w:eastAsia="Times New Roman" w:hAnsi="Times New Roman"/>
          <w:sz w:val="17"/>
          <w:szCs w:val="17"/>
          <w:color w:val="auto"/>
        </w:rPr>
        <w:t>” means the calendar year.</w:t>
      </w:r>
    </w:p>
    <w:p>
      <w:pPr>
        <w:spacing w:after="0" w:line="144" w:lineRule="exact"/>
        <w:rPr>
          <w:sz w:val="20"/>
          <w:szCs w:val="20"/>
          <w:color w:val="auto"/>
        </w:rPr>
      </w:pPr>
    </w:p>
    <w:p>
      <w:pPr>
        <w:ind w:firstLine="1019"/>
        <w:spacing w:after="0" w:line="223" w:lineRule="auto"/>
        <w:rPr>
          <w:sz w:val="20"/>
          <w:szCs w:val="20"/>
          <w:color w:val="auto"/>
        </w:rPr>
      </w:pPr>
      <w:r>
        <w:rPr>
          <w:rFonts w:ascii="Times New Roman" w:cs="Times New Roman" w:eastAsia="Times New Roman" w:hAnsi="Times New Roman"/>
          <w:sz w:val="17"/>
          <w:szCs w:val="17"/>
          <w:color w:val="auto"/>
        </w:rPr>
        <w:t>2.55. “</w:t>
      </w:r>
      <w:r>
        <w:rPr>
          <w:rFonts w:ascii="Times New Roman" w:cs="Times New Roman" w:eastAsia="Times New Roman" w:hAnsi="Times New Roman"/>
          <w:sz w:val="17"/>
          <w:szCs w:val="17"/>
          <w:u w:val="single" w:color="auto"/>
          <w:color w:val="auto"/>
        </w:rPr>
        <w:t>Prime Rate</w:t>
      </w:r>
      <w:r>
        <w:rPr>
          <w:rFonts w:ascii="Times New Roman" w:cs="Times New Roman" w:eastAsia="Times New Roman" w:hAnsi="Times New Roman"/>
          <w:sz w:val="17"/>
          <w:szCs w:val="17"/>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Times New Roman" w:cs="Times New Roman" w:eastAsia="Times New Roman" w:hAnsi="Times New Roman"/>
          <w:sz w:val="17"/>
          <w:szCs w:val="17"/>
          <w:u w:val="single" w:color="auto"/>
          <w:color w:val="auto"/>
        </w:rPr>
        <w:t>The Wall Street Journal</w:t>
      </w:r>
      <w:r>
        <w:rPr>
          <w:rFonts w:ascii="Times New Roman" w:cs="Times New Roman" w:eastAsia="Times New Roman" w:hAnsi="Times New Roman"/>
          <w:sz w:val="17"/>
          <w:szCs w:val="17"/>
          <w:color w:val="auto"/>
        </w:rPr>
        <w:t xml:space="preserve"> on the last business day preceding the first day of such calendar year, and as adjusted as of the last business day preceding the first day of each calendar year beginning thereafter.</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2.56. “</w:t>
      </w:r>
      <w:r>
        <w:rPr>
          <w:rFonts w:ascii="Times New Roman" w:cs="Times New Roman" w:eastAsia="Times New Roman" w:hAnsi="Times New Roman"/>
          <w:sz w:val="17"/>
          <w:szCs w:val="17"/>
          <w:u w:val="single" w:color="auto"/>
          <w:color w:val="auto"/>
        </w:rPr>
        <w:t>Prior DC Plan</w:t>
      </w:r>
      <w:r>
        <w:rPr>
          <w:rFonts w:ascii="Times New Roman" w:cs="Times New Roman" w:eastAsia="Times New Roman" w:hAnsi="Times New Roman"/>
          <w:sz w:val="17"/>
          <w:szCs w:val="17"/>
          <w:color w:val="auto"/>
        </w:rPr>
        <w:t>” means the Comcast Corporation 2002 Deferred Compensation Plan.</w:t>
      </w:r>
    </w:p>
    <w:p>
      <w:pPr>
        <w:spacing w:after="0" w:line="144" w:lineRule="exact"/>
        <w:rPr>
          <w:sz w:val="20"/>
          <w:szCs w:val="20"/>
          <w:color w:val="auto"/>
        </w:rPr>
      </w:pPr>
    </w:p>
    <w:p>
      <w:pPr>
        <w:ind w:right="200" w:firstLine="1019"/>
        <w:spacing w:after="0" w:line="223" w:lineRule="auto"/>
        <w:rPr>
          <w:sz w:val="20"/>
          <w:szCs w:val="20"/>
          <w:color w:val="auto"/>
        </w:rPr>
      </w:pPr>
      <w:r>
        <w:rPr>
          <w:rFonts w:ascii="Times New Roman" w:cs="Times New Roman" w:eastAsia="Times New Roman" w:hAnsi="Times New Roman"/>
          <w:sz w:val="17"/>
          <w:szCs w:val="17"/>
          <w:color w:val="auto"/>
        </w:rPr>
        <w:t>2.57. “</w:t>
      </w:r>
      <w:r>
        <w:rPr>
          <w:rFonts w:ascii="Times New Roman" w:cs="Times New Roman" w:eastAsia="Times New Roman" w:hAnsi="Times New Roman"/>
          <w:sz w:val="17"/>
          <w:szCs w:val="17"/>
          <w:u w:val="single" w:color="auto"/>
          <w:color w:val="auto"/>
        </w:rPr>
        <w:t>Protected Account Balance</w:t>
      </w:r>
      <w:r>
        <w:rPr>
          <w:rFonts w:ascii="Times New Roman" w:cs="Times New Roman" w:eastAsia="Times New Roman" w:hAnsi="Times New Roman"/>
          <w:sz w:val="17"/>
          <w:szCs w:val="17"/>
          <w:color w:val="auto"/>
        </w:rPr>
        <w:t>” means a Participant’s Protected Account Balance, as determined under the terms of the Plan as in effect immediately before the Restatement Effective Date, including interest credits attributable to such amounts. Notwithstanding this Section 2.57, except as otherwise provided by the Administrator, the Protected Account Balance of an Eligible Comcast Employee who is re-employed by a Participating Company following an employment termination date shall be zero.</w:t>
      </w:r>
    </w:p>
    <w:p>
      <w:pPr>
        <w:spacing w:after="0" w:line="1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2.58. “</w:t>
      </w:r>
      <w:r>
        <w:rPr>
          <w:rFonts w:ascii="Times New Roman" w:cs="Times New Roman" w:eastAsia="Times New Roman" w:hAnsi="Times New Roman"/>
          <w:sz w:val="17"/>
          <w:szCs w:val="17"/>
          <w:u w:val="single" w:color="auto"/>
          <w:color w:val="auto"/>
        </w:rPr>
        <w:t>Regular Deferral Election</w:t>
      </w:r>
      <w:r>
        <w:rPr>
          <w:rFonts w:ascii="Times New Roman" w:cs="Times New Roman" w:eastAsia="Times New Roman" w:hAnsi="Times New Roman"/>
          <w:sz w:val="17"/>
          <w:szCs w:val="17"/>
          <w:color w:val="auto"/>
        </w:rPr>
        <w:t>” means a written election with respect to an Award on a form provided by the Administrator, pursuant to which a</w:t>
      </w: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118"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2.58.1.</w:t>
      </w:r>
      <w:r>
        <w:rPr>
          <w:sz w:val="20"/>
          <w:szCs w:val="20"/>
          <w:color w:val="auto"/>
        </w:rPr>
        <w:tab/>
      </w:r>
      <w:r>
        <w:rPr>
          <w:rFonts w:ascii="Times New Roman" w:cs="Times New Roman" w:eastAsia="Times New Roman" w:hAnsi="Times New Roman"/>
          <w:sz w:val="16"/>
          <w:szCs w:val="16"/>
          <w:color w:val="auto"/>
        </w:rPr>
        <w:t>Elects, within the time or times specified in Section 3.8.2 to defer the distribution date of Shares issuable with respect to Restricted</w:t>
      </w:r>
    </w:p>
    <w:p>
      <w:pPr>
        <w:spacing w:after="0"/>
        <w:rPr>
          <w:sz w:val="20"/>
          <w:szCs w:val="20"/>
          <w:color w:val="auto"/>
        </w:rPr>
      </w:pPr>
      <w:r>
        <w:rPr>
          <w:rFonts w:ascii="Times New Roman" w:cs="Times New Roman" w:eastAsia="Times New Roman" w:hAnsi="Times New Roman"/>
          <w:sz w:val="17"/>
          <w:szCs w:val="17"/>
          <w:color w:val="auto"/>
        </w:rPr>
        <w:t>Stock Units; and</w:t>
      </w:r>
    </w:p>
    <w:p>
      <w:pPr>
        <w:spacing w:after="0" w:line="126"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2.58.2.</w:t>
      </w:r>
      <w:r>
        <w:rPr>
          <w:sz w:val="20"/>
          <w:szCs w:val="20"/>
          <w:color w:val="auto"/>
        </w:rPr>
        <w:tab/>
      </w:r>
      <w:r>
        <w:rPr>
          <w:rFonts w:ascii="Times New Roman" w:cs="Times New Roman" w:eastAsia="Times New Roman" w:hAnsi="Times New Roman"/>
          <w:sz w:val="16"/>
          <w:szCs w:val="16"/>
          <w:color w:val="auto"/>
        </w:rPr>
        <w:t>Designates the distribution date of such Shares.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2.59. “</w:t>
      </w:r>
      <w:r>
        <w:rPr>
          <w:rFonts w:ascii="Times New Roman" w:cs="Times New Roman" w:eastAsia="Times New Roman" w:hAnsi="Times New Roman"/>
          <w:sz w:val="17"/>
          <w:szCs w:val="17"/>
          <w:u w:val="single" w:color="auto"/>
          <w:color w:val="auto"/>
        </w:rPr>
        <w:t>Restatement Effective Date</w:t>
      </w:r>
      <w:r>
        <w:rPr>
          <w:rFonts w:ascii="Times New Roman" w:cs="Times New Roman" w:eastAsia="Times New Roman" w:hAnsi="Times New Roman"/>
          <w:sz w:val="17"/>
          <w:szCs w:val="17"/>
          <w:color w:val="auto"/>
        </w:rPr>
        <w:t>” means February 28, 2023.</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2.60. “</w:t>
      </w:r>
      <w:r>
        <w:rPr>
          <w:rFonts w:ascii="Times New Roman" w:cs="Times New Roman" w:eastAsia="Times New Roman" w:hAnsi="Times New Roman"/>
          <w:sz w:val="17"/>
          <w:szCs w:val="17"/>
          <w:u w:val="single" w:color="auto"/>
          <w:color w:val="auto"/>
        </w:rPr>
        <w:t>Restricted Stock Unit</w:t>
      </w:r>
      <w:r>
        <w:rPr>
          <w:rFonts w:ascii="Times New Roman" w:cs="Times New Roman" w:eastAsia="Times New Roman" w:hAnsi="Times New Roman"/>
          <w:sz w:val="17"/>
          <w:szCs w:val="17"/>
          <w:color w:val="auto"/>
        </w:rPr>
        <w:t>” means a unit that entitles the Participant, upon the Vesting Date set forth in an Award, to receive one Share.</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2.61. “</w:t>
      </w:r>
      <w:r>
        <w:rPr>
          <w:rFonts w:ascii="Times New Roman" w:cs="Times New Roman" w:eastAsia="Times New Roman" w:hAnsi="Times New Roman"/>
          <w:sz w:val="17"/>
          <w:szCs w:val="17"/>
          <w:u w:val="single" w:color="auto"/>
          <w:color w:val="auto"/>
        </w:rPr>
        <w:t>Retired Participant</w:t>
      </w:r>
      <w:r>
        <w:rPr>
          <w:rFonts w:ascii="Times New Roman" w:cs="Times New Roman" w:eastAsia="Times New Roman" w:hAnsi="Times New Roman"/>
          <w:sz w:val="17"/>
          <w:szCs w:val="17"/>
          <w:color w:val="auto"/>
        </w:rPr>
        <w:t>” means a Participant who has terminated service pursuant to a Normal Retirement.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2.62. “</w:t>
      </w:r>
      <w:r>
        <w:rPr>
          <w:rFonts w:ascii="Times New Roman" w:cs="Times New Roman" w:eastAsia="Times New Roman" w:hAnsi="Times New Roman"/>
          <w:sz w:val="17"/>
          <w:szCs w:val="17"/>
          <w:u w:val="single" w:color="auto"/>
          <w:color w:val="auto"/>
        </w:rPr>
        <w:t>RSU Account</w:t>
      </w:r>
      <w:r>
        <w:rPr>
          <w:rFonts w:ascii="Times New Roman" w:cs="Times New Roman" w:eastAsia="Times New Roman" w:hAnsi="Times New Roman"/>
          <w:sz w:val="17"/>
          <w:szCs w:val="17"/>
          <w:color w:val="auto"/>
        </w:rPr>
        <w:t>” means the portion of a Participant’s Account that is attributable to Deferred Stock Units.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2.63. “</w:t>
      </w:r>
      <w:r>
        <w:rPr>
          <w:rFonts w:ascii="Times New Roman" w:cs="Times New Roman" w:eastAsia="Times New Roman" w:hAnsi="Times New Roman"/>
          <w:sz w:val="17"/>
          <w:szCs w:val="17"/>
          <w:u w:val="single" w:color="auto"/>
          <w:color w:val="auto"/>
        </w:rPr>
        <w:t>RSU Deferral Eligible Employee</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ind w:right="140" w:firstLine="1528"/>
        <w:spacing w:after="0" w:line="228" w:lineRule="auto"/>
        <w:rPr>
          <w:sz w:val="20"/>
          <w:szCs w:val="20"/>
          <w:color w:val="auto"/>
        </w:rPr>
      </w:pPr>
      <w:r>
        <w:rPr>
          <w:rFonts w:ascii="Times New Roman" w:cs="Times New Roman" w:eastAsia="Times New Roman" w:hAnsi="Times New Roman"/>
          <w:sz w:val="17"/>
          <w:szCs w:val="17"/>
          <w:color w:val="auto"/>
        </w:rPr>
        <w:t>2.63.1. An Eligible Comcast Employee whose Annual Rate of Pay is $350,000 or more as of both: (a) the date on which an Initial Deferral Election or Regular Deferral Election is filed with the Administrator; and (b) the first day of the calendar year in which such Initial Deferral Election or Regular Deferral Election is filed.</w:t>
      </w:r>
    </w:p>
    <w:p>
      <w:pPr>
        <w:spacing w:after="0" w:line="122"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2.63.2.</w:t>
        <w:tab/>
        <w:t>Each New Key Employee.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20"/>
          </w:cols>
          <w:pgMar w:left="300" w:top="1126" w:right="379" w:bottom="1440" w:gutter="0" w:footer="0" w:header="0"/>
        </w:sectPr>
      </w:pPr>
    </w:p>
    <w:bookmarkStart w:id="167" w:name="page168"/>
    <w:bookmarkEnd w:id="167"/>
    <w:p>
      <w:pPr>
        <w:ind w:right="260" w:firstLine="1528"/>
        <w:spacing w:after="0" w:line="238" w:lineRule="auto"/>
        <w:rPr>
          <w:sz w:val="20"/>
          <w:szCs w:val="20"/>
          <w:color w:val="auto"/>
        </w:rPr>
      </w:pPr>
      <w:r>
        <w:rPr>
          <w:rFonts w:ascii="Times New Roman" w:cs="Times New Roman" w:eastAsia="Times New Roman" w:hAnsi="Times New Roman"/>
          <w:sz w:val="17"/>
          <w:szCs w:val="17"/>
          <w:color w:val="auto"/>
        </w:rPr>
        <w:t>2.63.3. Each other employee of a Participating Company who is designated by the Administrator, in its sole and absolute discretion, as an RSU Deferral Eligible Employee.</w:t>
      </w:r>
    </w:p>
    <w:p>
      <w:pPr>
        <w:spacing w:after="0" w:line="122" w:lineRule="exact"/>
        <w:rPr>
          <w:sz w:val="20"/>
          <w:szCs w:val="20"/>
          <w:color w:val="auto"/>
        </w:rPr>
      </w:pPr>
    </w:p>
    <w:p>
      <w:pPr>
        <w:ind w:right="580"/>
        <w:spacing w:after="0" w:line="267" w:lineRule="auto"/>
        <w:rPr>
          <w:sz w:val="20"/>
          <w:szCs w:val="20"/>
          <w:color w:val="auto"/>
        </w:rPr>
      </w:pPr>
      <w:r>
        <w:rPr>
          <w:rFonts w:ascii="Times New Roman" w:cs="Times New Roman" w:eastAsia="Times New Roman" w:hAnsi="Times New Roman"/>
          <w:sz w:val="16"/>
          <w:szCs w:val="16"/>
          <w:color w:val="auto"/>
        </w:rPr>
        <w:t>Notwithstanding anything in this Section 2.63 to the contrary, except as otherwise provided by the Administrator, no Participant who is an employee of NBCUniversal, LLC, a Delaware limited liability company, and its subsidiaries (collectively, “NBCUniversal”) shall be an RSU Deferral Eligible Employee.</w:t>
      </w:r>
    </w:p>
    <w:p>
      <w:pPr>
        <w:spacing w:after="0" w:line="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2.64. “</w:t>
      </w:r>
      <w:r>
        <w:rPr>
          <w:rFonts w:ascii="Times New Roman" w:cs="Times New Roman" w:eastAsia="Times New Roman" w:hAnsi="Times New Roman"/>
          <w:sz w:val="17"/>
          <w:szCs w:val="17"/>
          <w:u w:val="single" w:color="auto"/>
          <w:color w:val="auto"/>
        </w:rPr>
        <w:t>Section 16 Officer</w:t>
      </w:r>
      <w:r>
        <w:rPr>
          <w:rFonts w:ascii="Times New Roman" w:cs="Times New Roman" w:eastAsia="Times New Roman" w:hAnsi="Times New Roman"/>
          <w:sz w:val="17"/>
          <w:szCs w:val="17"/>
          <w:color w:val="auto"/>
        </w:rPr>
        <w:t>” means an “officer” of the Company, as defined pursuant to Rule 16a-1(f) under the Securities Exchange Act of 1934, as</w:t>
      </w:r>
    </w:p>
    <w:p>
      <w:pPr>
        <w:spacing w:after="0"/>
        <w:rPr>
          <w:sz w:val="20"/>
          <w:szCs w:val="20"/>
          <w:color w:val="auto"/>
        </w:rPr>
      </w:pPr>
      <w:r>
        <w:rPr>
          <w:rFonts w:ascii="Times New Roman" w:cs="Times New Roman" w:eastAsia="Times New Roman" w:hAnsi="Times New Roman"/>
          <w:sz w:val="17"/>
          <w:szCs w:val="17"/>
          <w:color w:val="auto"/>
        </w:rPr>
        <w:t>amended.</w:t>
      </w:r>
    </w:p>
    <w:p>
      <w:pPr>
        <w:spacing w:after="0" w:line="126" w:lineRule="exact"/>
        <w:rPr>
          <w:sz w:val="20"/>
          <w:szCs w:val="20"/>
          <w:color w:val="auto"/>
        </w:rPr>
      </w:pPr>
    </w:p>
    <w:p>
      <w:pPr>
        <w:ind w:right="60" w:firstLine="1019"/>
        <w:spacing w:after="0" w:line="238" w:lineRule="auto"/>
        <w:rPr>
          <w:sz w:val="20"/>
          <w:szCs w:val="20"/>
          <w:color w:val="auto"/>
        </w:rPr>
      </w:pPr>
      <w:r>
        <w:rPr>
          <w:rFonts w:ascii="Times New Roman" w:cs="Times New Roman" w:eastAsia="Times New Roman" w:hAnsi="Times New Roman"/>
          <w:sz w:val="17"/>
          <w:szCs w:val="17"/>
          <w:color w:val="auto"/>
        </w:rPr>
        <w:t>2.65.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means section 409A of the Internal Revenue Code of 1986, as amended, as interpreted by the various Notices, Announcements, Proposed Regulations and Final Regulations thereunder.</w:t>
      </w:r>
    </w:p>
    <w:p>
      <w:pPr>
        <w:spacing w:after="0" w:line="122" w:lineRule="exact"/>
        <w:rPr>
          <w:sz w:val="20"/>
          <w:szCs w:val="20"/>
          <w:color w:val="auto"/>
        </w:rPr>
      </w:pPr>
    </w:p>
    <w:p>
      <w:pPr>
        <w:jc w:val="both"/>
        <w:ind w:right="40" w:firstLine="1019"/>
        <w:spacing w:after="0" w:line="267" w:lineRule="auto"/>
        <w:rPr>
          <w:sz w:val="20"/>
          <w:szCs w:val="20"/>
          <w:color w:val="auto"/>
        </w:rPr>
      </w:pPr>
      <w:r>
        <w:rPr>
          <w:rFonts w:ascii="Times New Roman" w:cs="Times New Roman" w:eastAsia="Times New Roman" w:hAnsi="Times New Roman"/>
          <w:sz w:val="16"/>
          <w:szCs w:val="16"/>
          <w:color w:val="auto"/>
        </w:rPr>
        <w:t>2.66. “</w:t>
      </w:r>
      <w:r>
        <w:rPr>
          <w:rFonts w:ascii="Times New Roman" w:cs="Times New Roman" w:eastAsia="Times New Roman" w:hAnsi="Times New Roman"/>
          <w:sz w:val="16"/>
          <w:szCs w:val="16"/>
          <w:u w:val="single" w:color="auto"/>
          <w:color w:val="auto"/>
        </w:rPr>
        <w:t>Severance Pay</w:t>
      </w:r>
      <w:r>
        <w:rPr>
          <w:rFonts w:ascii="Times New Roman" w:cs="Times New Roman" w:eastAsia="Times New Roman" w:hAnsi="Times New Roman"/>
          <w:sz w:val="16"/>
          <w:szCs w:val="16"/>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0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2.67. “</w:t>
      </w:r>
      <w:r>
        <w:rPr>
          <w:rFonts w:ascii="Times New Roman" w:cs="Times New Roman" w:eastAsia="Times New Roman" w:hAnsi="Times New Roman"/>
          <w:sz w:val="17"/>
          <w:szCs w:val="17"/>
          <w:u w:val="single" w:color="auto"/>
          <w:color w:val="auto"/>
        </w:rPr>
        <w:t>Share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means a share or shares of Class A Common Stock, par value $0.01, of the Company.</w:t>
      </w:r>
    </w:p>
    <w:p>
      <w:pPr>
        <w:spacing w:after="0" w:line="144" w:lineRule="exact"/>
        <w:rPr>
          <w:sz w:val="20"/>
          <w:szCs w:val="20"/>
          <w:color w:val="auto"/>
        </w:rPr>
      </w:pPr>
    </w:p>
    <w:p>
      <w:pPr>
        <w:ind w:right="100" w:firstLine="1019"/>
        <w:spacing w:after="0" w:line="228" w:lineRule="auto"/>
        <w:rPr>
          <w:sz w:val="20"/>
          <w:szCs w:val="20"/>
          <w:color w:val="auto"/>
        </w:rPr>
      </w:pPr>
      <w:r>
        <w:rPr>
          <w:rFonts w:ascii="Times New Roman" w:cs="Times New Roman" w:eastAsia="Times New Roman" w:hAnsi="Times New Roman"/>
          <w:sz w:val="17"/>
          <w:szCs w:val="17"/>
          <w:color w:val="auto"/>
        </w:rPr>
        <w:t>2.68. “</w:t>
      </w:r>
      <w:r>
        <w:rPr>
          <w:rFonts w:ascii="Times New Roman" w:cs="Times New Roman" w:eastAsia="Times New Roman" w:hAnsi="Times New Roman"/>
          <w:sz w:val="17"/>
          <w:szCs w:val="17"/>
          <w:u w:val="single" w:color="auto"/>
          <w:color w:val="auto"/>
        </w:rPr>
        <w:t>Signing Bonus</w:t>
      </w:r>
      <w:r>
        <w:rPr>
          <w:rFonts w:ascii="Times New Roman" w:cs="Times New Roman" w:eastAsia="Times New Roman" w:hAnsi="Times New Roman"/>
          <w:sz w:val="17"/>
          <w:szCs w:val="17"/>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2.69. “</w:t>
      </w:r>
      <w:r>
        <w:rPr>
          <w:rFonts w:ascii="Times New Roman" w:cs="Times New Roman" w:eastAsia="Times New Roman" w:hAnsi="Times New Roman"/>
          <w:sz w:val="17"/>
          <w:szCs w:val="17"/>
          <w:u w:val="single" w:color="auto"/>
          <w:color w:val="auto"/>
        </w:rPr>
        <w:t>Subsequent Deferral Election</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ind w:firstLine="1528"/>
        <w:spacing w:after="0" w:line="228" w:lineRule="auto"/>
        <w:rPr>
          <w:sz w:val="20"/>
          <w:szCs w:val="20"/>
          <w:color w:val="auto"/>
        </w:rPr>
      </w:pPr>
      <w:r>
        <w:rPr>
          <w:rFonts w:ascii="Times New Roman" w:cs="Times New Roman" w:eastAsia="Times New Roman" w:hAnsi="Times New Roman"/>
          <w:sz w:val="17"/>
          <w:szCs w:val="17"/>
          <w:color w:val="auto"/>
        </w:rPr>
        <w:t>2.69.1. With respect to Compensation, one or more written elections on a form provided by the Administrator, filed with the Administrator in accordance with Article 3, pursuant to which a Participant or Beneficiary may elect to defer the time of payment of amounts previously deferred in accordance with the terms of a previously filed Initial Deferral Election or Subsequent Deferral Election.</w:t>
      </w:r>
    </w:p>
    <w:p>
      <w:pPr>
        <w:spacing w:after="0" w:line="122" w:lineRule="exact"/>
        <w:rPr>
          <w:sz w:val="20"/>
          <w:szCs w:val="20"/>
          <w:color w:val="auto"/>
        </w:rPr>
      </w:pPr>
    </w:p>
    <w:p>
      <w:pPr>
        <w:jc w:val="both"/>
        <w:ind w:firstLine="1528"/>
        <w:spacing w:after="0" w:line="228" w:lineRule="auto"/>
        <w:rPr>
          <w:sz w:val="20"/>
          <w:szCs w:val="20"/>
          <w:color w:val="auto"/>
        </w:rPr>
      </w:pPr>
      <w:r>
        <w:rPr>
          <w:rFonts w:ascii="Times New Roman" w:cs="Times New Roman" w:eastAsia="Times New Roman" w:hAnsi="Times New Roman"/>
          <w:sz w:val="17"/>
          <w:szCs w:val="17"/>
          <w:color w:val="auto"/>
        </w:rPr>
        <w:t>2.69.2. With respect to Deferred Stock Units, means a written election on a form provided by the Administrator, filed with the Administrator in accordance with Section 3.8.3, pursuant to which a Participant: (i) elects, within the time or times specified in Section 3.8.3, to further defer the distribution date of Shares issuable with respect to Deferred Stock Units and (ii) designates the distribution date of such Shares.</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2.70. “</w:t>
      </w:r>
      <w:r>
        <w:rPr>
          <w:rFonts w:ascii="Times New Roman" w:cs="Times New Roman" w:eastAsia="Times New Roman" w:hAnsi="Times New Roman"/>
          <w:sz w:val="17"/>
          <w:szCs w:val="17"/>
          <w:u w:val="single" w:color="auto"/>
          <w:color w:val="auto"/>
        </w:rPr>
        <w:t>Surviving Spouse</w:t>
      </w:r>
      <w:r>
        <w:rPr>
          <w:rFonts w:ascii="Times New Roman" w:cs="Times New Roman" w:eastAsia="Times New Roman" w:hAnsi="Times New Roman"/>
          <w:sz w:val="17"/>
          <w:szCs w:val="17"/>
          <w:color w:val="auto"/>
        </w:rPr>
        <w:t>” means the widow or widower, as the case may be, of a Deceased Participant or a Deceased Beneficiary (as applicable).</w:t>
      </w:r>
    </w:p>
    <w:p>
      <w:pPr>
        <w:spacing w:after="0" w:line="144" w:lineRule="exact"/>
        <w:rPr>
          <w:sz w:val="20"/>
          <w:szCs w:val="20"/>
          <w:color w:val="auto"/>
        </w:rPr>
      </w:pPr>
    </w:p>
    <w:p>
      <w:pPr>
        <w:ind w:right="60" w:firstLine="1019"/>
        <w:spacing w:after="0" w:line="220" w:lineRule="auto"/>
        <w:rPr>
          <w:sz w:val="20"/>
          <w:szCs w:val="20"/>
          <w:color w:val="auto"/>
        </w:rPr>
      </w:pPr>
      <w:r>
        <w:rPr>
          <w:rFonts w:ascii="Times New Roman" w:cs="Times New Roman" w:eastAsia="Times New Roman" w:hAnsi="Times New Roman"/>
          <w:sz w:val="17"/>
          <w:szCs w:val="17"/>
          <w:color w:val="auto"/>
        </w:rPr>
        <w:t xml:space="preserve">2.71. </w:t>
      </w:r>
      <w:r>
        <w:rPr>
          <w:rFonts w:ascii="Times New Roman" w:cs="Times New Roman" w:eastAsia="Times New Roman" w:hAnsi="Times New Roman"/>
          <w:sz w:val="17"/>
          <w:szCs w:val="17"/>
          <w:u w:val="single" w:color="auto"/>
          <w:color w:val="auto"/>
        </w:rPr>
        <w:t>Termination of Employment</w:t>
      </w:r>
      <w:r>
        <w:rPr>
          <w:rFonts w:ascii="Times New Roman" w:cs="Times New Roman" w:eastAsia="Times New Roman" w:hAnsi="Times New Roman"/>
          <w:sz w:val="17"/>
          <w:szCs w:val="17"/>
          <w:color w:val="auto"/>
        </w:rPr>
        <w:t>. For purposes of the Plan, a transfer of an employee between two employers, each of which is the Company or an Affiliate, shall not be deemed a termination of employment. A Participant who is a Non-Employee Director shall be treated as having terminated employment on the Participant’s termination of service as a Non-Employee Director, provided that if such a Participant is designated as a Director Emeritus upon termination of service as a Non-Employee Director, such Participant shall not be treated as having terminated employment until the Participant’s termination of service as a Director Emeritus.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60"/>
          </w:cols>
          <w:pgMar w:left="300" w:top="1127" w:right="339" w:bottom="1440" w:gutter="0" w:footer="0" w:header="0"/>
        </w:sectPr>
      </w:pPr>
    </w:p>
    <w:bookmarkStart w:id="168" w:name="page169"/>
    <w:bookmarkEnd w:id="168"/>
    <w:p>
      <w:pPr>
        <w:ind w:right="180" w:firstLine="1019"/>
        <w:spacing w:after="0" w:line="238" w:lineRule="auto"/>
        <w:rPr>
          <w:sz w:val="20"/>
          <w:szCs w:val="20"/>
          <w:color w:val="auto"/>
        </w:rPr>
      </w:pPr>
      <w:r>
        <w:rPr>
          <w:rFonts w:ascii="Times New Roman" w:cs="Times New Roman" w:eastAsia="Times New Roman" w:hAnsi="Times New Roman"/>
          <w:sz w:val="17"/>
          <w:szCs w:val="17"/>
          <w:color w:val="auto"/>
        </w:rPr>
        <w:t>2.72. “</w:t>
      </w:r>
      <w:r>
        <w:rPr>
          <w:rFonts w:ascii="Times New Roman" w:cs="Times New Roman" w:eastAsia="Times New Roman" w:hAnsi="Times New Roman"/>
          <w:sz w:val="17"/>
          <w:szCs w:val="17"/>
          <w:u w:val="single" w:color="auto"/>
          <w:color w:val="auto"/>
        </w:rPr>
        <w:t>Third Party</w:t>
      </w:r>
      <w:r>
        <w:rPr>
          <w:rFonts w:ascii="Times New Roman" w:cs="Times New Roman" w:eastAsia="Times New Roman" w:hAnsi="Times New Roman"/>
          <w:sz w:val="17"/>
          <w:szCs w:val="17"/>
          <w:color w:val="auto"/>
        </w:rPr>
        <w:t>” means any Person, together with such Person’s Affiliates, provided that the term “Third Party” shall not include the Company or an Affiliate of the Company.</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2.73. “</w:t>
      </w:r>
      <w:r>
        <w:rPr>
          <w:rFonts w:ascii="Times New Roman" w:cs="Times New Roman" w:eastAsia="Times New Roman" w:hAnsi="Times New Roman"/>
          <w:sz w:val="17"/>
          <w:szCs w:val="17"/>
          <w:u w:val="single" w:color="auto"/>
          <w:color w:val="auto"/>
        </w:rPr>
        <w:t>Total Compensation</w:t>
      </w:r>
      <w:r>
        <w:rPr>
          <w:rFonts w:ascii="Times New Roman" w:cs="Times New Roman" w:eastAsia="Times New Roman" w:hAnsi="Times New Roman"/>
          <w:sz w:val="17"/>
          <w:szCs w:val="17"/>
          <w:color w:val="auto"/>
        </w:rPr>
        <w:t>” means:</w:t>
      </w:r>
    </w:p>
    <w:p>
      <w:pPr>
        <w:spacing w:after="0" w:line="144" w:lineRule="exact"/>
        <w:rPr>
          <w:sz w:val="20"/>
          <w:szCs w:val="20"/>
          <w:color w:val="auto"/>
        </w:rPr>
      </w:pPr>
    </w:p>
    <w:p>
      <w:pPr>
        <w:ind w:right="120" w:firstLine="1528"/>
        <w:spacing w:after="0" w:line="228" w:lineRule="auto"/>
        <w:rPr>
          <w:sz w:val="20"/>
          <w:szCs w:val="20"/>
          <w:color w:val="auto"/>
        </w:rPr>
      </w:pPr>
      <w:r>
        <w:rPr>
          <w:rFonts w:ascii="Times New Roman" w:cs="Times New Roman" w:eastAsia="Times New Roman" w:hAnsi="Times New Roman"/>
          <w:sz w:val="17"/>
          <w:szCs w:val="17"/>
          <w:color w:val="auto"/>
        </w:rPr>
        <w:t>2.73.1. The sum of an Eligible Employee’s Annual Rate of Pay, plus any target bonus amount under a cash bonus award that is includible as “Compensation” under Section 2.19, plus the grant date value of any annual long-term incentive award granted in the immediately preceding Plan Year, all as determined by the Administrator in its sole discretion, as of the September 30th immediately preceding the Plan Year.</w:t>
      </w:r>
    </w:p>
    <w:p>
      <w:pPr>
        <w:spacing w:after="0" w:line="122" w:lineRule="exact"/>
        <w:rPr>
          <w:sz w:val="20"/>
          <w:szCs w:val="20"/>
          <w:color w:val="auto"/>
        </w:rPr>
      </w:pPr>
    </w:p>
    <w:p>
      <w:pPr>
        <w:ind w:right="380" w:firstLine="1528"/>
        <w:spacing w:after="0" w:line="228" w:lineRule="auto"/>
        <w:rPr>
          <w:sz w:val="20"/>
          <w:szCs w:val="20"/>
          <w:color w:val="auto"/>
        </w:rPr>
      </w:pPr>
      <w:r>
        <w:rPr>
          <w:rFonts w:ascii="Times New Roman" w:cs="Times New Roman" w:eastAsia="Times New Roman" w:hAnsi="Times New Roman"/>
          <w:sz w:val="17"/>
          <w:szCs w:val="17"/>
          <w:color w:val="auto"/>
        </w:rPr>
        <w:t>2.73.2. 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2.74. “</w:t>
      </w:r>
      <w:r>
        <w:rPr>
          <w:rFonts w:ascii="Times New Roman" w:cs="Times New Roman" w:eastAsia="Times New Roman" w:hAnsi="Times New Roman"/>
          <w:sz w:val="17"/>
          <w:szCs w:val="17"/>
          <w:u w:val="single" w:color="auto"/>
          <w:color w:val="auto"/>
        </w:rPr>
        <w:t>Vesting Date</w:t>
      </w:r>
      <w:r>
        <w:rPr>
          <w:rFonts w:ascii="Times New Roman" w:cs="Times New Roman" w:eastAsia="Times New Roman" w:hAnsi="Times New Roman"/>
          <w:sz w:val="17"/>
          <w:szCs w:val="17"/>
          <w:color w:val="auto"/>
        </w:rPr>
        <w:t>” means the date on which the Participant vests in a Restricted Stock Unit.</w:t>
      </w:r>
    </w:p>
    <w:p>
      <w:pPr>
        <w:spacing w:after="0" w:line="14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 xml:space="preserve">ARTICLE 3 </w:t>
      </w:r>
      <w:r>
        <w:rPr>
          <w:rFonts w:ascii="Times New Roman" w:cs="Times New Roman" w:eastAsia="Times New Roman" w:hAnsi="Times New Roman"/>
          <w:sz w:val="17"/>
          <w:szCs w:val="17"/>
          <w:color w:val="auto"/>
        </w:rPr>
        <w:t>– INITIAL AND SUBSEQUENT DEFERRAL ELECTIONS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Part A: Deferrals of Base Salary and Bonus</w:t>
      </w:r>
      <w:r>
        <w:rPr>
          <w:rFonts w:ascii="Times New Roman" w:cs="Times New Roman" w:eastAsia="Times New Roman" w:hAnsi="Times New Roman"/>
          <w:sz w:val="17"/>
          <w:szCs w:val="17"/>
          <w:color w:val="auto"/>
        </w:rPr>
        <w:t>. Sections 3.1 through 3.5 shall apply to the deferral of Compensation.</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Elections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firstLine="1533"/>
        <w:spacing w:after="0" w:line="213" w:lineRule="auto"/>
        <w:tabs>
          <w:tab w:leader="none" w:pos="1886"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Initial Deferral Elections</w:t>
      </w:r>
      <w:r>
        <w:rPr>
          <w:rFonts w:ascii="Times New Roman" w:cs="Times New Roman" w:eastAsia="Times New Roman" w:hAnsi="Times New Roman"/>
          <w:sz w:val="17"/>
          <w:szCs w:val="17"/>
          <w:color w:val="auto"/>
        </w:rPr>
        <w:t>. Subject to any applicable limitations or restrictions on Initial Deferral Elections, each Non-Employee Director, Director Emeritus and Eligible Employee shall have the right to defer Compensation by filing an Initial Deferral Election with respect to Compensation that he would otherwise be entitled to receive for a calendar year or other Performance Period at the time and in the manner described in this Article 3. Notwithstanding the foregoing, an individual who is expected to become a New Key Employee on a specific date shall be treated as an “Eligible Employee” for purposes of this Section</w:t>
      </w:r>
    </w:p>
    <w:p>
      <w:pPr>
        <w:spacing w:after="0" w:line="3" w:lineRule="exact"/>
        <w:rPr>
          <w:rFonts w:ascii="Times New Roman" w:cs="Times New Roman" w:eastAsia="Times New Roman" w:hAnsi="Times New Roman"/>
          <w:sz w:val="17"/>
          <w:szCs w:val="17"/>
          <w:color w:val="auto"/>
        </w:rPr>
      </w:pPr>
    </w:p>
    <w:p>
      <w:pPr>
        <w:ind w:right="40"/>
        <w:spacing w:after="0" w:line="2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3.1(a) and may file an Initial Deferral Election before the date on which such individual becomes a New Key Employee. The Compensation of such Non-Employee Director, Director Emeritus or Eligible Employee for a calendar year or other Performance Period shall be reduced in an amount equal to the portion of the Compensation deferred by such Non-Employee Director, Director Emeritus or Eligible Employee for such period of time pursuant to such Non-Employee Director’s, Director Emeritus’s or Eligible Employee’s Initial Deferral Election. Such reduction shall be effected on a pro rata basis from each periodic installment payment of such Non-Employee Director’s, Director Emeritus’s or Eligible Employee’s Compensation for such period of time (in accordance with the general pay practices of the Participating Company), and credited, as a bookkeeping entry, to such Non-Employee Director’s, Director Emeritus’s or Eligible Employee’s Account in accordance with Section 5.1. Amounts credited to the Accounts of Non-Employee Directors in the form of Company Stock shall be credited to the Company Stock Fund and credited with income, gains and losses in accordance with Section 5.2(c).</w:t>
      </w:r>
    </w:p>
    <w:p>
      <w:pPr>
        <w:spacing w:after="0" w:line="121" w:lineRule="exact"/>
        <w:rPr>
          <w:rFonts w:ascii="Times New Roman" w:cs="Times New Roman" w:eastAsia="Times New Roman" w:hAnsi="Times New Roman"/>
          <w:sz w:val="17"/>
          <w:szCs w:val="17"/>
          <w:color w:val="auto"/>
        </w:rPr>
      </w:pPr>
    </w:p>
    <w:p>
      <w:pPr>
        <w:ind w:right="120" w:firstLine="1533"/>
        <w:spacing w:after="0" w:line="228" w:lineRule="auto"/>
        <w:tabs>
          <w:tab w:leader="none" w:pos="1896"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Deferral Elections</w:t>
      </w:r>
      <w:r>
        <w:rPr>
          <w:rFonts w:ascii="Times New Roman" w:cs="Times New Roman" w:eastAsia="Times New Roman" w:hAnsi="Times New Roman"/>
          <w:sz w:val="17"/>
          <w:szCs w:val="17"/>
          <w:color w:val="auto"/>
        </w:rPr>
        <w:t>. Each Participant or Beneficiary shall have the right to elect to defer the time of payment or to change the manner of payment of amounts previously deferred in accordance with the terms of a previously made Initial Deferral Election pursuant to the terms of the Plan by filing a Subsequent Deferral Election at the time, to the extent, and in the manner described in this Article 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80"/>
          </w:cols>
          <w:pgMar w:left="300" w:top="1127" w:right="319" w:bottom="1440" w:gutter="0" w:footer="0" w:header="0"/>
        </w:sectPr>
      </w:pPr>
    </w:p>
    <w:bookmarkStart w:id="169" w:name="page170"/>
    <w:bookmarkEnd w:id="169"/>
    <w:p>
      <w:pPr>
        <w:ind w:left="1020"/>
        <w:spacing w:after="0"/>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Filing of Initial Deferral Election: General</w:t>
      </w:r>
      <w:r>
        <w:rPr>
          <w:rFonts w:ascii="Times New Roman" w:cs="Times New Roman" w:eastAsia="Times New Roman" w:hAnsi="Times New Roman"/>
          <w:sz w:val="17"/>
          <w:szCs w:val="17"/>
          <w:color w:val="auto"/>
        </w:rPr>
        <w:t>. An Initial Deferral Election shall be filed on the form provided by the Administrator for this purpose.</w:t>
      </w:r>
    </w:p>
    <w:p>
      <w:pPr>
        <w:spacing w:after="0"/>
        <w:rPr>
          <w:sz w:val="20"/>
          <w:szCs w:val="20"/>
          <w:color w:val="auto"/>
        </w:rPr>
      </w:pPr>
      <w:r>
        <w:rPr>
          <w:rFonts w:ascii="Times New Roman" w:cs="Times New Roman" w:eastAsia="Times New Roman" w:hAnsi="Times New Roman"/>
          <w:sz w:val="17"/>
          <w:szCs w:val="17"/>
          <w:color w:val="auto"/>
        </w:rPr>
        <w:t>Except as provided in Section 3.3:</w:t>
      </w:r>
    </w:p>
    <w:p>
      <w:pPr>
        <w:spacing w:after="0" w:line="126" w:lineRule="exact"/>
        <w:rPr>
          <w:sz w:val="20"/>
          <w:szCs w:val="20"/>
          <w:color w:val="auto"/>
        </w:rPr>
      </w:pPr>
    </w:p>
    <w:p>
      <w:pPr>
        <w:ind w:right="100" w:firstLine="1533"/>
        <w:spacing w:after="0" w:line="228" w:lineRule="auto"/>
        <w:tabs>
          <w:tab w:leader="none" w:pos="2098"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such Initial Deferral Election shall be effective with respect to Compensation other than Signing Bonuses or Performance-Based Compensation unless it is filed with the Administrator on or before December 31 of the calendar year preceding the calendar year to which the Initial Deferral Election applies.</w:t>
      </w:r>
    </w:p>
    <w:p>
      <w:pPr>
        <w:spacing w:after="0" w:line="121" w:lineRule="exact"/>
        <w:rPr>
          <w:rFonts w:ascii="Times New Roman" w:cs="Times New Roman" w:eastAsia="Times New Roman" w:hAnsi="Times New Roman"/>
          <w:sz w:val="17"/>
          <w:szCs w:val="17"/>
          <w:color w:val="auto"/>
        </w:rPr>
      </w:pPr>
    </w:p>
    <w:p>
      <w:pPr>
        <w:ind w:right="500" w:firstLine="1533"/>
        <w:spacing w:after="0" w:line="238" w:lineRule="auto"/>
        <w:tabs>
          <w:tab w:leader="none" w:pos="2108"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such Initial Deferral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21" w:lineRule="exact"/>
        <w:rPr>
          <w:rFonts w:ascii="Times New Roman" w:cs="Times New Roman" w:eastAsia="Times New Roman" w:hAnsi="Times New Roman"/>
          <w:sz w:val="17"/>
          <w:szCs w:val="17"/>
          <w:color w:val="auto"/>
        </w:rPr>
      </w:pPr>
    </w:p>
    <w:p>
      <w:pPr>
        <w:ind w:right="160" w:firstLine="1533"/>
        <w:spacing w:after="0" w:line="208" w:lineRule="auto"/>
        <w:tabs>
          <w:tab w:leader="none" w:pos="2098"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such Initial Deferral Election shall be effective with respect to a Signing Bonus for an Eligible Employee other than a New Key Employee unless (i) such Signing Bonus is forfeitable if the Participant fails to continue in service to a specified date (other than as the result of the Participant’s termination of employment because of death, Disability or Company-initiated termination without cause, as determined by the Administrator), and (ii) the Initial Deferral Election is filed with the Administrator on or before the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following the date of grant of such Signing Bonus and at least one year before such specified date.</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Filing of Initial Deferral Election by New Key Employees and New Non-Employee Directors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1900" w:hanging="367"/>
        <w:spacing w:after="0"/>
        <w:tabs>
          <w:tab w:leader="none" w:pos="190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Key Employees</w:t>
      </w:r>
      <w:r>
        <w:rPr>
          <w:rFonts w:ascii="Times New Roman" w:cs="Times New Roman" w:eastAsia="Times New Roman" w:hAnsi="Times New Roman"/>
          <w:sz w:val="17"/>
          <w:szCs w:val="17"/>
          <w:color w:val="auto"/>
        </w:rPr>
        <w:t>. Notwithstanding Section 3.1 and Section 3.2, a New Key Employee may file an Initial Deferral Election:</w:t>
      </w:r>
    </w:p>
    <w:p>
      <w:pPr>
        <w:spacing w:after="0" w:line="144" w:lineRule="exact"/>
        <w:rPr>
          <w:rFonts w:ascii="Times New Roman" w:cs="Times New Roman" w:eastAsia="Times New Roman" w:hAnsi="Times New Roman"/>
          <w:sz w:val="17"/>
          <w:szCs w:val="17"/>
          <w:color w:val="auto"/>
        </w:rPr>
      </w:pPr>
    </w:p>
    <w:p>
      <w:pPr>
        <w:ind w:right="160" w:firstLine="2042"/>
        <w:spacing w:after="0" w:line="228" w:lineRule="auto"/>
        <w:tabs>
          <w:tab w:leader="none" w:pos="2364"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defer Compensation payable for services to be performed after the date of such Initial Deferral Election. An Initial Deferral Election to defer Compensation payable for services to be performed after the date of such Initial Deferral Election must be filed with the Administrator within 30 days of the date such New Key Employee first becomes eligible to participate in the Plan.</w:t>
      </w:r>
    </w:p>
    <w:p>
      <w:pPr>
        <w:spacing w:after="0" w:line="121" w:lineRule="exact"/>
        <w:rPr>
          <w:rFonts w:ascii="Times New Roman" w:cs="Times New Roman" w:eastAsia="Times New Roman" w:hAnsi="Times New Roman"/>
          <w:sz w:val="17"/>
          <w:szCs w:val="17"/>
          <w:color w:val="auto"/>
        </w:rPr>
      </w:pPr>
    </w:p>
    <w:p>
      <w:pPr>
        <w:ind w:right="260" w:firstLine="2042"/>
        <w:spacing w:after="0" w:line="238" w:lineRule="auto"/>
        <w:tabs>
          <w:tab w:leader="none" w:pos="2411"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defer Compensation payable as a Signing Bonus. An Initial Deferral Election to defer Compensation payable as a Signing Bonus must be filed with the Administrator before such New Key Employee commences service as an Eligible Employee.</w:t>
      </w:r>
    </w:p>
    <w:p>
      <w:pPr>
        <w:spacing w:after="0" w:line="12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color w:val="auto"/>
        </w:rPr>
        <w:t>An Initial Deferral Election by such New Key Employee for succeeding calendar years or applicable Performance Periods shall be made in accordance with Section 3.1 and Section 3.2.</w:t>
      </w:r>
    </w:p>
    <w:p>
      <w:pPr>
        <w:spacing w:after="0" w:line="122" w:lineRule="exact"/>
        <w:rPr>
          <w:sz w:val="20"/>
          <w:szCs w:val="20"/>
          <w:color w:val="auto"/>
        </w:rPr>
      </w:pPr>
    </w:p>
    <w:p>
      <w:pPr>
        <w:ind w:firstLine="1533"/>
        <w:spacing w:after="0" w:line="217" w:lineRule="auto"/>
        <w:tabs>
          <w:tab w:leader="none" w:pos="1896"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Non-Employee Directors</w:t>
      </w:r>
      <w:r>
        <w:rPr>
          <w:rFonts w:ascii="Times New Roman" w:cs="Times New Roman" w:eastAsia="Times New Roman" w:hAnsi="Times New Roman"/>
          <w:sz w:val="17"/>
          <w:szCs w:val="17"/>
          <w:color w:val="auto"/>
        </w:rPr>
        <w:t>. Notwithstanding Section 3.1 and Section 3.2, and except as otherwise provided in Section 2.44.4, a Non-Employee Director may elect to defer Compensation by filing an Initial Deferral Election with respect to his Compensation attributable to services provided as a Non-Employee Director in the calendar year in which a Non-Employee Director’s election as a member of the Board becomes effective (provided that such Non-Employee Director is not a member of the Board immediately preceding such effective date), beginning with Compensation earned following the filing of an Initial Deferral Election with the Administrator and before the close of such calendar year. Such Initial Deferral Election must be filed with the Administrator within 30 days of the effective date of such Non-Employee Director’s election. Any Initial Deferral Election by such Non-Employee Director for succeeding calendar years shall be made in accordance with Section 3.1 and Section 3.2.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180"/>
          </w:cols>
          <w:pgMar w:left="300" w:top="1119" w:right="419" w:bottom="1440" w:gutter="0" w:footer="0" w:header="0"/>
        </w:sectPr>
      </w:pPr>
    </w:p>
    <w:bookmarkStart w:id="170" w:name="page171"/>
    <w:bookmarkEnd w:id="170"/>
    <w:p>
      <w:pPr>
        <w:ind w:left="1020"/>
        <w:spacing w:after="0"/>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Years to which Initial Deferral Election May Apply</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20" w:firstLine="1533"/>
        <w:spacing w:after="0" w:line="220" w:lineRule="auto"/>
        <w:tabs>
          <w:tab w:leader="none" w:pos="2098"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Separate Initial Deferral Elections for Each Calendar Year or Applicable Performance Period</w:t>
      </w:r>
      <w:r>
        <w:rPr>
          <w:rFonts w:ascii="Times New Roman" w:cs="Times New Roman" w:eastAsia="Times New Roman" w:hAnsi="Times New Roman"/>
          <w:sz w:val="17"/>
          <w:szCs w:val="17"/>
          <w:color w:val="auto"/>
        </w:rPr>
        <w:t>. A separate Initial Deferral Election may be filed for each calendar year or other applicable Performance Period as to which a Non-Employee Director, Director Emeritus or Eligible Employee desires to defer such Non-Employee Director’s, Director Emeritus’s or Eligible Employee’s Compensation. The failure of a Non-Employee Director, Director Emeritus or Eligible Employee to make an Initial Deferral Election for any calendar year or other applicable Performance Period shall not affect such Non-Employee Director’s or Eligible Employee’s right to make an Initial Deferral Election for any other calendar year or other applicable Performance Period.</w:t>
      </w:r>
    </w:p>
    <w:p>
      <w:pPr>
        <w:spacing w:after="0" w:line="122" w:lineRule="exact"/>
        <w:rPr>
          <w:rFonts w:ascii="Times New Roman" w:cs="Times New Roman" w:eastAsia="Times New Roman" w:hAnsi="Times New Roman"/>
          <w:sz w:val="17"/>
          <w:szCs w:val="17"/>
          <w:color w:val="auto"/>
        </w:rPr>
      </w:pPr>
    </w:p>
    <w:p>
      <w:pPr>
        <w:ind w:right="20" w:firstLine="1533"/>
        <w:spacing w:after="0" w:line="218" w:lineRule="auto"/>
        <w:tabs>
          <w:tab w:leader="none" w:pos="1896"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Initial Deferral Election of Distribution Date</w:t>
      </w:r>
      <w:r>
        <w:rPr>
          <w:rFonts w:ascii="Times New Roman" w:cs="Times New Roman" w:eastAsia="Times New Roman" w:hAnsi="Times New Roman"/>
          <w:sz w:val="17"/>
          <w:szCs w:val="17"/>
          <w:color w:val="auto"/>
        </w:rPr>
        <w:t>. Each Non-Employee Director, Director Emeritus or Eligible Employee shall, contemporaneously with an Initial Deferral Election, also elect the time of payment of the amount of the deferred Compensation to which such Initial Deferral Election relates; provided, however, that, except as otherwise specifically provided by the Plan, no distribution may commence earlier than January 2nd of the second calendar year beginning after the date the compensation subject to the Initial Deferral Election would be paid but for the Initial Deferral Election, nor later than January 2nd of the seventh calendar year beginning after the date the compensation subject to the Initial Deferral Election would be paid but for the Initial Deferral Election.</w:t>
      </w:r>
    </w:p>
    <w:p>
      <w:pPr>
        <w:spacing w:after="0" w:line="123" w:lineRule="exact"/>
        <w:rPr>
          <w:sz w:val="20"/>
          <w:szCs w:val="20"/>
          <w:color w:val="auto"/>
        </w:rPr>
      </w:pPr>
    </w:p>
    <w:p>
      <w:pPr>
        <w:ind w:right="800"/>
        <w:spacing w:after="0" w:line="238" w:lineRule="auto"/>
        <w:rPr>
          <w:sz w:val="20"/>
          <w:szCs w:val="20"/>
          <w:color w:val="auto"/>
        </w:rPr>
      </w:pPr>
      <w:r>
        <w:rPr>
          <w:rFonts w:ascii="Times New Roman" w:cs="Times New Roman" w:eastAsia="Times New Roman" w:hAnsi="Times New Roman"/>
          <w:sz w:val="17"/>
          <w:szCs w:val="17"/>
          <w:color w:val="auto"/>
        </w:rPr>
        <w:t>Further, each Non-Employee Director, Director Emeritus or Eligible Employee may select with each Initial Deferral Election the manner of distribution in accordance with Article 4.</w:t>
      </w:r>
    </w:p>
    <w:p>
      <w:pPr>
        <w:spacing w:after="0" w:line="122" w:lineRule="exact"/>
        <w:rPr>
          <w:sz w:val="20"/>
          <w:szCs w:val="20"/>
          <w:color w:val="auto"/>
        </w:rPr>
      </w:pPr>
    </w:p>
    <w:p>
      <w:pPr>
        <w:ind w:right="480" w:firstLine="1019"/>
        <w:spacing w:after="0" w:line="238"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Subsequent Deferral Elections</w:t>
      </w:r>
      <w:r>
        <w:rPr>
          <w:rFonts w:ascii="Times New Roman" w:cs="Times New Roman" w:eastAsia="Times New Roman" w:hAnsi="Times New Roman"/>
          <w:sz w:val="17"/>
          <w:szCs w:val="17"/>
          <w:color w:val="auto"/>
        </w:rPr>
        <w:t>. No Subsequent Deferral Election shall be effective until 12 months after the date on which such Subsequent Deferral Election is filed.</w:t>
      </w:r>
    </w:p>
    <w:p>
      <w:pPr>
        <w:spacing w:after="0" w:line="122" w:lineRule="exact"/>
        <w:rPr>
          <w:sz w:val="20"/>
          <w:szCs w:val="20"/>
          <w:color w:val="auto"/>
        </w:rPr>
      </w:pPr>
    </w:p>
    <w:p>
      <w:pPr>
        <w:ind w:firstLine="1533"/>
        <w:spacing w:after="0" w:line="216" w:lineRule="auto"/>
        <w:tabs>
          <w:tab w:leader="none" w:pos="2098"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Active Participants, Non-Employee Directors, and Section 16 Officers</w:t>
      </w:r>
      <w:r>
        <w:rPr>
          <w:rFonts w:ascii="Times New Roman" w:cs="Times New Roman" w:eastAsia="Times New Roman" w:hAnsi="Times New Roman"/>
          <w:sz w:val="17"/>
          <w:szCs w:val="17"/>
          <w:color w:val="auto"/>
        </w:rPr>
        <w:t>. Each (i) Active Participant, (ii) except as otherwise determined by the Administrator, each Participant who is actively employed by a Participating Company who is not an Active Participant, and (iii) each Participant designated by the Administrator who has served as a Non-Employee Director or Section 16 Officer at any time on or after January 1, 2019 (whether or not such individual is an Active Participant), who has filed an Initial Deferral Election, or who has filed a Subsequent Deferral Election, may elect to defer the time of payment of any part or all of such Participant’s Account for a minimum of five (5) and a maximum of seven (7) additional years from the previously-elected payment date by filing a Subsequent Deferral Election with the Administrator at least 12 months before the lump-sum distribution or initial installment payment would otherwise be made. The number of Subsequent Deferral Elections under this Section 3.5(a) shall not be limited. The Administrator may designate the specific Other Investment Fund or Funds to which the Account of any individual who has terminated service to the Company shall be deemed invested.</w:t>
      </w:r>
    </w:p>
    <w:p>
      <w:pPr>
        <w:spacing w:after="0" w:line="120" w:lineRule="exact"/>
        <w:rPr>
          <w:rFonts w:ascii="Times New Roman" w:cs="Times New Roman" w:eastAsia="Times New Roman" w:hAnsi="Times New Roman"/>
          <w:sz w:val="17"/>
          <w:szCs w:val="17"/>
          <w:color w:val="auto"/>
        </w:rPr>
      </w:pPr>
    </w:p>
    <w:p>
      <w:pPr>
        <w:ind w:right="40" w:firstLine="1533"/>
        <w:spacing w:after="0" w:line="220" w:lineRule="auto"/>
        <w:tabs>
          <w:tab w:leader="none" w:pos="2108"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Inactive Participants</w:t>
      </w:r>
      <w:r>
        <w:rPr>
          <w:rFonts w:ascii="Times New Roman" w:cs="Times New Roman" w:eastAsia="Times New Roman" w:hAnsi="Times New Roman"/>
          <w:sz w:val="17"/>
          <w:szCs w:val="17"/>
          <w:color w:val="auto"/>
        </w:rPr>
        <w:t>. Except as otherwise provided in Section 3.5(a), the Administrator may, in its sole and absolute discretion, permit an Inactive Participant to make a Subsequent Deferral Election defer the time of payment of any part or all of such Inactive Participant’s Account for a minimum of five (5) years and a maximum of seven (7) additional years from the previously-elected payment date, by filing a Subsequent Deferral Election with the Administrator at least 12 months before the lump-sum distribution or initial installment payment would otherwise be made. The number of Subsequent Deferral Elections under this Section 3.5(b) shall be determined by the Administrator in its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80"/>
          </w:cols>
          <w:pgMar w:left="300" w:top="1127" w:right="319" w:bottom="1440" w:gutter="0" w:footer="0" w:header="0"/>
        </w:sectPr>
      </w:pPr>
    </w:p>
    <w:bookmarkStart w:id="171" w:name="page172"/>
    <w:bookmarkEnd w:id="171"/>
    <w:p>
      <w:pPr>
        <w:ind w:right="60" w:firstLine="1533"/>
        <w:spacing w:after="0" w:line="216" w:lineRule="auto"/>
        <w:tabs>
          <w:tab w:leader="none" w:pos="1886"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Surviving Spouses – Subsequent Deferral Election</w:t>
      </w:r>
      <w:r>
        <w:rPr>
          <w:rFonts w:ascii="Times New Roman" w:cs="Times New Roman" w:eastAsia="Times New Roman" w:hAnsi="Times New Roman"/>
          <w:sz w:val="17"/>
          <w:szCs w:val="17"/>
          <w:color w:val="auto"/>
        </w:rPr>
        <w:t>. A Beneficiary of a Deceased Participant who is a Deceased Participant’s Surviving Spouse may elect distribution to commence on the earlier of a date within 60 days following a Participant’s death, or the date otherwise specified pursuant to an initial Deferral Election, a Regular Deferral Election, or a Subsequent Deferral Election. A Surviving Spouse who is a Deceased Participant’s Beneficiary may also elect to defer the time of payment of any part or all of such Deceased Participant’s Account the payment of which would be made more than 12 months after the date of such election. Such election shall be made by filing a Subsequent Deferral Election with the Administrator in which the Surviving Spouse shall specify the change in the time of payment, which shall be no less than five (5) years nor more than seven (7) years from the previously-elected payment date. A Surviving Spouse may make a total of two (2) Subsequent Deferral Elections under this Section 3.5(c), with respect to all or any part of the Deceased Participant’s Account. Subsequent Deferral Elections pursuant to this Section 3.5(c) may specify different changes with respect to different parts of the Deceased Participant’s Account.</w:t>
      </w:r>
    </w:p>
    <w:p>
      <w:pPr>
        <w:spacing w:after="0" w:line="120" w:lineRule="exact"/>
        <w:rPr>
          <w:rFonts w:ascii="Times New Roman" w:cs="Times New Roman" w:eastAsia="Times New Roman" w:hAnsi="Times New Roman"/>
          <w:sz w:val="17"/>
          <w:szCs w:val="17"/>
          <w:color w:val="auto"/>
        </w:rPr>
      </w:pPr>
    </w:p>
    <w:p>
      <w:pPr>
        <w:ind w:right="20" w:firstLine="1533"/>
        <w:spacing w:after="0" w:line="216" w:lineRule="auto"/>
        <w:tabs>
          <w:tab w:leader="none" w:pos="2108"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Beneficiary of a Deceased Participant Other Than a Surviving Spouse – Subsequent Deferral Election</w:t>
      </w:r>
      <w:r>
        <w:rPr>
          <w:rFonts w:ascii="Times New Roman" w:cs="Times New Roman" w:eastAsia="Times New Roman" w:hAnsi="Times New Roman"/>
          <w:sz w:val="17"/>
          <w:szCs w:val="17"/>
          <w:color w:val="auto"/>
        </w:rPr>
        <w:t>. A Beneficiary of a Deceased Participant other than a Surviving Spouse may elect distribution to commence on the earlier of a date within 60 days following a Participant’s death, or the date otherwise specified pursuant to an initial Deferral Election, a Regular Deferral Election, or a Subsequent Deferral Election. In addition, such Beneficiary may elect to defer the time of payment, of any part or all of such Deceased Participant’s Account the payment of which would be made more than 12 months after the date of such election. Such election shall be made by filing a Subsequent Deferral Election with the Administrator in which the Beneficiary shall specify the deferral of the time of payment, which shall be no less than five (5) years nor more than seven (7) years from the previously-elected payment date. A Beneficiary may make one (1) Subsequent Deferral Election under this Section 3.5(d), with respect to all or any part of the Deceased Participant’s Account. Subsequent Deferral Elections pursuant to this Section 3.5(d) may specify different changes with respect to different parts of the Deceased Participant’s Account.</w:t>
      </w:r>
    </w:p>
    <w:p>
      <w:pPr>
        <w:spacing w:after="0" w:line="120" w:lineRule="exact"/>
        <w:rPr>
          <w:rFonts w:ascii="Times New Roman" w:cs="Times New Roman" w:eastAsia="Times New Roman" w:hAnsi="Times New Roman"/>
          <w:sz w:val="17"/>
          <w:szCs w:val="17"/>
          <w:color w:val="auto"/>
        </w:rPr>
      </w:pPr>
    </w:p>
    <w:p>
      <w:pPr>
        <w:ind w:right="100" w:firstLine="1533"/>
        <w:spacing w:after="0" w:line="218" w:lineRule="auto"/>
        <w:tabs>
          <w:tab w:leader="none" w:pos="1886"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Retired Participants and Disabled Participants</w:t>
      </w:r>
      <w:r>
        <w:rPr>
          <w:rFonts w:ascii="Times New Roman" w:cs="Times New Roman" w:eastAsia="Times New Roman" w:hAnsi="Times New Roman"/>
          <w:sz w:val="17"/>
          <w:szCs w:val="17"/>
          <w:color w:val="auto"/>
        </w:rPr>
        <w:t>. The Administrator may, in its sole and absolute discretion, permit a Retired Participant or a Disabled Participant to make a Subsequent Deferral Election to defer the time of payment of any part or all of such Retired or Disabled Participant’s Account that would not otherwise become payable within twelve (12) months of such Subsequent Deferral Election for a minimum of five (5) years and a maximum of seven (7) additional years from the previously-elected payment date by filing a Subsequent Deferral Election with the Administrator on or before the close of business on the date that is at least twelve (12) months before the date on which the lump-sum distribution or initial installment payment would otherwise be made. The number of Subsequent Deferral Elections under this Section 3.5(e) shall be determined by the Administrator in its sole and absolute discretion.</w:t>
      </w:r>
    </w:p>
    <w:p>
      <w:pPr>
        <w:spacing w:after="0" w:line="12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u w:val="single" w:color="auto"/>
          <w:color w:val="auto"/>
        </w:rPr>
        <w:t>Part B: Deferred Stock Units</w:t>
      </w:r>
      <w:r>
        <w:rPr>
          <w:rFonts w:ascii="Times New Roman" w:cs="Times New Roman" w:eastAsia="Times New Roman" w:hAnsi="Times New Roman"/>
          <w:sz w:val="17"/>
          <w:szCs w:val="17"/>
          <w:color w:val="auto"/>
        </w:rPr>
        <w:t>. Sections 3.6 through 3.17 shall apply to the deferral of Shares issuable pursuant to Awards. A Participant may elect to defer the receipt of Shares that would otherwise be issuable with respect to Restricted Stock Units as to which a Vesting Date has not occurred, as provided by the Administrator in the Award, consistent, however, with the following:</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Initial Deferral Election and Regular Deferral Election</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20" w:firstLine="1528"/>
        <w:spacing w:after="0" w:line="238" w:lineRule="auto"/>
        <w:rPr>
          <w:sz w:val="20"/>
          <w:szCs w:val="20"/>
          <w:color w:val="auto"/>
        </w:rPr>
      </w:pPr>
      <w:r>
        <w:rPr>
          <w:rFonts w:ascii="Times New Roman" w:cs="Times New Roman" w:eastAsia="Times New Roman" w:hAnsi="Times New Roman"/>
          <w:sz w:val="17"/>
          <w:szCs w:val="17"/>
          <w:color w:val="auto"/>
        </w:rPr>
        <w:t xml:space="preserve">3.6.1. </w:t>
      </w:r>
      <w:r>
        <w:rPr>
          <w:rFonts w:ascii="Times New Roman" w:cs="Times New Roman" w:eastAsia="Times New Roman" w:hAnsi="Times New Roman"/>
          <w:sz w:val="17"/>
          <w:szCs w:val="17"/>
          <w:u w:val="single" w:color="auto"/>
          <w:color w:val="auto"/>
        </w:rPr>
        <w:t>Initial Deferral Election</w:t>
      </w:r>
      <w:r>
        <w:rPr>
          <w:rFonts w:ascii="Times New Roman" w:cs="Times New Roman" w:eastAsia="Times New Roman" w:hAnsi="Times New Roman"/>
          <w:sz w:val="17"/>
          <w:szCs w:val="17"/>
          <w:color w:val="auto"/>
        </w:rPr>
        <w:t>. Except as otherwise determined by the Administrator, an Initial Deferral Election is not available with respect to an Award unless such Award qualifies as Performance-Based Compensation.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80"/>
          </w:cols>
          <w:pgMar w:left="300" w:top="1126" w:right="319" w:bottom="1440" w:gutter="0" w:footer="0" w:header="0"/>
        </w:sectPr>
      </w:pPr>
    </w:p>
    <w:bookmarkStart w:id="172" w:name="page173"/>
    <w:bookmarkEnd w:id="172"/>
    <w:p>
      <w:pPr>
        <w:jc w:val="both"/>
        <w:ind w:right="180" w:firstLine="1533"/>
        <w:spacing w:after="0" w:line="228" w:lineRule="auto"/>
        <w:tabs>
          <w:tab w:leader="none" w:pos="1886"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Election</w:t>
      </w:r>
      <w:r>
        <w:rPr>
          <w:rFonts w:ascii="Times New Roman" w:cs="Times New Roman" w:eastAsia="Times New Roman" w:hAnsi="Times New Roman"/>
          <w:sz w:val="17"/>
          <w:szCs w:val="17"/>
          <w:color w:val="auto"/>
        </w:rPr>
        <w:t>. To the extent determined by the Administrator, each Participant who is a Non-Employee Director or an RSU Deferral Eligible Employee shall have the right to defer the receipt of some or all of the Shares issuable with respect to Restricted Stock Units as to which a Vesting Date has not yet occurred, by filing an Initial Deferral Election to defer the receipt of such Shares on a form provided by the Administrator for this purpose.</w:t>
      </w:r>
    </w:p>
    <w:p>
      <w:pPr>
        <w:spacing w:after="0" w:line="121" w:lineRule="exact"/>
        <w:rPr>
          <w:rFonts w:ascii="Times New Roman" w:cs="Times New Roman" w:eastAsia="Times New Roman" w:hAnsi="Times New Roman"/>
          <w:sz w:val="17"/>
          <w:szCs w:val="17"/>
          <w:color w:val="auto"/>
        </w:rPr>
      </w:pPr>
    </w:p>
    <w:p>
      <w:pPr>
        <w:ind w:right="100" w:firstLine="1533"/>
        <w:spacing w:after="0" w:line="208" w:lineRule="auto"/>
        <w:tabs>
          <w:tab w:leader="none" w:pos="1896"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Deadline for Initial Deferral Election</w:t>
      </w:r>
      <w:r>
        <w:rPr>
          <w:rFonts w:ascii="Times New Roman" w:cs="Times New Roman" w:eastAsia="Times New Roman" w:hAnsi="Times New Roman"/>
          <w:sz w:val="17"/>
          <w:szCs w:val="17"/>
          <w:color w:val="auto"/>
        </w:rPr>
        <w:t>. No Initial Deferral Election to defer the receipt of Shares issuable with respect to Restricted Stock Units that are not Performance-Based Compensation shall be effective unless it is filed with the Administrator on or before the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following the Date of Grant and 12 or more months in advance of the applicable Vesting Date. No Initial Deferral Election to defer the receipt of Shares issuable with respect to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122" w:lineRule="exact"/>
        <w:rPr>
          <w:sz w:val="20"/>
          <w:szCs w:val="20"/>
          <w:color w:val="auto"/>
        </w:rPr>
      </w:pPr>
    </w:p>
    <w:p>
      <w:pPr>
        <w:ind w:left="1540"/>
        <w:spacing w:after="0"/>
        <w:tabs>
          <w:tab w:leader="none" w:pos="2060" w:val="left"/>
        </w:tabs>
        <w:rPr>
          <w:sz w:val="20"/>
          <w:szCs w:val="20"/>
          <w:color w:val="auto"/>
        </w:rPr>
      </w:pPr>
      <w:r>
        <w:rPr>
          <w:rFonts w:ascii="Times New Roman" w:cs="Times New Roman" w:eastAsia="Times New Roman" w:hAnsi="Times New Roman"/>
          <w:sz w:val="17"/>
          <w:szCs w:val="17"/>
          <w:color w:val="auto"/>
        </w:rPr>
        <w:t>3.6.2.</w:t>
      </w:r>
      <w:r>
        <w:rPr>
          <w:sz w:val="20"/>
          <w:szCs w:val="20"/>
          <w:color w:val="auto"/>
        </w:rPr>
        <w:tab/>
      </w:r>
      <w:r>
        <w:rPr>
          <w:rFonts w:ascii="Times New Roman" w:cs="Times New Roman" w:eastAsia="Times New Roman" w:hAnsi="Times New Roman"/>
          <w:sz w:val="17"/>
          <w:szCs w:val="17"/>
          <w:u w:val="single" w:color="auto"/>
          <w:color w:val="auto"/>
        </w:rPr>
        <w:t>Regular Deferral Election</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100" w:firstLine="1533"/>
        <w:spacing w:after="0" w:line="223" w:lineRule="auto"/>
        <w:tabs>
          <w:tab w:leader="none" w:pos="1886"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Election</w:t>
      </w:r>
      <w:r>
        <w:rPr>
          <w:rFonts w:ascii="Times New Roman" w:cs="Times New Roman" w:eastAsia="Times New Roman" w:hAnsi="Times New Roman"/>
          <w:sz w:val="17"/>
          <w:szCs w:val="17"/>
          <w:color w:val="auto"/>
        </w:rPr>
        <w:t>. To the extent determined by the Administrator, each Participant who is an RSU Deferral Eligible Employee shall have the right to defer the receipt of some or all of the Shares issuable with respect to Restricted Stock Units as to which a Vesting Date has not yet occurred, and that are not subject to an Initial Deferral Election, by filing a Regular Deferral Election to defer the receipt of such Shares on a form provided by the Administrator for this purpose.</w:t>
      </w:r>
    </w:p>
    <w:p>
      <w:pPr>
        <w:spacing w:after="0" w:line="122" w:lineRule="exact"/>
        <w:rPr>
          <w:rFonts w:ascii="Times New Roman" w:cs="Times New Roman" w:eastAsia="Times New Roman" w:hAnsi="Times New Roman"/>
          <w:sz w:val="17"/>
          <w:szCs w:val="17"/>
          <w:color w:val="auto"/>
        </w:rPr>
      </w:pPr>
    </w:p>
    <w:p>
      <w:pPr>
        <w:ind w:right="220" w:firstLine="1533"/>
        <w:spacing w:after="0" w:line="228" w:lineRule="auto"/>
        <w:tabs>
          <w:tab w:leader="none" w:pos="1896"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Deadline for Regular Deferral Election</w:t>
      </w:r>
      <w:r>
        <w:rPr>
          <w:rFonts w:ascii="Times New Roman" w:cs="Times New Roman" w:eastAsia="Times New Roman" w:hAnsi="Times New Roman"/>
          <w:sz w:val="17"/>
          <w:szCs w:val="17"/>
          <w:color w:val="auto"/>
        </w:rPr>
        <w:t>. No Regular Deferral Election to defer the receipt of Shares issuable with respect to Restricted Stock Units shall be effective unless it is filed with the Administrator on or before the close of business at least one year before the scheduled Vesting Date of such Restricted Stock Units.</w:t>
      </w:r>
    </w:p>
    <w:p>
      <w:pPr>
        <w:spacing w:after="0" w:line="122" w:lineRule="exact"/>
        <w:rPr>
          <w:sz w:val="20"/>
          <w:szCs w:val="20"/>
          <w:color w:val="auto"/>
        </w:rPr>
      </w:pPr>
    </w:p>
    <w:p>
      <w:pPr>
        <w:ind w:right="60" w:firstLine="1019"/>
        <w:spacing w:after="0" w:line="238"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Effect of Failure of Vesting Date to Occur</w:t>
      </w:r>
      <w:r>
        <w:rPr>
          <w:rFonts w:ascii="Times New Roman" w:cs="Times New Roman" w:eastAsia="Times New Roman" w:hAnsi="Times New Roman"/>
          <w:sz w:val="17"/>
          <w:szCs w:val="17"/>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122" w:lineRule="exact"/>
        <w:rPr>
          <w:sz w:val="20"/>
          <w:szCs w:val="20"/>
          <w:color w:val="auto"/>
        </w:rPr>
      </w:pPr>
    </w:p>
    <w:p>
      <w:pPr>
        <w:ind w:right="180" w:firstLine="1019"/>
        <w:spacing w:after="0" w:line="218"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Deferral Period</w:t>
      </w:r>
      <w:r>
        <w:rPr>
          <w:rFonts w:ascii="Times New Roman" w:cs="Times New Roman" w:eastAsia="Times New Roman" w:hAnsi="Times New Roman"/>
          <w:sz w:val="17"/>
          <w:szCs w:val="17"/>
          <w:color w:val="auto"/>
        </w:rPr>
        <w:t>. Except as otherwise provided in Section 3.8.3, all Shares issuable with respect to Restricted Stock Units that are subject to an Election shall be delivered to the Participant (or the Participant’s Beneficiary) without any legend or restrictions (except those that may be imposed by the Administrator, in its sole judgment, to comply with applicable securities laws), on the distribution date for such Shares designated by the Participant on the most recently filed Election. The distribution date may vary with each separate Election. A Participant may elect distribution to commence on the earlier of a date within 60 days following the Participant’s death or the date otherwise specified pursuant to an Initial Deferral Election, a Regular Deferral Election, or a Subsequent Deferral Election.</w:t>
      </w:r>
    </w:p>
    <w:p>
      <w:pPr>
        <w:spacing w:after="0" w:line="123" w:lineRule="exact"/>
        <w:rPr>
          <w:sz w:val="20"/>
          <w:szCs w:val="20"/>
          <w:color w:val="auto"/>
        </w:rPr>
      </w:pPr>
    </w:p>
    <w:p>
      <w:pPr>
        <w:ind w:right="100" w:firstLine="1528"/>
        <w:spacing w:after="0" w:line="208" w:lineRule="auto"/>
        <w:rPr>
          <w:sz w:val="20"/>
          <w:szCs w:val="20"/>
          <w:color w:val="auto"/>
        </w:rPr>
      </w:pPr>
      <w:r>
        <w:rPr>
          <w:rFonts w:ascii="Times New Roman" w:cs="Times New Roman" w:eastAsia="Times New Roman" w:hAnsi="Times New Roman"/>
          <w:sz w:val="17"/>
          <w:szCs w:val="17"/>
          <w:color w:val="auto"/>
        </w:rPr>
        <w:t xml:space="preserve">3.8.1. </w:t>
      </w:r>
      <w:r>
        <w:rPr>
          <w:rFonts w:ascii="Times New Roman" w:cs="Times New Roman" w:eastAsia="Times New Roman" w:hAnsi="Times New Roman"/>
          <w:sz w:val="17"/>
          <w:szCs w:val="17"/>
          <w:u w:val="single" w:color="auto"/>
          <w:color w:val="auto"/>
        </w:rPr>
        <w:t>Initial Deferral Election</w:t>
      </w:r>
      <w:r>
        <w:rPr>
          <w:rFonts w:ascii="Times New Roman" w:cs="Times New Roman" w:eastAsia="Times New Roman" w:hAnsi="Times New Roman"/>
          <w:sz w:val="17"/>
          <w:szCs w:val="17"/>
          <w:color w:val="auto"/>
        </w:rPr>
        <w:t>. Except as otherwise specifically provided by the Plan, no distribution pursuant to an Initial Deferral Election may be made earlier than January 2nd of the third calendar year beginning after the Vesting Date, nor later than January 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of the eighth calendar year beginning after the Vesting Date.</w:t>
      </w:r>
    </w:p>
    <w:p>
      <w:pPr>
        <w:spacing w:after="0" w:line="121" w:lineRule="exact"/>
        <w:rPr>
          <w:sz w:val="20"/>
          <w:szCs w:val="20"/>
          <w:color w:val="auto"/>
        </w:rPr>
      </w:pPr>
    </w:p>
    <w:p>
      <w:pPr>
        <w:ind w:firstLine="1528"/>
        <w:spacing w:after="0" w:line="246" w:lineRule="auto"/>
        <w:rPr>
          <w:sz w:val="20"/>
          <w:szCs w:val="20"/>
          <w:color w:val="auto"/>
        </w:rPr>
      </w:pPr>
      <w:r>
        <w:rPr>
          <w:rFonts w:ascii="Times New Roman" w:cs="Times New Roman" w:eastAsia="Times New Roman" w:hAnsi="Times New Roman"/>
          <w:sz w:val="17"/>
          <w:szCs w:val="17"/>
          <w:color w:val="auto"/>
        </w:rPr>
        <w:t xml:space="preserve">3.8.2. </w:t>
      </w:r>
      <w:r>
        <w:rPr>
          <w:rFonts w:ascii="Times New Roman" w:cs="Times New Roman" w:eastAsia="Times New Roman" w:hAnsi="Times New Roman"/>
          <w:sz w:val="17"/>
          <w:szCs w:val="17"/>
          <w:u w:val="single" w:color="auto"/>
          <w:color w:val="auto"/>
        </w:rPr>
        <w:t>Regular Deferral Election</w:t>
      </w:r>
      <w:r>
        <w:rPr>
          <w:rFonts w:ascii="Times New Roman" w:cs="Times New Roman" w:eastAsia="Times New Roman" w:hAnsi="Times New Roman"/>
          <w:sz w:val="17"/>
          <w:szCs w:val="17"/>
          <w:color w:val="auto"/>
        </w:rPr>
        <w:t>. No distribution pursuant to a Regular Deferral Election may be made earlier than the fifth anniversary of the Vesting Date, nor later than January 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of the eighth calendar year beginning after the Vesting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80"/>
          </w:cols>
          <w:pgMar w:left="300" w:top="1127" w:right="319" w:bottom="1440" w:gutter="0" w:footer="0" w:header="0"/>
        </w:sectPr>
      </w:pPr>
    </w:p>
    <w:bookmarkStart w:id="173" w:name="page174"/>
    <w:bookmarkEnd w:id="173"/>
    <w:p>
      <w:pPr>
        <w:ind w:right="80" w:firstLine="1528"/>
        <w:spacing w:after="0" w:line="238" w:lineRule="auto"/>
        <w:rPr>
          <w:sz w:val="20"/>
          <w:szCs w:val="20"/>
          <w:color w:val="auto"/>
        </w:rPr>
      </w:pPr>
      <w:r>
        <w:rPr>
          <w:rFonts w:ascii="Times New Roman" w:cs="Times New Roman" w:eastAsia="Times New Roman" w:hAnsi="Times New Roman"/>
          <w:sz w:val="17"/>
          <w:szCs w:val="17"/>
          <w:color w:val="auto"/>
        </w:rPr>
        <w:t xml:space="preserve">3.8.3. </w:t>
      </w:r>
      <w:r>
        <w:rPr>
          <w:rFonts w:ascii="Times New Roman" w:cs="Times New Roman" w:eastAsia="Times New Roman" w:hAnsi="Times New Roman"/>
          <w:sz w:val="17"/>
          <w:szCs w:val="17"/>
          <w:u w:val="single" w:color="auto"/>
          <w:color w:val="auto"/>
        </w:rPr>
        <w:t>Subsequent Deferral Elections</w:t>
      </w:r>
      <w:r>
        <w:rPr>
          <w:rFonts w:ascii="Times New Roman" w:cs="Times New Roman" w:eastAsia="Times New Roman" w:hAnsi="Times New Roman"/>
          <w:sz w:val="17"/>
          <w:szCs w:val="17"/>
          <w:color w:val="auto"/>
        </w:rPr>
        <w:t>. Notwithstanding anything in this Section 3.8 to the contrary, no Subsequent Deferral Election shall be effective until 12 months after the date on which such Subsequent Deferral Election is made.</w:t>
      </w:r>
    </w:p>
    <w:p>
      <w:pPr>
        <w:spacing w:after="0" w:line="122" w:lineRule="exact"/>
        <w:rPr>
          <w:sz w:val="20"/>
          <w:szCs w:val="20"/>
          <w:color w:val="auto"/>
        </w:rPr>
      </w:pPr>
    </w:p>
    <w:p>
      <w:pPr>
        <w:ind w:firstLine="1533"/>
        <w:spacing w:after="0" w:line="214" w:lineRule="auto"/>
        <w:tabs>
          <w:tab w:leader="none" w:pos="1886"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Active Participant, and each Participant designated by the Administrator who has served as a Non-Employee Director or Section 16 Officer at any time on or after January 1, 2019 (whether or not such individual is an Active Participant) (A) who has previously made an Initial Deferral Election or a Regular Deferral Election to receive a distribution of part or all of his or her Account, or (B) who, pursuant to this Section 3.8 has made a Subsequent Deferral Election to defer the distribution date for Deferred Stock Units may delay the payment date for an additional period from the originally-elected distribution date, (provided that no distribution pursuant to a Subsequent Deferral Election may be made earlier than the fifth anniversary of the previously-elected distribution date, nor later than the seventh anniversary of the previously-elected distribution date), by filing a Subsequent Deferral Election with the Administrator on or before the close of business at least one year before the date on which the distribution would otherwise be made. The number of Subsequent Deferral Elections under this Section 3.8.3 shall not be limited. Notwithstanding the foregoing, except as otherwise provided by the Administrator, an Active Participant who returns to service with a Participating Company following a termination of service may not make a Subsequent Deferral Election with respect to amounts subject to an Initial Deferral Election or a Subsequent Deferral Election that was filed with the Administrator before such return to service.</w:t>
      </w:r>
    </w:p>
    <w:p>
      <w:pPr>
        <w:spacing w:after="0" w:line="124" w:lineRule="exact"/>
        <w:rPr>
          <w:rFonts w:ascii="Times New Roman" w:cs="Times New Roman" w:eastAsia="Times New Roman" w:hAnsi="Times New Roman"/>
          <w:sz w:val="17"/>
          <w:szCs w:val="17"/>
          <w:color w:val="auto"/>
        </w:rPr>
      </w:pPr>
    </w:p>
    <w:p>
      <w:pPr>
        <w:ind w:firstLine="1533"/>
        <w:spacing w:after="0" w:line="244" w:lineRule="auto"/>
        <w:tabs>
          <w:tab w:leader="none" w:pos="1886"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Deceased Participant’s Successor-in-Interest may elect to file a Subsequent Deferral Election to defer the distribution date for the Deceased Participant’s Deferred Stock Units for five additional years from the date payment would otherwise be made. A Subsequent Deferral Election must be filed with the Administrator at least one year before the date on which the distribution would otherwise be made, as reflected on the Deceased Participant’s last Election.</w:t>
      </w:r>
    </w:p>
    <w:p>
      <w:pPr>
        <w:spacing w:after="0" w:line="117" w:lineRule="exact"/>
        <w:rPr>
          <w:rFonts w:ascii="Times New Roman" w:cs="Times New Roman" w:eastAsia="Times New Roman" w:hAnsi="Times New Roman"/>
          <w:sz w:val="16"/>
          <w:szCs w:val="16"/>
          <w:color w:val="auto"/>
        </w:rPr>
      </w:pPr>
    </w:p>
    <w:p>
      <w:pPr>
        <w:ind w:right="40" w:firstLine="1533"/>
        <w:spacing w:after="0" w:line="228" w:lineRule="auto"/>
        <w:tabs>
          <w:tab w:leader="none" w:pos="1877"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Retired Participant may elect to defer the distribution date of the Retired Participant’s Deferred Stock Units for five additional years from the date payment would otherwise be made. A Subsequent Deferral Election must be filed with the Administrator at least one year before the date on which the distribution would otherwise be made, as reflected on the Retired Participant’s last Election.</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Distributions of RSU Accounts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180" w:firstLine="1528"/>
        <w:spacing w:after="0" w:line="238" w:lineRule="auto"/>
        <w:rPr>
          <w:sz w:val="20"/>
          <w:szCs w:val="20"/>
          <w:color w:val="auto"/>
        </w:rPr>
      </w:pPr>
      <w:r>
        <w:rPr>
          <w:rFonts w:ascii="Times New Roman" w:cs="Times New Roman" w:eastAsia="Times New Roman" w:hAnsi="Times New Roman"/>
          <w:sz w:val="17"/>
          <w:szCs w:val="17"/>
          <w:color w:val="auto"/>
        </w:rPr>
        <w:t xml:space="preserve">3.9.1. </w:t>
      </w:r>
      <w:r>
        <w:rPr>
          <w:rFonts w:ascii="Times New Roman" w:cs="Times New Roman" w:eastAsia="Times New Roman" w:hAnsi="Times New Roman"/>
          <w:sz w:val="17"/>
          <w:szCs w:val="17"/>
          <w:u w:val="single" w:color="auto"/>
          <w:color w:val="auto"/>
        </w:rPr>
        <w:t>Manner of Distribution</w:t>
      </w:r>
      <w:r>
        <w:rPr>
          <w:rFonts w:ascii="Times New Roman" w:cs="Times New Roman" w:eastAsia="Times New Roman" w:hAnsi="Times New Roman"/>
          <w:sz w:val="17"/>
          <w:szCs w:val="17"/>
          <w:color w:val="auto"/>
        </w:rPr>
        <w:t>. Amounts credited to an RSU Account shall be distributed pursuant to an Initial Deferral Election, a Regular Deferral Election, or a Subsequent Deferral Election in either:</w:t>
      </w:r>
    </w:p>
    <w:p>
      <w:pPr>
        <w:spacing w:after="0" w:line="122" w:lineRule="exact"/>
        <w:rPr>
          <w:sz w:val="20"/>
          <w:szCs w:val="20"/>
          <w:color w:val="auto"/>
        </w:rPr>
      </w:pPr>
    </w:p>
    <w:p>
      <w:pPr>
        <w:ind w:left="2100" w:hanging="567"/>
        <w:spacing w:after="0"/>
        <w:tabs>
          <w:tab w:leader="none" w:pos="210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payment; or</w:t>
      </w:r>
    </w:p>
    <w:p>
      <w:pPr>
        <w:spacing w:after="0" w:line="144" w:lineRule="exact"/>
        <w:rPr>
          <w:rFonts w:ascii="Times New Roman" w:cs="Times New Roman" w:eastAsia="Times New Roman" w:hAnsi="Times New Roman"/>
          <w:sz w:val="17"/>
          <w:szCs w:val="17"/>
          <w:color w:val="auto"/>
        </w:rPr>
      </w:pPr>
    </w:p>
    <w:p>
      <w:pPr>
        <w:ind w:right="260" w:firstLine="1533"/>
        <w:spacing w:after="0" w:line="238" w:lineRule="auto"/>
        <w:tabs>
          <w:tab w:leader="none" w:pos="2108"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Substantially equal monthly or annual installments over a five- (5) or ten- (10) year period. Installment distributions payable in the form of Shares shall be rounded to the next lower whole Share.</w:t>
      </w:r>
    </w:p>
    <w:p>
      <w:pPr>
        <w:spacing w:after="0" w:line="122" w:lineRule="exact"/>
        <w:rPr>
          <w:sz w:val="20"/>
          <w:szCs w:val="20"/>
          <w:color w:val="auto"/>
        </w:rPr>
      </w:pPr>
    </w:p>
    <w:p>
      <w:pPr>
        <w:ind w:right="280" w:firstLine="1528"/>
        <w:spacing w:after="0" w:line="223" w:lineRule="auto"/>
        <w:rPr>
          <w:sz w:val="20"/>
          <w:szCs w:val="20"/>
          <w:color w:val="auto"/>
        </w:rPr>
      </w:pPr>
      <w:r>
        <w:rPr>
          <w:rFonts w:ascii="Times New Roman" w:cs="Times New Roman" w:eastAsia="Times New Roman" w:hAnsi="Times New Roman"/>
          <w:sz w:val="17"/>
          <w:szCs w:val="17"/>
          <w:color w:val="auto"/>
        </w:rPr>
        <w:t xml:space="preserve">3.9.2. </w:t>
      </w:r>
      <w:r>
        <w:rPr>
          <w:rFonts w:ascii="Times New Roman" w:cs="Times New Roman" w:eastAsia="Times New Roman" w:hAnsi="Times New Roman"/>
          <w:sz w:val="17"/>
          <w:szCs w:val="17"/>
          <w:u w:val="single" w:color="auto"/>
          <w:color w:val="auto"/>
        </w:rPr>
        <w:t>Discretion to Provide for Distribution in Full Upon or Following a Change of Control</w:t>
      </w:r>
      <w:r>
        <w:rPr>
          <w:rFonts w:ascii="Times New Roman" w:cs="Times New Roman" w:eastAsia="Times New Roman" w:hAnsi="Times New Roman"/>
          <w:sz w:val="17"/>
          <w:szCs w:val="17"/>
          <w:color w:val="auto"/>
        </w:rPr>
        <w:t>. To the extent permitted by Section 409A, in connection with a Change of Control, and for the 12-month period following a Change of Control, the Administrator may exercise its discretion to terminate the deferral provisions of the Plan and, notwithstanding any other provision of the Plan or the terms of any Initial Deferral Election, Regular Deferral Election or Subsequent Deferral Election, distribute the RSU Account of each Participant in full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00" w:top="1127" w:right="3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color w:val="auto"/>
        </w:rPr>
        <w:t>and thereby effect the revocation of any outstanding Initial Deferral Elections, Regular Deferral Election or Subsequent Deferral Elections.</w:t>
      </w:r>
    </w:p>
    <w:p>
      <w:pPr>
        <w:spacing w:after="0" w:line="144" w:lineRule="exact"/>
        <w:rPr>
          <w:sz w:val="20"/>
          <w:szCs w:val="20"/>
          <w:color w:val="auto"/>
        </w:rPr>
      </w:pPr>
    </w:p>
    <w:p>
      <w:pPr>
        <w:ind w:firstLine="1019"/>
        <w:spacing w:after="0" w:line="228"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u w:val="single" w:color="auto"/>
          <w:color w:val="auto"/>
        </w:rPr>
        <w:t>Hardship</w:t>
      </w:r>
      <w:r>
        <w:rPr>
          <w:rFonts w:ascii="Times New Roman" w:cs="Times New Roman" w:eastAsia="Times New Roman" w:hAnsi="Times New Roman"/>
          <w:sz w:val="17"/>
          <w:szCs w:val="17"/>
          <w:color w:val="auto"/>
        </w:rPr>
        <w:t>. Notwithstanding the terms of an Initial Deferral Election, Regular Deferral Election or Subsequent Deferral Election with respect to an Award, if, at the Participant’s request, the Administrator determines that the Participant has incurred a Hardship, the Administrator may, in its discretion, authorize the immediate distribution of all or any portion of the Participant’s RSU Account.</w:t>
      </w:r>
    </w:p>
    <w:p>
      <w:pPr>
        <w:spacing w:after="0" w:line="122" w:lineRule="exact"/>
        <w:rPr>
          <w:sz w:val="20"/>
          <w:szCs w:val="20"/>
          <w:color w:val="auto"/>
        </w:rPr>
      </w:pPr>
    </w:p>
    <w:p>
      <w:pPr>
        <w:ind w:right="100" w:firstLine="1019"/>
        <w:spacing w:after="0" w:line="228"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Other Acceleration Events</w:t>
      </w:r>
      <w:r>
        <w:rPr>
          <w:rFonts w:ascii="Times New Roman" w:cs="Times New Roman" w:eastAsia="Times New Roman" w:hAnsi="Times New Roman"/>
          <w:sz w:val="17"/>
          <w:szCs w:val="17"/>
          <w:color w:val="auto"/>
        </w:rPr>
        <w:t>. To the extent permitted by Section 409A, notwithstanding the terms of an Initial Deferral Election, Regular Deferral Election or Subsequent Deferral Election with respect to an Award, distribution of all or part of a Participant’s RSU Account may be made consistent with Section 8.2.</w:t>
      </w:r>
    </w:p>
    <w:p>
      <w:pPr>
        <w:spacing w:after="0" w:line="122" w:lineRule="exact"/>
        <w:rPr>
          <w:sz w:val="20"/>
          <w:szCs w:val="20"/>
          <w:color w:val="auto"/>
        </w:rPr>
      </w:pPr>
    </w:p>
    <w:p>
      <w:pPr>
        <w:ind w:right="60" w:firstLine="1019"/>
        <w:spacing w:after="0" w:line="218"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auto"/>
        </w:rPr>
        <w:t>Book Accounts</w:t>
      </w:r>
      <w:r>
        <w:rPr>
          <w:rFonts w:ascii="Times New Roman" w:cs="Times New Roman" w:eastAsia="Times New Roman" w:hAnsi="Times New Roman"/>
          <w:sz w:val="17"/>
          <w:szCs w:val="17"/>
          <w:color w:val="auto"/>
        </w:rPr>
        <w:t>. An RSU Account shall be established for each Participant who makes an Election with respect to an Award. Deferred Stock Units shall be credited to the RSU Account as of the date an Election becomes effective. Each Deferred Stock Unit will represent a hypothetical Share credited to the Account in lieu of delivery of the Shares to which the Election applies. To the extent an RSU Account is deemed invested in an Other Investment Fund, the Administrator shall credit income, gains, and losses on the same basis as if the RSU Account were directly invested in such Other Investment Fund. To the extent an RSU Account is deemed invested in the Income Fund, the Administrator shall credit earnings with respect to such RSU Account at the Applicable Interest Rate, as further provided in Section 3.14.</w:t>
      </w:r>
    </w:p>
    <w:p>
      <w:pPr>
        <w:spacing w:after="0" w:line="123" w:lineRule="exact"/>
        <w:rPr>
          <w:sz w:val="20"/>
          <w:szCs w:val="20"/>
          <w:color w:val="auto"/>
        </w:rPr>
      </w:pPr>
    </w:p>
    <w:p>
      <w:pPr>
        <w:ind w:right="140" w:firstLine="1019"/>
        <w:spacing w:after="0" w:line="238" w:lineRule="auto"/>
        <w:rPr>
          <w:sz w:val="20"/>
          <w:szCs w:val="20"/>
          <w:color w:val="auto"/>
        </w:rPr>
      </w:pPr>
      <w:r>
        <w:rPr>
          <w:rFonts w:ascii="Times New Roman" w:cs="Times New Roman" w:eastAsia="Times New Roman" w:hAnsi="Times New Roman"/>
          <w:sz w:val="17"/>
          <w:szCs w:val="17"/>
          <w:color w:val="auto"/>
        </w:rPr>
        <w:t xml:space="preserve">3.13. </w:t>
      </w:r>
      <w:r>
        <w:rPr>
          <w:rFonts w:ascii="Times New Roman" w:cs="Times New Roman" w:eastAsia="Times New Roman" w:hAnsi="Times New Roman"/>
          <w:sz w:val="17"/>
          <w:szCs w:val="17"/>
          <w:u w:val="single" w:color="auto"/>
          <w:color w:val="auto"/>
        </w:rPr>
        <w:t>Plan-to-Plan Transfers</w:t>
      </w:r>
      <w:r>
        <w:rPr>
          <w:rFonts w:ascii="Times New Roman" w:cs="Times New Roman" w:eastAsia="Times New Roman" w:hAnsi="Times New Roman"/>
          <w:sz w:val="17"/>
          <w:szCs w:val="17"/>
          <w:color w:val="auto"/>
        </w:rPr>
        <w:t>. The Administrator may delegate its authority to arrange for plan-to-plan transfers as described in this Section 3.13 to an officer of the Company or Administrator of two or more officers of the Company.</w:t>
      </w:r>
    </w:p>
    <w:p>
      <w:pPr>
        <w:spacing w:after="0" w:line="122" w:lineRule="exact"/>
        <w:rPr>
          <w:sz w:val="20"/>
          <w:szCs w:val="20"/>
          <w:color w:val="auto"/>
        </w:rPr>
      </w:pPr>
    </w:p>
    <w:p>
      <w:pPr>
        <w:ind w:right="140" w:firstLine="1528"/>
        <w:spacing w:after="0" w:line="220" w:lineRule="auto"/>
        <w:rPr>
          <w:sz w:val="20"/>
          <w:szCs w:val="20"/>
          <w:color w:val="auto"/>
        </w:rPr>
      </w:pPr>
      <w:r>
        <w:rPr>
          <w:rFonts w:ascii="Times New Roman" w:cs="Times New Roman" w:eastAsia="Times New Roman" w:hAnsi="Times New Roman"/>
          <w:sz w:val="17"/>
          <w:szCs w:val="17"/>
          <w:color w:val="auto"/>
        </w:rPr>
        <w:t>3.13.1. 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23" w:lineRule="exact"/>
        <w:rPr>
          <w:sz w:val="20"/>
          <w:szCs w:val="20"/>
          <w:color w:val="auto"/>
        </w:rPr>
      </w:pPr>
    </w:p>
    <w:p>
      <w:pPr>
        <w:ind w:firstLine="1528"/>
        <w:spacing w:after="0" w:line="220" w:lineRule="auto"/>
        <w:rPr>
          <w:sz w:val="20"/>
          <w:szCs w:val="20"/>
          <w:color w:val="auto"/>
        </w:rPr>
      </w:pPr>
      <w:r>
        <w:rPr>
          <w:rFonts w:ascii="Times New Roman" w:cs="Times New Roman" w:eastAsia="Times New Roman" w:hAnsi="Times New Roman"/>
          <w:sz w:val="17"/>
          <w:szCs w:val="17"/>
          <w:color w:val="auto"/>
        </w:rPr>
        <w:t>3.13.2. 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RSU Account for such Participant, and the Account shall be subject to the rules of this Plan, as in effect from time to time.</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3.14. </w:t>
      </w:r>
      <w:r>
        <w:rPr>
          <w:rFonts w:ascii="Times New Roman" w:cs="Times New Roman" w:eastAsia="Times New Roman" w:hAnsi="Times New Roman"/>
          <w:sz w:val="17"/>
          <w:szCs w:val="17"/>
          <w:u w:val="single" w:color="auto"/>
          <w:color w:val="auto"/>
        </w:rPr>
        <w:t>Crediting of Income, Gains, and Losses on RSU Accounts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540" w:firstLine="1528"/>
        <w:spacing w:after="0" w:line="238" w:lineRule="auto"/>
        <w:rPr>
          <w:sz w:val="20"/>
          <w:szCs w:val="20"/>
          <w:color w:val="auto"/>
        </w:rPr>
      </w:pPr>
      <w:r>
        <w:rPr>
          <w:rFonts w:ascii="Times New Roman" w:cs="Times New Roman" w:eastAsia="Times New Roman" w:hAnsi="Times New Roman"/>
          <w:sz w:val="17"/>
          <w:szCs w:val="17"/>
          <w:color w:val="auto"/>
        </w:rPr>
        <w:t xml:space="preserve">3.14.1. </w:t>
      </w:r>
      <w:r>
        <w:rPr>
          <w:rFonts w:ascii="Times New Roman" w:cs="Times New Roman" w:eastAsia="Times New Roman" w:hAnsi="Times New Roman"/>
          <w:sz w:val="17"/>
          <w:szCs w:val="17"/>
          <w:u w:val="single" w:color="auto"/>
          <w:color w:val="auto"/>
        </w:rPr>
        <w:t>In General</w:t>
      </w:r>
      <w:r>
        <w:rPr>
          <w:rFonts w:ascii="Times New Roman" w:cs="Times New Roman" w:eastAsia="Times New Roman" w:hAnsi="Times New Roman"/>
          <w:sz w:val="17"/>
          <w:szCs w:val="17"/>
          <w:color w:val="auto"/>
        </w:rPr>
        <w:t>. Except as otherwise provided in this Section 3.14 or Section 3.15, the value of such portion of a Participant’s RSU Account shall be determined as if it were invested in the Company Stock Fund.</w:t>
      </w:r>
    </w:p>
    <w:p>
      <w:pPr>
        <w:spacing w:after="0" w:line="122"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17"/>
          <w:szCs w:val="17"/>
          <w:color w:val="auto"/>
        </w:rPr>
        <w:t>3.14.2.</w:t>
      </w:r>
      <w:r>
        <w:rPr>
          <w:sz w:val="20"/>
          <w:szCs w:val="20"/>
          <w:color w:val="auto"/>
        </w:rPr>
        <w:tab/>
      </w:r>
      <w:r>
        <w:rPr>
          <w:rFonts w:ascii="Times New Roman" w:cs="Times New Roman" w:eastAsia="Times New Roman" w:hAnsi="Times New Roman"/>
          <w:sz w:val="17"/>
          <w:szCs w:val="17"/>
          <w:u w:val="single" w:color="auto"/>
          <w:color w:val="auto"/>
        </w:rPr>
        <w:t>Credits to Other Investment Funds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80"/>
          </w:cols>
          <w:pgMar w:left="300" w:top="1127" w:right="319" w:bottom="1440" w:gutter="0" w:footer="0" w:header="0"/>
        </w:sectPr>
      </w:pPr>
    </w:p>
    <w:bookmarkStart w:id="175" w:name="page176"/>
    <w:bookmarkEnd w:id="175"/>
    <w:p>
      <w:pPr>
        <w:ind w:right="240" w:firstLine="1533"/>
        <w:spacing w:after="0" w:line="244" w:lineRule="auto"/>
        <w:tabs>
          <w:tab w:leader="none" w:pos="1886"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Post-Termination Elections</w:t>
      </w:r>
      <w:r>
        <w:rPr>
          <w:rFonts w:ascii="Times New Roman" w:cs="Times New Roman" w:eastAsia="Times New Roman" w:hAnsi="Times New Roman"/>
          <w:sz w:val="16"/>
          <w:szCs w:val="16"/>
          <w:color w:val="auto"/>
        </w:rPr>
        <w:t>. To the extent credited to the Income Fund, the RSU Accounts of Non-Employee Directors and Section 16 Officers whose Subsequent Deferral Elections are made after their termination of service shall be credited to an Other Investment Fund. The Administrator may designate the specific Other Investment Fund or Funds to which the RSU Account of any individual who has terminated service to the Company shall be invested.</w:t>
      </w:r>
    </w:p>
    <w:p>
      <w:pPr>
        <w:spacing w:after="0" w:line="117" w:lineRule="exact"/>
        <w:rPr>
          <w:rFonts w:ascii="Times New Roman" w:cs="Times New Roman" w:eastAsia="Times New Roman" w:hAnsi="Times New Roman"/>
          <w:sz w:val="16"/>
          <w:szCs w:val="16"/>
          <w:color w:val="auto"/>
        </w:rPr>
      </w:pPr>
    </w:p>
    <w:p>
      <w:pPr>
        <w:ind w:left="1900" w:hanging="367"/>
        <w:spacing w:after="0"/>
        <w:tabs>
          <w:tab w:leader="none" w:pos="190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High Balance Participants</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right="40" w:firstLine="2042"/>
        <w:spacing w:after="0" w:line="228" w:lineRule="auto"/>
        <w:tabs>
          <w:tab w:leader="none" w:pos="2367" w:val="left"/>
        </w:tabs>
        <w:numPr>
          <w:ilvl w:val="2"/>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Income Fund of a Participant other than a Non-Employee Director or Covered Participant exceeds the Income Fund Limit as of the last day of a Plan Year, the excess of (x) the amount credited to the Participant’s Income Fund </w:t>
      </w:r>
      <w:r>
        <w:rPr>
          <w:rFonts w:ascii="Times New Roman" w:cs="Times New Roman" w:eastAsia="Times New Roman" w:hAnsi="Times New Roman"/>
          <w:sz w:val="17"/>
          <w:szCs w:val="17"/>
          <w:i w:val="1"/>
          <w:iCs w:val="1"/>
          <w:color w:val="auto"/>
        </w:rPr>
        <w:t>over</w:t>
      </w:r>
      <w:r>
        <w:rPr>
          <w:rFonts w:ascii="Times New Roman" w:cs="Times New Roman" w:eastAsia="Times New Roman" w:hAnsi="Times New Roman"/>
          <w:sz w:val="17"/>
          <w:szCs w:val="17"/>
          <w:color w:val="auto"/>
        </w:rPr>
        <w:t xml:space="preserve"> (y) the Income Fund Limit shall be deemed transferred to an Other Investment Fund as of such last day of such Plan Year.</w:t>
      </w:r>
    </w:p>
    <w:p>
      <w:pPr>
        <w:spacing w:after="0" w:line="121" w:lineRule="exact"/>
        <w:rPr>
          <w:rFonts w:ascii="Times New Roman" w:cs="Times New Roman" w:eastAsia="Times New Roman" w:hAnsi="Times New Roman"/>
          <w:sz w:val="17"/>
          <w:szCs w:val="17"/>
          <w:color w:val="auto"/>
        </w:rPr>
      </w:pPr>
    </w:p>
    <w:p>
      <w:pPr>
        <w:ind w:right="100" w:firstLine="2042"/>
        <w:spacing w:after="0" w:line="223" w:lineRule="auto"/>
        <w:tabs>
          <w:tab w:leader="none" w:pos="2414" w:val="left"/>
        </w:tabs>
        <w:numPr>
          <w:ilvl w:val="2"/>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amounts credited to a Non-Employee Director’s RSU Account shall be deemed invested in an Other Investment Fund. The amount credited to the Income Fund with respect to an individual who becomes a Non-Employee Director shall be transferred to an Other Investment Fund as of the first day of the month next following the date such individual becomes a Non-Employee Director, and all amounts credited to the Non-Employee Director’s RSU Account on and after such date shall be deemed invested in an Other Investment Fund.</w:t>
      </w:r>
    </w:p>
    <w:p>
      <w:pPr>
        <w:spacing w:after="0" w:line="122" w:lineRule="exact"/>
        <w:rPr>
          <w:rFonts w:ascii="Times New Roman" w:cs="Times New Roman" w:eastAsia="Times New Roman" w:hAnsi="Times New Roman"/>
          <w:sz w:val="17"/>
          <w:szCs w:val="17"/>
          <w:color w:val="auto"/>
        </w:rPr>
      </w:pPr>
    </w:p>
    <w:p>
      <w:pPr>
        <w:ind w:right="80" w:firstLine="2042"/>
        <w:spacing w:after="0" w:line="223" w:lineRule="auto"/>
        <w:tabs>
          <w:tab w:leader="none" w:pos="2452" w:val="left"/>
        </w:tabs>
        <w:numPr>
          <w:ilvl w:val="2"/>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amounts credited to the Covered Participant’s RSU Account shall be deemed invested in an Other Investment Fund. The amount credited to the Income Fund with respect to an individual who becomes a Covered Participant shall be transferred to an Other Investment Fund as of the first day of the month next following the date such individual becomes a Covered Participant, and all amounts credited to the Covered Participant’s RSU Account on and after such date shall be deemed invested in an Other Investment Fund.</w:t>
      </w:r>
    </w:p>
    <w:p>
      <w:pPr>
        <w:spacing w:after="0" w:line="122" w:lineRule="exact"/>
        <w:rPr>
          <w:rFonts w:ascii="Times New Roman" w:cs="Times New Roman" w:eastAsia="Times New Roman" w:hAnsi="Times New Roman"/>
          <w:sz w:val="17"/>
          <w:szCs w:val="17"/>
          <w:color w:val="auto"/>
        </w:rPr>
      </w:pPr>
    </w:p>
    <w:p>
      <w:pPr>
        <w:ind w:right="20" w:firstLine="1533"/>
        <w:spacing w:after="0" w:line="233" w:lineRule="auto"/>
        <w:tabs>
          <w:tab w:leader="none" w:pos="1886"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16 Officers</w:t>
      </w:r>
      <w:r>
        <w:rPr>
          <w:rFonts w:ascii="Times New Roman" w:cs="Times New Roman" w:eastAsia="Times New Roman" w:hAnsi="Times New Roman"/>
          <w:sz w:val="16"/>
          <w:szCs w:val="16"/>
          <w:color w:val="auto"/>
        </w:rPr>
        <w:t>. Pursuant to rules established by the Administrator, a Section 16 Officer may elect to (x) transfer amounts credited to their RSU Accounts that were previously subject to a Diversification Election and that are deemed to be invested in the Income Fund to an Other Investment Fund, or</w:t>
      </w:r>
    </w:p>
    <w:p>
      <w:pPr>
        <w:ind w:right="500" w:firstLine="5"/>
        <w:spacing w:after="0" w:line="221" w:lineRule="auto"/>
        <w:tabs>
          <w:tab w:leader="none" w:pos="2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amounts credited to their RSU Accounts that were previously subject to a Diversification Election and that are deemed to be invested in an Other Investment Fund to the Income Fund to the extent that immediately after such transfer, the amount credited to such Section 16 Officer’s Income Fund does not exceed the Income Fund Limit.</w:t>
      </w:r>
    </w:p>
    <w:p>
      <w:pPr>
        <w:spacing w:after="0" w:line="121" w:lineRule="exact"/>
        <w:rPr>
          <w:rFonts w:ascii="Times New Roman" w:cs="Times New Roman" w:eastAsia="Times New Roman" w:hAnsi="Times New Roman"/>
          <w:sz w:val="17"/>
          <w:szCs w:val="17"/>
          <w:color w:val="auto"/>
        </w:rPr>
      </w:pPr>
    </w:p>
    <w:p>
      <w:pPr>
        <w:ind w:right="260" w:firstLine="1533"/>
        <w:spacing w:after="0" w:line="238" w:lineRule="auto"/>
        <w:tabs>
          <w:tab w:leader="none" w:pos="1896"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Deferral Elections</w:t>
      </w:r>
      <w:r>
        <w:rPr>
          <w:rFonts w:ascii="Times New Roman" w:cs="Times New Roman" w:eastAsia="Times New Roman" w:hAnsi="Times New Roman"/>
          <w:sz w:val="17"/>
          <w:szCs w:val="17"/>
          <w:color w:val="auto"/>
        </w:rPr>
        <w:t>. Amounts subject to a Subsequent Deferral Election that takes effect while a Participant’s Income Fund exceeds the Income Fund Limit shall be deemed invested in an Other Investment Fund.</w:t>
      </w:r>
    </w:p>
    <w:p>
      <w:pPr>
        <w:spacing w:after="0" w:line="122" w:lineRule="exact"/>
        <w:rPr>
          <w:sz w:val="20"/>
          <w:szCs w:val="20"/>
          <w:color w:val="auto"/>
        </w:rPr>
      </w:pPr>
    </w:p>
    <w:p>
      <w:pPr>
        <w:ind w:firstLine="1528"/>
        <w:spacing w:after="0" w:line="218" w:lineRule="auto"/>
        <w:rPr>
          <w:sz w:val="20"/>
          <w:szCs w:val="20"/>
          <w:color w:val="auto"/>
        </w:rPr>
      </w:pPr>
      <w:r>
        <w:rPr>
          <w:rFonts w:ascii="Times New Roman" w:cs="Times New Roman" w:eastAsia="Times New Roman" w:hAnsi="Times New Roman"/>
          <w:sz w:val="17"/>
          <w:szCs w:val="17"/>
          <w:color w:val="auto"/>
        </w:rPr>
        <w:t xml:space="preserve">3.14.3. </w:t>
      </w:r>
      <w:r>
        <w:rPr>
          <w:rFonts w:ascii="Times New Roman" w:cs="Times New Roman" w:eastAsia="Times New Roman" w:hAnsi="Times New Roman"/>
          <w:sz w:val="17"/>
          <w:szCs w:val="17"/>
          <w:u w:val="single" w:color="auto"/>
          <w:color w:val="auto"/>
        </w:rPr>
        <w:t>Protocol for Deemed Transfers between Income Fund and an Other Investment Fund</w:t>
      </w:r>
      <w:r>
        <w:rPr>
          <w:rFonts w:ascii="Times New Roman" w:cs="Times New Roman" w:eastAsia="Times New Roman" w:hAnsi="Times New Roman"/>
          <w:sz w:val="17"/>
          <w:szCs w:val="17"/>
          <w:color w:val="auto"/>
        </w:rPr>
        <w:t>. As provided in this Article 3, the timing of distributions of amounts credited to a Participant’s RSU Account is established pursuant to Initial Deferral Elections, Regular Deferral Elections, and Subsequent Deferral Elections, and a Participant may elect various distribution dates for amounts subject to Initial Deferral Elections, Regular Deferral Elections, and Subsequent Deferral Elections. Amounts deemed transferred from the Income Fund to Other Investment Funds as a result of the application of the Income Fund Limit or pursuant to elective transfers described in Section 3.14.2(c), and amounts deemed transferred from an Other Investment Fund to the Income Fund pursuant to elective transfers described in Section 3.14.2(c) shall be sourced and allocated on a uniform and consistent basis as determined by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80"/>
          </w:cols>
          <w:pgMar w:left="300" w:top="1127" w:right="319" w:bottom="1440" w:gutter="0" w:footer="0" w:header="0"/>
        </w:sectPr>
      </w:pPr>
    </w:p>
    <w:bookmarkStart w:id="176" w:name="page177"/>
    <w:bookmarkEnd w:id="176"/>
    <w:p>
      <w:pPr>
        <w:ind w:right="80"/>
        <w:spacing w:after="0" w:line="238" w:lineRule="auto"/>
        <w:rPr>
          <w:sz w:val="20"/>
          <w:szCs w:val="20"/>
          <w:color w:val="auto"/>
        </w:rPr>
      </w:pPr>
      <w:r>
        <w:rPr>
          <w:rFonts w:ascii="Times New Roman" w:cs="Times New Roman" w:eastAsia="Times New Roman" w:hAnsi="Times New Roman"/>
          <w:sz w:val="17"/>
          <w:szCs w:val="17"/>
          <w:color w:val="auto"/>
        </w:rPr>
        <w:t>Administrator,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w:t>
      </w:r>
    </w:p>
    <w:p>
      <w:pPr>
        <w:spacing w:after="0" w:line="122" w:lineRule="exact"/>
        <w:rPr>
          <w:sz w:val="20"/>
          <w:szCs w:val="20"/>
          <w:color w:val="auto"/>
        </w:rPr>
      </w:pPr>
    </w:p>
    <w:p>
      <w:pPr>
        <w:ind w:right="500" w:firstLine="1019"/>
        <w:spacing w:after="0" w:line="238" w:lineRule="auto"/>
        <w:rPr>
          <w:sz w:val="20"/>
          <w:szCs w:val="20"/>
          <w:color w:val="auto"/>
        </w:rPr>
      </w:pPr>
      <w:r>
        <w:rPr>
          <w:rFonts w:ascii="Times New Roman" w:cs="Times New Roman" w:eastAsia="Times New Roman" w:hAnsi="Times New Roman"/>
          <w:sz w:val="17"/>
          <w:szCs w:val="17"/>
          <w:color w:val="auto"/>
        </w:rPr>
        <w:t xml:space="preserve">3.15. </w:t>
      </w:r>
      <w:r>
        <w:rPr>
          <w:rFonts w:ascii="Times New Roman" w:cs="Times New Roman" w:eastAsia="Times New Roman" w:hAnsi="Times New Roman"/>
          <w:sz w:val="17"/>
          <w:szCs w:val="17"/>
          <w:u w:val="single" w:color="auto"/>
          <w:color w:val="auto"/>
        </w:rPr>
        <w:t>Diversification Elections</w:t>
      </w:r>
      <w:r>
        <w:rPr>
          <w:rFonts w:ascii="Times New Roman" w:cs="Times New Roman" w:eastAsia="Times New Roman" w:hAnsi="Times New Roman"/>
          <w:sz w:val="17"/>
          <w:szCs w:val="17"/>
          <w:color w:val="auto"/>
        </w:rPr>
        <w:t>. This Section 3.18 shall not apply to (x) elective transfers described in Section 3.14.2(c) of amounts that were previously subject to a Diversification Election or (y) the Account of any Non-Employee Director.</w:t>
      </w:r>
    </w:p>
    <w:p>
      <w:pPr>
        <w:spacing w:after="0" w:line="122" w:lineRule="exact"/>
        <w:rPr>
          <w:sz w:val="20"/>
          <w:szCs w:val="20"/>
          <w:color w:val="auto"/>
        </w:rPr>
      </w:pPr>
    </w:p>
    <w:p>
      <w:pPr>
        <w:ind w:right="220" w:firstLine="1528"/>
        <w:spacing w:after="0" w:line="238" w:lineRule="auto"/>
        <w:rPr>
          <w:sz w:val="20"/>
          <w:szCs w:val="20"/>
          <w:color w:val="auto"/>
        </w:rPr>
      </w:pPr>
      <w:r>
        <w:rPr>
          <w:rFonts w:ascii="Times New Roman" w:cs="Times New Roman" w:eastAsia="Times New Roman" w:hAnsi="Times New Roman"/>
          <w:sz w:val="17"/>
          <w:szCs w:val="17"/>
          <w:color w:val="auto"/>
        </w:rPr>
        <w:t xml:space="preserve">3.15.1. </w:t>
      </w:r>
      <w:r>
        <w:rPr>
          <w:rFonts w:ascii="Times New Roman" w:cs="Times New Roman" w:eastAsia="Times New Roman" w:hAnsi="Times New Roman"/>
          <w:sz w:val="17"/>
          <w:szCs w:val="17"/>
          <w:u w:val="single" w:color="auto"/>
          <w:color w:val="auto"/>
        </w:rPr>
        <w:t>In General</w:t>
      </w:r>
      <w:r>
        <w:rPr>
          <w:rFonts w:ascii="Times New Roman" w:cs="Times New Roman" w:eastAsia="Times New Roman" w:hAnsi="Times New Roman"/>
          <w:sz w:val="17"/>
          <w:szCs w:val="17"/>
          <w:color w:val="auto"/>
        </w:rPr>
        <w:t>. Except as otherwise provided in Section 3.15.2, and Section 3.15.5, the opportunity to make a Diversification Election shall be available at any time that a Registration Statement filed under the 1933 Act (a “Registration Statement”) is effective with respect to the Plan.</w:t>
      </w:r>
    </w:p>
    <w:p>
      <w:pPr>
        <w:spacing w:after="0" w:line="122" w:lineRule="exact"/>
        <w:rPr>
          <w:sz w:val="20"/>
          <w:szCs w:val="20"/>
          <w:color w:val="auto"/>
        </w:rPr>
      </w:pPr>
    </w:p>
    <w:p>
      <w:pPr>
        <w:ind w:firstLine="1528"/>
        <w:spacing w:after="0" w:line="228" w:lineRule="auto"/>
        <w:rPr>
          <w:sz w:val="20"/>
          <w:szCs w:val="20"/>
          <w:color w:val="auto"/>
        </w:rPr>
      </w:pPr>
      <w:r>
        <w:rPr>
          <w:rFonts w:ascii="Times New Roman" w:cs="Times New Roman" w:eastAsia="Times New Roman" w:hAnsi="Times New Roman"/>
          <w:sz w:val="17"/>
          <w:szCs w:val="17"/>
          <w:color w:val="auto"/>
        </w:rPr>
        <w:t xml:space="preserve">3.15.2. </w:t>
      </w:r>
      <w:r>
        <w:rPr>
          <w:rFonts w:ascii="Times New Roman" w:cs="Times New Roman" w:eastAsia="Times New Roman" w:hAnsi="Times New Roman"/>
          <w:sz w:val="17"/>
          <w:szCs w:val="17"/>
          <w:u w:val="single" w:color="auto"/>
          <w:color w:val="auto"/>
        </w:rPr>
        <w:t>Administrator Approval of Diversification Elections</w:t>
      </w:r>
      <w:r>
        <w:rPr>
          <w:rFonts w:ascii="Times New Roman" w:cs="Times New Roman" w:eastAsia="Times New Roman" w:hAnsi="Times New Roman"/>
          <w:sz w:val="17"/>
          <w:szCs w:val="17"/>
          <w:color w:val="auto"/>
        </w:rPr>
        <w:t>. The opportunity to make a Diversification Election and the extent to which a Diversification Election applies to Deferred Stock Units credited to the Company Stock Fund may be approved or rejected by the Administrator in its sole discretion. A Diversification Election shall only be effective if (and to the extent) approved by the Administrator.</w:t>
      </w:r>
    </w:p>
    <w:p>
      <w:pPr>
        <w:spacing w:after="0" w:line="122" w:lineRule="exact"/>
        <w:rPr>
          <w:sz w:val="20"/>
          <w:szCs w:val="20"/>
          <w:color w:val="auto"/>
        </w:rPr>
      </w:pPr>
    </w:p>
    <w:p>
      <w:pPr>
        <w:ind w:right="40" w:firstLine="1528"/>
        <w:spacing w:after="0" w:line="217" w:lineRule="auto"/>
        <w:rPr>
          <w:sz w:val="20"/>
          <w:szCs w:val="20"/>
          <w:color w:val="auto"/>
        </w:rPr>
      </w:pPr>
      <w:r>
        <w:rPr>
          <w:rFonts w:ascii="Times New Roman" w:cs="Times New Roman" w:eastAsia="Times New Roman" w:hAnsi="Times New Roman"/>
          <w:sz w:val="17"/>
          <w:szCs w:val="17"/>
          <w:color w:val="auto"/>
        </w:rPr>
        <w:t xml:space="preserve">3.15.3. </w:t>
      </w:r>
      <w:r>
        <w:rPr>
          <w:rFonts w:ascii="Times New Roman" w:cs="Times New Roman" w:eastAsia="Times New Roman" w:hAnsi="Times New Roman"/>
          <w:sz w:val="17"/>
          <w:szCs w:val="17"/>
          <w:u w:val="single" w:color="auto"/>
          <w:color w:val="auto"/>
        </w:rPr>
        <w:t>Time and Manner of Making Diversification Elections</w:t>
      </w:r>
      <w:r>
        <w:rPr>
          <w:rFonts w:ascii="Times New Roman" w:cs="Times New Roman" w:eastAsia="Times New Roman" w:hAnsi="Times New Roman"/>
          <w:sz w:val="17"/>
          <w:szCs w:val="17"/>
          <w:color w:val="auto"/>
        </w:rPr>
        <w:t>. Each Participant and, in the case of a Deceased Participant, the Successor-in-Interest, may make a Diversification Election to convert Deferred Stock Units attributable to such Award credited to the Company Stock Fund to the Income Fund. Except as otherwise provided in Section 3.15.2, no deemed transfers shall be permitted from the Income Fund to the Company Stock Fund. Diversification Elections under this Section 3.15.3 shall be prospectively effective on the later of: (A) the date designated by the Participant on a Diversification Election filed with and approved by the Administrator; or (B) the business day next following the lapse of six months from the date Deferred Stock Units subject to the Diversification Election are credited to the Participant’s RSU Account. In no event may a Diversification Election be effective earlier than the business day next following the lapse of six (6) months from the date Deferred Stock Units are credited to the RSU Account following the lapse of restrictions with respect to an Award.</w:t>
      </w:r>
    </w:p>
    <w:p>
      <w:pPr>
        <w:spacing w:after="0" w:line="121" w:lineRule="exact"/>
        <w:rPr>
          <w:sz w:val="20"/>
          <w:szCs w:val="20"/>
          <w:color w:val="auto"/>
        </w:rPr>
      </w:pPr>
    </w:p>
    <w:p>
      <w:pPr>
        <w:ind w:right="60" w:firstLine="1528"/>
        <w:spacing w:after="0" w:line="220" w:lineRule="auto"/>
        <w:rPr>
          <w:sz w:val="20"/>
          <w:szCs w:val="20"/>
          <w:color w:val="auto"/>
        </w:rPr>
      </w:pPr>
      <w:r>
        <w:rPr>
          <w:rFonts w:ascii="Times New Roman" w:cs="Times New Roman" w:eastAsia="Times New Roman" w:hAnsi="Times New Roman"/>
          <w:sz w:val="17"/>
          <w:szCs w:val="17"/>
          <w:color w:val="auto"/>
        </w:rPr>
        <w:t xml:space="preserve">3.15.4. </w:t>
      </w:r>
      <w:r>
        <w:rPr>
          <w:rFonts w:ascii="Times New Roman" w:cs="Times New Roman" w:eastAsia="Times New Roman" w:hAnsi="Times New Roman"/>
          <w:sz w:val="17"/>
          <w:szCs w:val="17"/>
          <w:u w:val="single" w:color="auto"/>
          <w:color w:val="auto"/>
        </w:rPr>
        <w:t>Interfund Transfers and Timing of Credits</w:t>
      </w:r>
      <w:r>
        <w:rPr>
          <w:rFonts w:ascii="Times New Roman" w:cs="Times New Roman" w:eastAsia="Times New Roman" w:hAnsi="Times New Roman"/>
          <w:sz w:val="17"/>
          <w:szCs w:val="17"/>
          <w:color w:val="auto"/>
        </w:rPr>
        <w:t>. RSU Account balances subject to a Diversification Election under this Section 3.15 shall be deemed transferred from the Company Stock Fund to the Income Fund or Other Investment Fund, as applicable, immediately following the effective date of such Diversification Election. The value of amounts deemed invested in the Income Fund or Other Investment Fund immediately following the effective date of a Diversification Election shall be based on hypothetical sales of Shares underlying the liquidated Deferred Stock Units (and, if applicable, hypothetical purchases of shares of Other Investment Funds) at Fair Market Value as of the effective date of a Diversification Election.</w:t>
      </w:r>
    </w:p>
    <w:p>
      <w:pPr>
        <w:spacing w:after="0" w:line="123" w:lineRule="exact"/>
        <w:rPr>
          <w:sz w:val="20"/>
          <w:szCs w:val="20"/>
          <w:color w:val="auto"/>
        </w:rPr>
      </w:pPr>
    </w:p>
    <w:p>
      <w:pPr>
        <w:ind w:right="40" w:firstLine="1528"/>
        <w:spacing w:after="0" w:line="223" w:lineRule="auto"/>
        <w:rPr>
          <w:sz w:val="20"/>
          <w:szCs w:val="20"/>
          <w:color w:val="auto"/>
        </w:rPr>
      </w:pPr>
      <w:r>
        <w:rPr>
          <w:rFonts w:ascii="Times New Roman" w:cs="Times New Roman" w:eastAsia="Times New Roman" w:hAnsi="Times New Roman"/>
          <w:sz w:val="17"/>
          <w:szCs w:val="17"/>
          <w:color w:val="auto"/>
        </w:rPr>
        <w:t xml:space="preserve">3.15.5. </w:t>
      </w:r>
      <w:r>
        <w:rPr>
          <w:rFonts w:ascii="Times New Roman" w:cs="Times New Roman" w:eastAsia="Times New Roman" w:hAnsi="Times New Roman"/>
          <w:sz w:val="17"/>
          <w:szCs w:val="17"/>
          <w:u w:val="single" w:color="auto"/>
          <w:color w:val="auto"/>
        </w:rPr>
        <w:t>Diversification Limit</w:t>
      </w:r>
      <w:r>
        <w:rPr>
          <w:rFonts w:ascii="Times New Roman" w:cs="Times New Roman" w:eastAsia="Times New Roman" w:hAnsi="Times New Roman"/>
          <w:sz w:val="17"/>
          <w:szCs w:val="17"/>
          <w:color w:val="auto"/>
        </w:rPr>
        <w:t>. No Diversification Election during a calendar year by an Eligible Employee shall be effective if the sum of (x) the value of the Eligible Employee’s Account in the Prior Equity Plan, plus (y) the value of the Eligible Employee’s Account in the 2002 Deferred Compensation Plan, plus (z) the value of the Eligible Employee’s Account in this Plan to the extent such Account is credited to the “Income Fund,” exceeds the Contribution Limit with respect to such calendar year, determined as of September 30th immediately preceding such calendar year.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00" w:top="1127" w:right="359" w:bottom="1440" w:gutter="0" w:footer="0" w:header="0"/>
        </w:sectPr>
      </w:pPr>
    </w:p>
    <w:bookmarkStart w:id="177" w:name="page178"/>
    <w:bookmarkEnd w:id="177"/>
    <w:p>
      <w:pPr>
        <w:ind w:left="3940"/>
        <w:spacing w:after="0"/>
        <w:rPr>
          <w:sz w:val="20"/>
          <w:szCs w:val="20"/>
          <w:color w:val="auto"/>
        </w:rPr>
      </w:pPr>
      <w:r>
        <w:rPr>
          <w:rFonts w:ascii="Times New Roman" w:cs="Times New Roman" w:eastAsia="Times New Roman" w:hAnsi="Times New Roman"/>
          <w:sz w:val="17"/>
          <w:szCs w:val="17"/>
          <w:b w:val="1"/>
          <w:bCs w:val="1"/>
          <w:color w:val="auto"/>
        </w:rPr>
        <w:t>ARTICLE 4 – MANNER OF DISTRIBUTION</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Manner of Distribution</w:t>
      </w:r>
      <w:r>
        <w:rPr>
          <w:rFonts w:ascii="Times New Roman" w:cs="Times New Roman" w:eastAsia="Times New Roman" w:hAnsi="Times New Roman"/>
          <w:sz w:val="17"/>
          <w:szCs w:val="17"/>
          <w:color w:val="auto"/>
        </w:rPr>
        <w:t>. Except as otherwise provided in Section 3.9 with respect to RSU Accounts:</w:t>
      </w:r>
    </w:p>
    <w:p>
      <w:pPr>
        <w:spacing w:after="0" w:line="144" w:lineRule="exact"/>
        <w:rPr>
          <w:sz w:val="20"/>
          <w:szCs w:val="20"/>
          <w:color w:val="auto"/>
        </w:rPr>
      </w:pPr>
    </w:p>
    <w:p>
      <w:pPr>
        <w:ind w:left="1880" w:hanging="347"/>
        <w:spacing w:after="0"/>
        <w:tabs>
          <w:tab w:leader="none" w:pos="188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credited to an Account shall be distributed, pursuant to an Initial Deferral Election or Subsequent Deferral Election in either:</w:t>
      </w:r>
    </w:p>
    <w:p>
      <w:pPr>
        <w:spacing w:after="0" w:line="144" w:lineRule="exact"/>
        <w:rPr>
          <w:rFonts w:ascii="Times New Roman" w:cs="Times New Roman" w:eastAsia="Times New Roman" w:hAnsi="Times New Roman"/>
          <w:sz w:val="17"/>
          <w:szCs w:val="17"/>
          <w:color w:val="auto"/>
        </w:rPr>
      </w:pPr>
    </w:p>
    <w:p>
      <w:pPr>
        <w:ind w:left="2380" w:hanging="338"/>
        <w:spacing w:after="0"/>
        <w:tabs>
          <w:tab w:leader="none" w:pos="238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payment; or</w:t>
      </w:r>
    </w:p>
    <w:p>
      <w:pPr>
        <w:spacing w:after="0" w:line="144" w:lineRule="exact"/>
        <w:rPr>
          <w:rFonts w:ascii="Times New Roman" w:cs="Times New Roman" w:eastAsia="Times New Roman" w:hAnsi="Times New Roman"/>
          <w:sz w:val="17"/>
          <w:szCs w:val="17"/>
          <w:color w:val="auto"/>
        </w:rPr>
      </w:pPr>
    </w:p>
    <w:p>
      <w:pPr>
        <w:ind w:left="2420" w:hanging="378"/>
        <w:spacing w:after="0"/>
        <w:tabs>
          <w:tab w:leader="none" w:pos="242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Substantially equal monthly or annual installments over a five (5)- or ten (10)- year period.</w:t>
      </w:r>
    </w:p>
    <w:p>
      <w:pPr>
        <w:spacing w:after="0" w:line="144"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7"/>
          <w:szCs w:val="17"/>
          <w:color w:val="auto"/>
        </w:rPr>
        <w:t>Installment distributions payable in the form of shares of Company Stock shall be rounded to the next lower whole share. Except for amounts described in Section 5.2(c), all distributions shall be made in cash.</w:t>
      </w:r>
    </w:p>
    <w:p>
      <w:pPr>
        <w:spacing w:after="0" w:line="122" w:lineRule="exact"/>
        <w:rPr>
          <w:sz w:val="20"/>
          <w:szCs w:val="20"/>
          <w:color w:val="auto"/>
        </w:rPr>
      </w:pPr>
    </w:p>
    <w:p>
      <w:pPr>
        <w:ind w:right="520" w:firstLine="1533"/>
        <w:spacing w:after="0" w:line="238" w:lineRule="auto"/>
        <w:tabs>
          <w:tab w:leader="none" w:pos="1893"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Section 409A, notwithstanding any Initial Deferral Election, Subsequent Deferral Election or any other provision of the Plan to the contrary:</w:t>
      </w:r>
    </w:p>
    <w:p>
      <w:pPr>
        <w:spacing w:after="0" w:line="121" w:lineRule="exact"/>
        <w:rPr>
          <w:rFonts w:ascii="Times New Roman" w:cs="Times New Roman" w:eastAsia="Times New Roman" w:hAnsi="Times New Roman"/>
          <w:sz w:val="17"/>
          <w:szCs w:val="17"/>
          <w:color w:val="auto"/>
        </w:rPr>
      </w:pPr>
    </w:p>
    <w:p>
      <w:pPr>
        <w:ind w:right="20" w:firstLine="2042"/>
        <w:spacing w:after="0" w:line="228" w:lineRule="auto"/>
        <w:tabs>
          <w:tab w:leader="none" w:pos="2367"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pursuant to Initial Deferral Elections or Subsequent Deferral Elections shall be made in one lump sum payment unless the portion of a Participant’s Account subject to distribution, as of both the date of the Initial Deferral Election or Subsequent Deferral Election and the benefit commencement date, has a value of more than $10,000;</w:t>
      </w:r>
    </w:p>
    <w:p>
      <w:pPr>
        <w:spacing w:after="0" w:line="121" w:lineRule="exact"/>
        <w:rPr>
          <w:rFonts w:ascii="Times New Roman" w:cs="Times New Roman" w:eastAsia="Times New Roman" w:hAnsi="Times New Roman"/>
          <w:sz w:val="17"/>
          <w:szCs w:val="17"/>
          <w:color w:val="auto"/>
        </w:rPr>
      </w:pPr>
    </w:p>
    <w:p>
      <w:pPr>
        <w:ind w:right="40" w:firstLine="2042"/>
        <w:spacing w:after="0" w:line="223" w:lineRule="auto"/>
        <w:tabs>
          <w:tab w:leader="none" w:pos="2414"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a Participant’s termination of employment for any reason, if the amount credited to the Participant’s Account has a value of $10,000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22" w:lineRule="exact"/>
        <w:rPr>
          <w:sz w:val="20"/>
          <w:szCs w:val="20"/>
          <w:color w:val="auto"/>
        </w:rPr>
      </w:pPr>
    </w:p>
    <w:p>
      <w:pPr>
        <w:ind w:firstLine="1019"/>
        <w:spacing w:after="0" w:line="218"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Determination of Account Balances for Purposes of Distribution</w:t>
      </w:r>
      <w:r>
        <w:rPr>
          <w:rFonts w:ascii="Times New Roman" w:cs="Times New Roman" w:eastAsia="Times New Roman" w:hAnsi="Times New Roman"/>
          <w:sz w:val="17"/>
          <w:szCs w:val="17"/>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Other Investment Fund and Income Fund, as applicable, through the date immediately preceding the date on which the distribution request is transmitted from the recordkeeper.</w:t>
      </w:r>
    </w:p>
    <w:p>
      <w:pPr>
        <w:spacing w:after="0" w:line="123" w:lineRule="exact"/>
        <w:rPr>
          <w:sz w:val="20"/>
          <w:szCs w:val="20"/>
          <w:color w:val="auto"/>
        </w:rPr>
      </w:pPr>
    </w:p>
    <w:p>
      <w:pPr>
        <w:ind w:right="80" w:firstLine="1019"/>
        <w:spacing w:after="0" w:line="228"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Plan-to-Plan Transfers; Change in Time and Form of Election Pursuant to Special Section 409A Transition Rules</w:t>
      </w:r>
      <w:r>
        <w:rPr>
          <w:rFonts w:ascii="Times New Roman" w:cs="Times New Roman" w:eastAsia="Times New Roman" w:hAnsi="Times New Roman"/>
          <w:sz w:val="17"/>
          <w:szCs w:val="17"/>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22" w:lineRule="exact"/>
        <w:rPr>
          <w:sz w:val="20"/>
          <w:szCs w:val="20"/>
          <w:color w:val="auto"/>
        </w:rPr>
      </w:pPr>
    </w:p>
    <w:p>
      <w:pPr>
        <w:ind w:right="380" w:firstLine="1533"/>
        <w:spacing w:after="0" w:line="228" w:lineRule="auto"/>
        <w:tabs>
          <w:tab w:leader="none" w:pos="1883"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60"/>
          </w:cols>
          <w:pgMar w:left="300" w:top="1123" w:right="339" w:bottom="1440" w:gutter="0" w:footer="0" w:header="0"/>
        </w:sectPr>
      </w:pPr>
    </w:p>
    <w:bookmarkStart w:id="178" w:name="page179"/>
    <w:bookmarkEnd w:id="178"/>
    <w:p>
      <w:pPr>
        <w:ind w:right="420"/>
        <w:spacing w:after="0" w:line="238" w:lineRule="auto"/>
        <w:rPr>
          <w:sz w:val="20"/>
          <w:szCs w:val="20"/>
          <w:color w:val="auto"/>
        </w:rPr>
      </w:pPr>
      <w:r>
        <w:rPr>
          <w:rFonts w:ascii="Times New Roman" w:cs="Times New Roman" w:eastAsia="Times New Roman" w:hAnsi="Times New Roman"/>
          <w:sz w:val="17"/>
          <w:szCs w:val="17"/>
          <w:color w:val="auto"/>
        </w:rPr>
        <w:t>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22" w:lineRule="exact"/>
        <w:rPr>
          <w:sz w:val="20"/>
          <w:szCs w:val="20"/>
          <w:color w:val="auto"/>
        </w:rPr>
      </w:pPr>
    </w:p>
    <w:p>
      <w:pPr>
        <w:ind w:right="80" w:firstLine="1533"/>
        <w:spacing w:after="0" w:line="220" w:lineRule="auto"/>
        <w:tabs>
          <w:tab w:leader="none" w:pos="1893"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23" w:lineRule="exact"/>
        <w:rPr>
          <w:sz w:val="20"/>
          <w:szCs w:val="20"/>
          <w:color w:val="auto"/>
        </w:rPr>
      </w:pPr>
    </w:p>
    <w:p>
      <w:pPr>
        <w:ind w:firstLine="1019"/>
        <w:spacing w:after="0" w:line="220"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Required Suspension of Payment of Benefits</w:t>
      </w:r>
      <w:r>
        <w:rPr>
          <w:rFonts w:ascii="Times New Roman" w:cs="Times New Roman" w:eastAsia="Times New Roman" w:hAnsi="Times New Roman"/>
          <w:sz w:val="17"/>
          <w:szCs w:val="17"/>
          <w:color w:val="auto"/>
        </w:rPr>
        <w:t>. Notwithstanding any provision of the Plan or any Participant’s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23" w:lineRule="exact"/>
        <w:rPr>
          <w:sz w:val="20"/>
          <w:szCs w:val="20"/>
          <w:color w:val="auto"/>
        </w:rPr>
      </w:pPr>
    </w:p>
    <w:p>
      <w:pPr>
        <w:ind w:right="60" w:firstLine="1019"/>
        <w:spacing w:after="0" w:line="223"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Most Recently Filed Initial Deferral Election or Subsequent Deferral Election Controlling</w:t>
      </w:r>
      <w:r>
        <w:rPr>
          <w:rFonts w:ascii="Times New Roman" w:cs="Times New Roman" w:eastAsia="Times New Roman" w:hAnsi="Times New Roman"/>
          <w:sz w:val="17"/>
          <w:szCs w:val="17"/>
          <w:color w:val="auto"/>
        </w:rPr>
        <w:t>. Except as otherwise specifically provided by the Plan, no distribution of the amounts deferred by a Participant shall be made before the earlier of the Participant’s, Surviving Spouse’s, or Other Beneficiary’s death or the payment date designated by the Participant or Beneficiary on the most recently filed Initial Deferral Election or Subsequent Deferral Election with respect to each deferred amount.</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 xml:space="preserve">ARTICLE 5 </w:t>
      </w:r>
      <w:r>
        <w:rPr>
          <w:rFonts w:ascii="Times New Roman" w:cs="Times New Roman" w:eastAsia="Times New Roman" w:hAnsi="Times New Roman"/>
          <w:sz w:val="17"/>
          <w:szCs w:val="17"/>
          <w:color w:val="auto"/>
        </w:rPr>
        <w:t>– BOOK ACCOUNTS</w:t>
      </w:r>
    </w:p>
    <w:p>
      <w:pPr>
        <w:spacing w:after="0" w:line="148" w:lineRule="exact"/>
        <w:rPr>
          <w:sz w:val="20"/>
          <w:szCs w:val="20"/>
          <w:color w:val="auto"/>
        </w:rPr>
      </w:pPr>
    </w:p>
    <w:p>
      <w:pPr>
        <w:ind w:right="20" w:firstLine="1019"/>
        <w:spacing w:after="0" w:line="223"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Deferred Compensation Account</w:t>
      </w:r>
      <w:r>
        <w:rPr>
          <w:rFonts w:ascii="Times New Roman" w:cs="Times New Roman" w:eastAsia="Times New Roman" w:hAnsi="Times New Roman"/>
          <w:sz w:val="17"/>
          <w:szCs w:val="17"/>
          <w:color w:val="auto"/>
        </w:rPr>
        <w:t>. A Deferred Compensation Account shall be established for each Non-Employee Director, Director Emeritus and Eligible Employee when such Non-Employee Director, Director Emeritus or Eligible Employee becomes a Participant. Compensation deferred pursuant to the Plan shall be credited to the Account on the date such Compensation would otherwise have been payable to the Participant. An RSU Account shall be established for each Participant who elects to defer the receipt of Shares issuable pursuant to an Award.</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Crediting of Income, Gains, and Losses on Accounts</w:t>
      </w:r>
      <w:r>
        <w:rPr>
          <w:rFonts w:ascii="Times New Roman" w:cs="Times New Roman" w:eastAsia="Times New Roman" w:hAnsi="Times New Roman"/>
          <w:sz w:val="17"/>
          <w:szCs w:val="17"/>
          <w:color w:val="auto"/>
        </w:rPr>
        <w:t>. This Section 5.2 shall not apply to RSU Accounts that are subject to Section 3.14.</w:t>
      </w:r>
    </w:p>
    <w:p>
      <w:pPr>
        <w:spacing w:after="0" w:line="144" w:lineRule="exact"/>
        <w:rPr>
          <w:sz w:val="20"/>
          <w:szCs w:val="20"/>
          <w:color w:val="auto"/>
        </w:rPr>
      </w:pPr>
    </w:p>
    <w:p>
      <w:pPr>
        <w:ind w:left="1900" w:hanging="367"/>
        <w:spacing w:after="0"/>
        <w:tabs>
          <w:tab w:leader="none" w:pos="190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 General</w:t>
      </w:r>
      <w:r>
        <w:rPr>
          <w:rFonts w:ascii="Times New Roman" w:cs="Times New Roman" w:eastAsia="Times New Roman" w:hAnsi="Times New Roman"/>
          <w:sz w:val="17"/>
          <w:szCs w:val="17"/>
          <w:color w:val="auto"/>
        </w:rPr>
        <w:t>. Except for amounts credited to the Accounts of Participants who are:</w:t>
      </w:r>
    </w:p>
    <w:p>
      <w:pPr>
        <w:spacing w:after="0" w:line="144" w:lineRule="exact"/>
        <w:rPr>
          <w:rFonts w:ascii="Times New Roman" w:cs="Times New Roman" w:eastAsia="Times New Roman" w:hAnsi="Times New Roman"/>
          <w:sz w:val="17"/>
          <w:szCs w:val="17"/>
          <w:color w:val="auto"/>
        </w:rPr>
      </w:pPr>
    </w:p>
    <w:p>
      <w:pPr>
        <w:ind w:left="2380" w:hanging="338"/>
        <w:spacing w:after="0"/>
        <w:tabs>
          <w:tab w:leader="none" w:pos="238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Non-Employee Directors who have elected to defer the receipt of Compensation payable in the form of Company Stock,</w:t>
      </w:r>
    </w:p>
    <w:p>
      <w:pPr>
        <w:spacing w:after="0" w:line="144" w:lineRule="exact"/>
        <w:rPr>
          <w:rFonts w:ascii="Times New Roman" w:cs="Times New Roman" w:eastAsia="Times New Roman" w:hAnsi="Times New Roman"/>
          <w:sz w:val="17"/>
          <w:szCs w:val="17"/>
          <w:color w:val="auto"/>
        </w:rPr>
      </w:pPr>
    </w:p>
    <w:p>
      <w:pPr>
        <w:ind w:left="2420" w:hanging="378"/>
        <w:spacing w:after="0"/>
        <w:tabs>
          <w:tab w:leader="none" w:pos="242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Non-Employee Directors whose Account has been credited to an Other Investment Fund pursuant to Section 5.2(b)(1)(B)(3);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00" w:top="1127" w:right="359" w:bottom="1440" w:gutter="0" w:footer="0" w:header="0"/>
        </w:sectPr>
      </w:pPr>
    </w:p>
    <w:bookmarkStart w:id="179" w:name="page180"/>
    <w:bookmarkEnd w:id="179"/>
    <w:p>
      <w:pPr>
        <w:ind w:left="2460" w:hanging="418"/>
        <w:spacing w:after="0"/>
        <w:tabs>
          <w:tab w:leader="none" w:pos="24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Covered Participants whose Account has been credited to an Other Investment Fund pursuant to Section 5.2(b)(1)(B)(4);</w:t>
      </w:r>
    </w:p>
    <w:p>
      <w:pPr>
        <w:spacing w:after="0" w:line="144" w:lineRule="exact"/>
        <w:rPr>
          <w:rFonts w:ascii="Times New Roman" w:cs="Times New Roman" w:eastAsia="Times New Roman" w:hAnsi="Times New Roman"/>
          <w:sz w:val="17"/>
          <w:szCs w:val="17"/>
          <w:color w:val="auto"/>
        </w:rPr>
      </w:pPr>
    </w:p>
    <w:p>
      <w:pPr>
        <w:ind w:left="2460" w:hanging="418"/>
        <w:spacing w:after="0"/>
        <w:tabs>
          <w:tab w:leader="none" w:pos="24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Participants subject to the Income Fund Limit; and</w:t>
      </w:r>
    </w:p>
    <w:p>
      <w:pPr>
        <w:spacing w:after="0" w:line="144" w:lineRule="exact"/>
        <w:rPr>
          <w:rFonts w:ascii="Times New Roman" w:cs="Times New Roman" w:eastAsia="Times New Roman" w:hAnsi="Times New Roman"/>
          <w:sz w:val="17"/>
          <w:szCs w:val="17"/>
          <w:color w:val="auto"/>
        </w:rPr>
      </w:pPr>
    </w:p>
    <w:p>
      <w:pPr>
        <w:ind w:right="360" w:firstLine="2042"/>
        <w:spacing w:after="0" w:line="238" w:lineRule="auto"/>
        <w:tabs>
          <w:tab w:leader="none" w:pos="240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16 Officers who, pursuant to rules established by the Administrator, have elected to transfer amounts credited to their Accounts that are deemed to be invested in the Income Fund to an Other Investment Fund; and</w:t>
      </w:r>
    </w:p>
    <w:p>
      <w:pPr>
        <w:spacing w:after="0" w:line="121" w:lineRule="exact"/>
        <w:rPr>
          <w:rFonts w:ascii="Times New Roman" w:cs="Times New Roman" w:eastAsia="Times New Roman" w:hAnsi="Times New Roman"/>
          <w:sz w:val="17"/>
          <w:szCs w:val="17"/>
          <w:color w:val="auto"/>
        </w:rPr>
      </w:pPr>
    </w:p>
    <w:p>
      <w:pPr>
        <w:ind w:right="80" w:firstLine="2042"/>
        <w:spacing w:after="0" w:line="238" w:lineRule="auto"/>
        <w:tabs>
          <w:tab w:leader="none" w:pos="2452"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Non-Employee Directors and Section 16 Officers, with respect to amounts subject to Subsequent Deferral Elections permitted to be made after their termination of service;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amounts credited to Participants’ Accounts shall be credited with income, gains and losses as if they were invested in the Income Fund.</w:t>
      </w:r>
    </w:p>
    <w:p>
      <w:pPr>
        <w:spacing w:after="0" w:line="144" w:lineRule="exact"/>
        <w:rPr>
          <w:sz w:val="20"/>
          <w:szCs w:val="20"/>
          <w:color w:val="auto"/>
        </w:rPr>
      </w:pPr>
    </w:p>
    <w:p>
      <w:pPr>
        <w:ind w:left="2120" w:hanging="587"/>
        <w:spacing w:after="0"/>
        <w:tabs>
          <w:tab w:leader="none" w:pos="212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Crediting of Income, Gains, and Losses on Accounts Subject to Investment Restrictions</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left="2380" w:hanging="338"/>
        <w:spacing w:after="0"/>
        <w:tabs>
          <w:tab w:leader="none" w:pos="23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Credits to Other Investment Funds</w:t>
      </w:r>
      <w:r>
        <w:rPr>
          <w:rFonts w:ascii="Times New Roman" w:cs="Times New Roman" w:eastAsia="Times New Roman" w:hAnsi="Times New Roman"/>
          <w:sz w:val="17"/>
          <w:szCs w:val="17"/>
          <w:color w:val="auto"/>
        </w:rPr>
        <w:t>.</w:t>
      </w:r>
    </w:p>
    <w:p>
      <w:pPr>
        <w:spacing w:after="0" w:line="136" w:lineRule="exact"/>
        <w:rPr>
          <w:rFonts w:ascii="Times New Roman" w:cs="Times New Roman" w:eastAsia="Times New Roman" w:hAnsi="Times New Roman"/>
          <w:sz w:val="17"/>
          <w:szCs w:val="17"/>
          <w:color w:val="auto"/>
        </w:rPr>
      </w:pPr>
    </w:p>
    <w:p>
      <w:pPr>
        <w:ind w:left="3460" w:hanging="399"/>
        <w:spacing w:after="0"/>
        <w:tabs>
          <w:tab w:leader="none" w:pos="3460" w:val="left"/>
        </w:tabs>
        <w:numPr>
          <w:ilvl w:val="2"/>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Post-Termination Elections</w:t>
      </w:r>
      <w:r>
        <w:rPr>
          <w:rFonts w:ascii="Times New Roman" w:cs="Times New Roman" w:eastAsia="Times New Roman" w:hAnsi="Times New Roman"/>
          <w:sz w:val="17"/>
          <w:szCs w:val="17"/>
          <w:color w:val="auto"/>
        </w:rPr>
        <w:t>. The Accounts of Non-Employee Directors and Section 16 Officers whose Subsequent</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Deferral Elections are made after their termination of service in accordance with Section 3.5(a) shall be credited to an Other Investment Fund.</w:t>
      </w:r>
    </w:p>
    <w:p>
      <w:pPr>
        <w:spacing w:after="0" w:line="126" w:lineRule="exact"/>
        <w:rPr>
          <w:rFonts w:ascii="Times New Roman" w:cs="Times New Roman" w:eastAsia="Times New Roman" w:hAnsi="Times New Roman"/>
          <w:sz w:val="17"/>
          <w:szCs w:val="17"/>
          <w:color w:val="auto"/>
        </w:rPr>
      </w:pPr>
    </w:p>
    <w:p>
      <w:pPr>
        <w:ind w:left="3460" w:hanging="399"/>
        <w:spacing w:after="0"/>
        <w:tabs>
          <w:tab w:leader="none" w:pos="3460" w:val="left"/>
        </w:tabs>
        <w:numPr>
          <w:ilvl w:val="2"/>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Participants Whose Income Fund Exceeds the Income Fund Limit</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left="3940" w:hanging="370"/>
        <w:spacing w:after="0"/>
        <w:tabs>
          <w:tab w:leader="none" w:pos="3940" w:val="left"/>
        </w:tabs>
        <w:numPr>
          <w:ilvl w:val="3"/>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Subsequent Deferral Election</w:t>
      </w:r>
      <w:r>
        <w:rPr>
          <w:rFonts w:ascii="Times New Roman" w:cs="Times New Roman" w:eastAsia="Times New Roman" w:hAnsi="Times New Roman"/>
          <w:sz w:val="16"/>
          <w:szCs w:val="16"/>
          <w:color w:val="auto"/>
        </w:rPr>
        <w:t>. Amounts subject to a Subsequent Deferral Election that takes effect when the</w:t>
      </w:r>
    </w:p>
    <w:p>
      <w:pPr>
        <w:spacing w:after="0" w:line="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amount credited to the Income Fund with respect to a Participant exceeds $100 million shall be deemed invested in an Other Investment Fund.</w:t>
      </w:r>
    </w:p>
    <w:p>
      <w:pPr>
        <w:spacing w:after="0" w:line="126" w:lineRule="exact"/>
        <w:rPr>
          <w:rFonts w:ascii="Times New Roman" w:cs="Times New Roman" w:eastAsia="Times New Roman" w:hAnsi="Times New Roman"/>
          <w:sz w:val="16"/>
          <w:szCs w:val="16"/>
          <w:color w:val="auto"/>
        </w:rPr>
      </w:pPr>
    </w:p>
    <w:p>
      <w:pPr>
        <w:ind w:right="20" w:firstLine="3570"/>
        <w:spacing w:after="0" w:line="223" w:lineRule="auto"/>
        <w:tabs>
          <w:tab w:leader="none" w:pos="3933" w:val="left"/>
        </w:tabs>
        <w:numPr>
          <w:ilvl w:val="3"/>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Year-End Adjustments</w:t>
      </w:r>
      <w:r>
        <w:rPr>
          <w:rFonts w:ascii="Times New Roman" w:cs="Times New Roman" w:eastAsia="Times New Roman" w:hAnsi="Times New Roman"/>
          <w:sz w:val="17"/>
          <w:szCs w:val="17"/>
          <w:color w:val="auto"/>
        </w:rPr>
        <w:t>. Except with respect to Participants who are subject to Section 5.2(b)(i)(B)(3) or Section 5.2(b)(i)(B)(4), if the amount credited to the Income Fund with respect to a Participant exceeds $100 million as of the last day of a Plan Year, the lesser of (x) the amount credited to the Income Fund with respect to such Participant for such Plan Year or (y) the excess of (I) the amount credited to the Income Fund with respect to such Participant as of the last day of such Plan Year over (II) $100 million shall be transferred to an Other Investment Fund as of such last day.</w:t>
      </w:r>
    </w:p>
    <w:p>
      <w:pPr>
        <w:spacing w:after="0" w:line="114" w:lineRule="exact"/>
        <w:rPr>
          <w:rFonts w:ascii="Times New Roman" w:cs="Times New Roman" w:eastAsia="Times New Roman" w:hAnsi="Times New Roman"/>
          <w:sz w:val="17"/>
          <w:szCs w:val="17"/>
          <w:color w:val="auto"/>
        </w:rPr>
      </w:pPr>
    </w:p>
    <w:p>
      <w:pPr>
        <w:ind w:left="3940" w:hanging="370"/>
        <w:spacing w:after="0"/>
        <w:tabs>
          <w:tab w:leader="none" w:pos="3940" w:val="left"/>
        </w:tabs>
        <w:numPr>
          <w:ilvl w:val="3"/>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Non-Employee Directors</w:t>
      </w:r>
      <w:r>
        <w:rPr>
          <w:rFonts w:ascii="Times New Roman" w:cs="Times New Roman" w:eastAsia="Times New Roman" w:hAnsi="Times New Roman"/>
          <w:sz w:val="17"/>
          <w:szCs w:val="17"/>
          <w:color w:val="auto"/>
        </w:rPr>
        <w:t>. If a Non-Employee Director’s Income Fund exceeds the Income Fund Limit, the</w:t>
      </w:r>
    </w:p>
    <w:p>
      <w:pPr>
        <w:ind w:right="20"/>
        <w:spacing w:after="0" w:line="2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credited to the Non-Employee Director’s Income Fund shall be transferred to an Other Investment Fund and all amounts credited to the Non-Employee Director’s Account shall be deemed invested in an Other Investment Fund. The amount credited to the Income Fund with respect to an individual who has an Account under the Plan and who becomes a Non-Employee Director after shall be transferred to an Other Investment Fund as of the first day of the month next following the date such individual becomes a Non-Employee Director, and all amounts credited to the Non-Employee Director’s Account on and after such date shall be deemed invested in an Other Investment Fund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Non-Employee Director has consented to waive his or her rights with respect to (i) the Applicable Interest Rate applicable to such Non-Employee Director’s Account (including the Protected Account Balance) for purposes of any current or future Initial Deferral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80"/>
          </w:cols>
          <w:pgMar w:left="300" w:top="1127" w:right="319" w:bottom="1440" w:gutter="0" w:footer="0" w:header="0"/>
        </w:sectPr>
      </w:pPr>
    </w:p>
    <w:bookmarkStart w:id="180" w:name="page181"/>
    <w:bookmarkEnd w:id="180"/>
    <w:p>
      <w:pPr>
        <w:ind w:right="520"/>
        <w:spacing w:after="0" w:line="238" w:lineRule="auto"/>
        <w:rPr>
          <w:sz w:val="20"/>
          <w:szCs w:val="20"/>
          <w:color w:val="auto"/>
        </w:rPr>
      </w:pPr>
      <w:r>
        <w:rPr>
          <w:rFonts w:ascii="Times New Roman" w:cs="Times New Roman" w:eastAsia="Times New Roman" w:hAnsi="Times New Roman"/>
          <w:sz w:val="17"/>
          <w:szCs w:val="17"/>
          <w:color w:val="auto"/>
        </w:rPr>
        <w:t>Elections and Subsequent Deferral Elections while such individual is a Non-Employee Director and (ii) the application of Section 10.2 to such Non-Employee Director’s Account).</w:t>
      </w:r>
    </w:p>
    <w:p>
      <w:pPr>
        <w:spacing w:after="0" w:line="114" w:lineRule="exact"/>
        <w:rPr>
          <w:sz w:val="20"/>
          <w:szCs w:val="20"/>
          <w:color w:val="auto"/>
        </w:rPr>
      </w:pPr>
    </w:p>
    <w:p>
      <w:pPr>
        <w:ind w:left="3940" w:hanging="370"/>
        <w:spacing w:after="0"/>
        <w:tabs>
          <w:tab w:leader="none" w:pos="3940" w:val="left"/>
        </w:tabs>
        <w:numPr>
          <w:ilvl w:val="3"/>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Covered Participants</w:t>
      </w:r>
      <w:r>
        <w:rPr>
          <w:rFonts w:ascii="Times New Roman" w:cs="Times New Roman" w:eastAsia="Times New Roman" w:hAnsi="Times New Roman"/>
          <w:sz w:val="17"/>
          <w:szCs w:val="17"/>
          <w:color w:val="auto"/>
        </w:rPr>
        <w:t>. If a Covered Participant’s Income Fund exceeds the Income Fund Limit, the amount</w:t>
      </w:r>
    </w:p>
    <w:p>
      <w:pPr>
        <w:ind w:right="20"/>
        <w:spacing w:after="0" w:line="21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credited to the Covered Participant’s Income Fund shall be transferred to an Other Investment Fund and all amounts credited to the Covered Participant’s Account shall be deemed invested in an Other Investment Fund. The amount credited to the Income Fund with respect to an individual who has an Account under the Plan and who becomes a Covered Participant shall be transferred to an Other Investment Fund as of the first day of the month next following the date such individual becomes a Covered Participant, and all amounts credited to the Covered Participant’s Account on and after such date shall be deemed invested in an Other Investment Fund for purposes of any current or future Initial Deferral Elections and Subsequent Deferral Elections while such individual is a Covered Participant and (ii) the application of Section 10.2 to such Covered Participant’s Account).</w:t>
      </w:r>
    </w:p>
    <w:p>
      <w:pPr>
        <w:spacing w:after="0" w:line="124" w:lineRule="exact"/>
        <w:rPr>
          <w:rFonts w:ascii="Times New Roman" w:cs="Times New Roman" w:eastAsia="Times New Roman" w:hAnsi="Times New Roman"/>
          <w:sz w:val="17"/>
          <w:szCs w:val="17"/>
          <w:color w:val="auto"/>
        </w:rPr>
      </w:pPr>
    </w:p>
    <w:p>
      <w:pPr>
        <w:ind w:right="180" w:firstLine="3061"/>
        <w:spacing w:after="0" w:line="223" w:lineRule="auto"/>
        <w:tabs>
          <w:tab w:leader="none" w:pos="3452" w:val="left"/>
        </w:tabs>
        <w:numPr>
          <w:ilvl w:val="2"/>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16 Officers</w:t>
      </w:r>
      <w:r>
        <w:rPr>
          <w:rFonts w:ascii="Times New Roman" w:cs="Times New Roman" w:eastAsia="Times New Roman" w:hAnsi="Times New Roman"/>
          <w:sz w:val="17"/>
          <w:szCs w:val="17"/>
          <w:color w:val="auto"/>
        </w:rPr>
        <w:t>. Pursuant to rules established by the Administrator, a Section 16 Officer may elect to (x) transfer amounts credited to their Account that are deemed to be invested in the Income Fund to an Other Investment Fund, or (y) transfer amounts credited to their Account that are deemed to be invested in an Other Investment Fund to the Income Fund to the extent that immediately after such transfer, the amount credited to such Section 16 Officer’s Income Fund does not exceed the Income Fund Limit.</w:t>
      </w:r>
    </w:p>
    <w:p>
      <w:pPr>
        <w:spacing w:after="0" w:line="122" w:lineRule="exact"/>
        <w:rPr>
          <w:rFonts w:ascii="Times New Roman" w:cs="Times New Roman" w:eastAsia="Times New Roman" w:hAnsi="Times New Roman"/>
          <w:sz w:val="17"/>
          <w:szCs w:val="17"/>
          <w:color w:val="auto"/>
        </w:rPr>
      </w:pPr>
    </w:p>
    <w:p>
      <w:pPr>
        <w:ind w:firstLine="2042"/>
        <w:spacing w:after="0" w:line="216" w:lineRule="auto"/>
        <w:tabs>
          <w:tab w:leader="none" w:pos="2414"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Protocol for Deemed Transfers between Income Fund and an Other Investment Fund</w:t>
      </w:r>
      <w:r>
        <w:rPr>
          <w:rFonts w:ascii="Times New Roman" w:cs="Times New Roman" w:eastAsia="Times New Roman" w:hAnsi="Times New Roman"/>
          <w:sz w:val="17"/>
          <w:szCs w:val="17"/>
          <w:color w:val="auto"/>
        </w:rPr>
        <w:t>. As provided in Article III, the timing of distributions of amounts credited to a Participant’s Account is established pursuant to Initial Deferral Elections and Subsequent Deferral Elections, and a Participant may elect various distribution dates for amounts subject to Initial Deferral Elections and Subsequent Deferral Elections. Amounts deemed transferred from the Income Fund to Other Investment Funds as a result of the application of the Income Fund Limit or pursuant to elective transfers described in Section 5.2(b)(i)(C), and amounts deemed transferred from an Other Investment Fund to the Income Fund pursuant to elective transfers described in Section 5.2(b)(i)(C) shall be sourced and allocated on a uniform and consistent basis as determined by the Administrator,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w:t>
      </w:r>
    </w:p>
    <w:p>
      <w:pPr>
        <w:spacing w:after="0" w:line="120" w:lineRule="exact"/>
        <w:rPr>
          <w:rFonts w:ascii="Times New Roman" w:cs="Times New Roman" w:eastAsia="Times New Roman" w:hAnsi="Times New Roman"/>
          <w:sz w:val="17"/>
          <w:szCs w:val="17"/>
          <w:color w:val="auto"/>
        </w:rPr>
      </w:pPr>
    </w:p>
    <w:p>
      <w:pPr>
        <w:ind w:right="60" w:firstLine="1533"/>
        <w:spacing w:after="0" w:line="218" w:lineRule="auto"/>
        <w:tabs>
          <w:tab w:leader="none" w:pos="2098"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Fund Credits</w:t>
      </w:r>
      <w:r>
        <w:rPr>
          <w:rFonts w:ascii="Times New Roman" w:cs="Times New Roman" w:eastAsia="Times New Roman" w:hAnsi="Times New Roman"/>
          <w:sz w:val="17"/>
          <w:szCs w:val="17"/>
          <w:color w:val="auto"/>
        </w:rPr>
        <w:t>. Amounts credited to the Accounts of Non-Employee Directors, Covered Participants, and High Balance Participants in the form of Company Stock shall be credited with income, gains, and losses as if they were invested in the Company Stock Fund. Except as otherwise provided with respect to Section 16 Officers pursuant to Section 5.2(b)(i)(C) or by the Administrator with respect to Participants who are not Section 16 Officers, no portion of such Participant’s Account may be deemed transferred from the Company Stock Fund to the Income Fund or to an Other Investment Fund. Amounts credited in the form of Company Stock at the time of distribution to the Accounts of (i) Non-Employee Directors and (ii) Participants under circumstances described in Section 5.2(a)(vi) shall be distributed in the form of Company Stock, rounded to the nearest lower whole share.</w:t>
      </w:r>
    </w:p>
    <w:p>
      <w:pPr>
        <w:spacing w:after="0" w:line="122" w:lineRule="exact"/>
        <w:rPr>
          <w:rFonts w:ascii="Times New Roman" w:cs="Times New Roman" w:eastAsia="Times New Roman" w:hAnsi="Times New Roman"/>
          <w:sz w:val="17"/>
          <w:szCs w:val="17"/>
          <w:color w:val="auto"/>
        </w:rPr>
      </w:pPr>
    </w:p>
    <w:p>
      <w:pPr>
        <w:ind w:firstLine="1533"/>
        <w:spacing w:after="0" w:line="228" w:lineRule="auto"/>
        <w:tabs>
          <w:tab w:leader="none" w:pos="1896"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Timing of Credits</w:t>
      </w:r>
      <w:r>
        <w:rPr>
          <w:rFonts w:ascii="Times New Roman" w:cs="Times New Roman" w:eastAsia="Times New Roman" w:hAnsi="Times New Roman"/>
          <w:sz w:val="17"/>
          <w:szCs w:val="17"/>
          <w:color w:val="auto"/>
        </w:rPr>
        <w:t>. Except as otherwise provided in this Section 5.2,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(5) days of the end of a calendar month, and (ii) based on the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80"/>
          </w:cols>
          <w:pgMar w:left="300" w:top="1127" w:right="319" w:bottom="1440" w:gutter="0" w:footer="0" w:header="0"/>
        </w:sectPr>
      </w:pPr>
    </w:p>
    <w:bookmarkStart w:id="181" w:name="page182"/>
    <w:bookmarkEnd w:id="181"/>
    <w:p>
      <w:pPr>
        <w:ind w:right="40"/>
        <w:spacing w:after="0" w:line="220" w:lineRule="auto"/>
        <w:rPr>
          <w:sz w:val="20"/>
          <w:szCs w:val="20"/>
          <w:color w:val="auto"/>
        </w:rPr>
      </w:pPr>
      <w:r>
        <w:rPr>
          <w:rFonts w:ascii="Times New Roman" w:cs="Times New Roman" w:eastAsia="Times New Roman" w:hAnsi="Times New Roman"/>
          <w:sz w:val="17"/>
          <w:szCs w:val="17"/>
          <w:color w:val="auto"/>
        </w:rPr>
        <w:t>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an Other Investment Fund shall be based on hypothetical purchases and sales of such Other Investment Fund at Fair Market Value as of the effective date of the applicable investment election.</w:t>
      </w:r>
    </w:p>
    <w:p>
      <w:pPr>
        <w:spacing w:after="0" w:line="123" w:lineRule="exact"/>
        <w:rPr>
          <w:sz w:val="20"/>
          <w:szCs w:val="20"/>
          <w:color w:val="auto"/>
        </w:rPr>
      </w:pPr>
    </w:p>
    <w:p>
      <w:pPr>
        <w:ind w:right="260" w:firstLine="1019"/>
        <w:spacing w:after="0" w:line="238"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Status of Deferred Amounts</w:t>
      </w:r>
      <w:r>
        <w:rPr>
          <w:rFonts w:ascii="Times New Roman" w:cs="Times New Roman" w:eastAsia="Times New Roman" w:hAnsi="Times New Roman"/>
          <w:sz w:val="17"/>
          <w:szCs w:val="17"/>
          <w:color w:val="auto"/>
        </w:rPr>
        <w:t>. Regardless of whether or not the Company is a Participant’s employer, all Compensation deferred under this Plan shall continue for all purposes to be a part of the general funds of the Company.</w:t>
      </w:r>
    </w:p>
    <w:p>
      <w:pPr>
        <w:spacing w:after="0" w:line="122" w:lineRule="exact"/>
        <w:rPr>
          <w:sz w:val="20"/>
          <w:szCs w:val="20"/>
          <w:color w:val="auto"/>
        </w:rPr>
      </w:pPr>
    </w:p>
    <w:p>
      <w:pPr>
        <w:ind w:right="20" w:firstLine="1019"/>
        <w:spacing w:after="0" w:line="220"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Participants’ Status as General Creditors</w:t>
      </w:r>
      <w:r>
        <w:rPr>
          <w:rFonts w:ascii="Times New Roman" w:cs="Times New Roman" w:eastAsia="Times New Roman" w:hAnsi="Times New Roman"/>
          <w:sz w:val="17"/>
          <w:szCs w:val="17"/>
          <w:color w:val="auto"/>
        </w:rPr>
        <w:t>. Regardless of whether or not the Company is a Participant’s employer, an Account (including an RSU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ARTICLE 6 </w:t>
      </w:r>
      <w:r>
        <w:rPr>
          <w:rFonts w:ascii="Times New Roman" w:cs="Times New Roman" w:eastAsia="Times New Roman" w:hAnsi="Times New Roman"/>
          <w:sz w:val="17"/>
          <w:szCs w:val="17"/>
          <w:color w:val="auto"/>
        </w:rPr>
        <w:t>– NO ALIENATION OF BENEFITS; PAYEE DESIGNATION</w:t>
      </w:r>
    </w:p>
    <w:p>
      <w:pPr>
        <w:spacing w:after="0" w:line="148" w:lineRule="exact"/>
        <w:rPr>
          <w:sz w:val="20"/>
          <w:szCs w:val="20"/>
          <w:color w:val="auto"/>
        </w:rPr>
      </w:pPr>
    </w:p>
    <w:p>
      <w:pPr>
        <w:ind w:right="160" w:firstLine="1019"/>
        <w:spacing w:after="0" w:line="223"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Non-Alienation</w:t>
      </w:r>
      <w:r>
        <w:rPr>
          <w:rFonts w:ascii="Times New Roman" w:cs="Times New Roman" w:eastAsia="Times New Roman" w:hAnsi="Times New Roman"/>
          <w:sz w:val="17"/>
          <w:szCs w:val="17"/>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22" w:lineRule="exact"/>
        <w:rPr>
          <w:sz w:val="20"/>
          <w:szCs w:val="20"/>
          <w:color w:val="auto"/>
        </w:rPr>
      </w:pPr>
    </w:p>
    <w:p>
      <w:pPr>
        <w:jc w:val="both"/>
        <w:ind w:right="20" w:firstLine="1019"/>
        <w:spacing w:after="0" w:line="220"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Domestic Relations Orders</w:t>
      </w:r>
      <w:r>
        <w:rPr>
          <w:rFonts w:ascii="Times New Roman" w:cs="Times New Roman" w:eastAsia="Times New Roman" w:hAnsi="Times New Roman"/>
          <w:sz w:val="17"/>
          <w:szCs w:val="17"/>
          <w:color w:val="auto"/>
        </w:rPr>
        <w:t>. Notwithstanding any other provision of the Plan or the terms of any Initial Deferral Election or Subsequent Deferral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123" w:lineRule="exact"/>
        <w:rPr>
          <w:sz w:val="20"/>
          <w:szCs w:val="20"/>
          <w:color w:val="auto"/>
        </w:rPr>
      </w:pPr>
    </w:p>
    <w:p>
      <w:pPr>
        <w:ind w:firstLine="1019"/>
        <w:spacing w:after="0" w:line="218"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Payee Designation</w:t>
      </w:r>
      <w:r>
        <w:rPr>
          <w:rFonts w:ascii="Times New Roman" w:cs="Times New Roman" w:eastAsia="Times New Roman" w:hAnsi="Times New Roman"/>
          <w:sz w:val="17"/>
          <w:szCs w:val="17"/>
          <w:color w:val="auto"/>
        </w:rPr>
        <w:t>. Subject to the terms and conditions of the Plan, a Participant or Beneficiary may direct that any amount payable pursuant to an Initial Deferral Election or a Subsequent Deferral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80"/>
          </w:cols>
          <w:pgMar w:left="300" w:top="1126" w:right="319" w:bottom="1440" w:gutter="0" w:footer="0" w:header="0"/>
        </w:sectPr>
      </w:pPr>
    </w:p>
    <w:bookmarkStart w:id="182" w:name="page183"/>
    <w:bookmarkEnd w:id="182"/>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7 – DEATH OF PARTICIPANT</w:t>
      </w:r>
    </w:p>
    <w:p>
      <w:pPr>
        <w:spacing w:after="0" w:line="148" w:lineRule="exact"/>
        <w:rPr>
          <w:sz w:val="20"/>
          <w:szCs w:val="20"/>
          <w:color w:val="auto"/>
        </w:rPr>
      </w:pPr>
    </w:p>
    <w:p>
      <w:pPr>
        <w:jc w:val="both"/>
        <w:ind w:right="120" w:firstLine="1019"/>
        <w:spacing w:after="0" w:line="228"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Death of Participant</w:t>
      </w:r>
      <w:r>
        <w:rPr>
          <w:rFonts w:ascii="Times New Roman" w:cs="Times New Roman" w:eastAsia="Times New Roman" w:hAnsi="Times New Roman"/>
          <w:sz w:val="17"/>
          <w:szCs w:val="17"/>
          <w:color w:val="auto"/>
        </w:rPr>
        <w:t>. Except as otherwise provided in Section 3.5 or Section 3.8, a Deceased Participant’s Account and a Deceased Participant’s RSU Account shall be distributed in accordance with the last Initial Deferral Election or Subsequent Deferral Election made by the Deceased Participant before the Deceased Participant’s death.</w:t>
      </w:r>
    </w:p>
    <w:p>
      <w:pPr>
        <w:spacing w:after="0" w:line="122" w:lineRule="exact"/>
        <w:rPr>
          <w:sz w:val="20"/>
          <w:szCs w:val="20"/>
          <w:color w:val="auto"/>
        </w:rPr>
      </w:pPr>
    </w:p>
    <w:p>
      <w:pPr>
        <w:ind w:firstLine="1019"/>
        <w:spacing w:after="0" w:line="217"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Designation of Beneficiaries</w:t>
      </w:r>
      <w:r>
        <w:rPr>
          <w:rFonts w:ascii="Times New Roman" w:cs="Times New Roman" w:eastAsia="Times New Roman" w:hAnsi="Times New Roman"/>
          <w:sz w:val="17"/>
          <w:szCs w:val="17"/>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8 – HARDSHIP, OTHER ACCELERATION EVENTS, AND CLAWBACKS</w:t>
      </w:r>
    </w:p>
    <w:p>
      <w:pPr>
        <w:spacing w:after="0" w:line="148" w:lineRule="exact"/>
        <w:rPr>
          <w:sz w:val="20"/>
          <w:szCs w:val="20"/>
          <w:color w:val="auto"/>
        </w:rPr>
      </w:pPr>
    </w:p>
    <w:p>
      <w:pPr>
        <w:ind w:right="160" w:firstLine="1019"/>
        <w:spacing w:after="0" w:line="228"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Hardship</w:t>
      </w:r>
      <w:r>
        <w:rPr>
          <w:rFonts w:ascii="Times New Roman" w:cs="Times New Roman" w:eastAsia="Times New Roman" w:hAnsi="Times New Roman"/>
          <w:sz w:val="17"/>
          <w:szCs w:val="17"/>
          <w:color w:val="auto"/>
        </w:rPr>
        <w:t>. Notwithstanding the terms of an Initial Deferral Election or Subsequent Deferral Election, if, at the Participant’s request, the Administrator determines that the Participant has incurred a Hardship, the Board may, in its discretion, authorize the immediate distribution of all or any portion of the Participant’s Account.</w:t>
      </w:r>
    </w:p>
    <w:p>
      <w:pPr>
        <w:spacing w:after="0" w:line="122" w:lineRule="exact"/>
        <w:rPr>
          <w:sz w:val="20"/>
          <w:szCs w:val="20"/>
          <w:color w:val="auto"/>
        </w:rPr>
      </w:pPr>
    </w:p>
    <w:p>
      <w:pPr>
        <w:ind w:right="340" w:firstLine="1019"/>
        <w:spacing w:after="0" w:line="238"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Other Acceleration Events</w:t>
      </w:r>
      <w:r>
        <w:rPr>
          <w:rFonts w:ascii="Times New Roman" w:cs="Times New Roman" w:eastAsia="Times New Roman" w:hAnsi="Times New Roman"/>
          <w:sz w:val="17"/>
          <w:szCs w:val="17"/>
          <w:color w:val="auto"/>
        </w:rPr>
        <w:t>. To the extent permitted by Section 409A, notwithstanding the terms of an Initial Deferral Election or Subsequent Deferral Election, distribution of all or part of a Participant’s Account may be made:</w:t>
      </w:r>
    </w:p>
    <w:p>
      <w:pPr>
        <w:spacing w:after="0" w:line="122" w:lineRule="exact"/>
        <w:rPr>
          <w:sz w:val="20"/>
          <w:szCs w:val="20"/>
          <w:color w:val="auto"/>
        </w:rPr>
      </w:pPr>
    </w:p>
    <w:p>
      <w:pPr>
        <w:ind w:right="140" w:firstLine="1533"/>
        <w:spacing w:after="0" w:line="238" w:lineRule="auto"/>
        <w:tabs>
          <w:tab w:leader="none" w:pos="2095"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fulfill a domestic relations order (as defined in section 414(p)(1)(B) of the Code) to the extent permitted by Treasury Regulations section 1.409A-3(j)(4)(ii) or any successor provision of law).</w:t>
      </w:r>
    </w:p>
    <w:p>
      <w:pPr>
        <w:spacing w:after="0" w:line="121" w:lineRule="exact"/>
        <w:rPr>
          <w:rFonts w:ascii="Times New Roman" w:cs="Times New Roman" w:eastAsia="Times New Roman" w:hAnsi="Times New Roman"/>
          <w:sz w:val="17"/>
          <w:szCs w:val="17"/>
          <w:color w:val="auto"/>
        </w:rPr>
      </w:pPr>
    </w:p>
    <w:p>
      <w:pPr>
        <w:ind w:right="100" w:firstLine="1533"/>
        <w:spacing w:after="0" w:line="238" w:lineRule="auto"/>
        <w:tabs>
          <w:tab w:leader="none" w:pos="2105"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necessary to comply with laws relating to avoidance of conflicts of interest, as provided in Treasury Regulation section 1.409A-3(j)(4)(iii) (or any successor provision of law).</w:t>
      </w:r>
    </w:p>
    <w:p>
      <w:pPr>
        <w:spacing w:after="0" w:line="113" w:lineRule="exact"/>
        <w:rPr>
          <w:rFonts w:ascii="Times New Roman" w:cs="Times New Roman" w:eastAsia="Times New Roman" w:hAnsi="Times New Roman"/>
          <w:sz w:val="17"/>
          <w:szCs w:val="17"/>
          <w:color w:val="auto"/>
        </w:rPr>
      </w:pPr>
    </w:p>
    <w:p>
      <w:pPr>
        <w:ind w:left="2100" w:hanging="567"/>
        <w:spacing w:after="0"/>
        <w:tabs>
          <w:tab w:leader="none" w:pos="21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pay employment taxes to the extent permitted by Treasury Regulation section 1.409A-3(j)(4)(vi) (or any successor provision of</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w:t>
      </w:r>
    </w:p>
    <w:p>
      <w:pPr>
        <w:spacing w:after="0" w:line="126" w:lineRule="exact"/>
        <w:rPr>
          <w:rFonts w:ascii="Times New Roman" w:cs="Times New Roman" w:eastAsia="Times New Roman" w:hAnsi="Times New Roman"/>
          <w:sz w:val="17"/>
          <w:szCs w:val="17"/>
          <w:color w:val="auto"/>
        </w:rPr>
      </w:pPr>
    </w:p>
    <w:p>
      <w:pPr>
        <w:ind w:right="540" w:firstLine="1533"/>
        <w:spacing w:after="0" w:line="238" w:lineRule="auto"/>
        <w:tabs>
          <w:tab w:leader="none" w:pos="2108"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recognition of income as the result of a failure to comply with Section 409A, to the extent permitted by Treasury Regulation section 1.409A-3(j)(4)(vii) (or any successor provision of law).</w:t>
      </w:r>
    </w:p>
    <w:p>
      <w:pPr>
        <w:spacing w:after="0" w:line="113" w:lineRule="exact"/>
        <w:rPr>
          <w:rFonts w:ascii="Times New Roman" w:cs="Times New Roman" w:eastAsia="Times New Roman" w:hAnsi="Times New Roman"/>
          <w:sz w:val="17"/>
          <w:szCs w:val="17"/>
          <w:color w:val="auto"/>
        </w:rPr>
      </w:pPr>
    </w:p>
    <w:p>
      <w:pPr>
        <w:ind w:left="2100" w:hanging="567"/>
        <w:spacing w:after="0"/>
        <w:tabs>
          <w:tab w:leader="none" w:pos="21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pay state, local or foreign taxes to the extent permitted by Treasury Regulation section 1.409A-3(j)(4)(xi) (or any successor</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 of law).</w:t>
      </w:r>
    </w:p>
    <w:p>
      <w:pPr>
        <w:spacing w:after="0" w:line="126" w:lineRule="exact"/>
        <w:rPr>
          <w:rFonts w:ascii="Times New Roman" w:cs="Times New Roman" w:eastAsia="Times New Roman" w:hAnsi="Times New Roman"/>
          <w:sz w:val="17"/>
          <w:szCs w:val="17"/>
          <w:color w:val="auto"/>
        </w:rPr>
      </w:pPr>
    </w:p>
    <w:p>
      <w:pPr>
        <w:ind w:right="160" w:firstLine="1533"/>
        <w:spacing w:after="0" w:line="228" w:lineRule="auto"/>
        <w:tabs>
          <w:tab w:leader="none" w:pos="2079"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20"/>
          </w:cols>
          <w:pgMar w:left="300" w:top="1123" w:right="379" w:bottom="1440" w:gutter="0" w:footer="0" w:header="0"/>
        </w:sectPr>
      </w:pPr>
    </w:p>
    <w:bookmarkStart w:id="183" w:name="page184"/>
    <w:bookmarkEnd w:id="183"/>
    <w:p>
      <w:pPr>
        <w:ind w:right="220" w:firstLine="1533"/>
        <w:spacing w:after="0" w:line="238" w:lineRule="auto"/>
        <w:tabs>
          <w:tab w:leader="none" w:pos="2108"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 bona fide dispute as to a Participant’s right to payment, to the extent permitted by Treasury Regulation section 1.409A-3(j)(4)(xiv) (or any successor provision of law).</w:t>
      </w:r>
    </w:p>
    <w:p>
      <w:pPr>
        <w:spacing w:after="0" w:line="122" w:lineRule="exact"/>
        <w:rPr>
          <w:sz w:val="20"/>
          <w:szCs w:val="20"/>
          <w:color w:val="auto"/>
        </w:rPr>
      </w:pPr>
    </w:p>
    <w:p>
      <w:pPr>
        <w:ind w:firstLine="1019"/>
        <w:spacing w:after="0" w:line="220"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Clawbacks</w:t>
      </w:r>
      <w:r>
        <w:rPr>
          <w:rFonts w:ascii="Times New Roman" w:cs="Times New Roman" w:eastAsia="Times New Roman" w:hAnsi="Times New Roman"/>
          <w:sz w:val="17"/>
          <w:szCs w:val="17"/>
          <w:color w:val="auto"/>
        </w:rPr>
        <w:t>. Notwithstanding anything to the contrary contained herein, all amounts deferred under the Plan, including all amounts held in any Account (including any RSU Account) and all Deferred Stock Units, and any earnings credited thereto, shall be subject to any clawback or recoupment arrangements or policies the Company has in place from time to time (including, without limitation, any policy adopted to comply with Rule 10D-1 of the 1934 Act or any related stock exchange rules), and the Committee may, to the extent permitted or shall, to the extent required, by applicable law and stock exchange rules or by any applicable Company policy or arrangement, cancel, require reimbursement or provide for the forfeiture of such amount.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 xml:space="preserve">ARTICLE 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INTERPRETATION</w:t>
      </w:r>
    </w:p>
    <w:p>
      <w:pPr>
        <w:spacing w:after="0" w:line="148" w:lineRule="exact"/>
        <w:rPr>
          <w:sz w:val="20"/>
          <w:szCs w:val="20"/>
          <w:color w:val="auto"/>
        </w:rPr>
      </w:pPr>
    </w:p>
    <w:p>
      <w:pPr>
        <w:ind w:right="440" w:firstLine="1019"/>
        <w:spacing w:after="0" w:line="238"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Authority of Administrator</w:t>
      </w:r>
      <w:r>
        <w:rPr>
          <w:rFonts w:ascii="Times New Roman" w:cs="Times New Roman" w:eastAsia="Times New Roman" w:hAnsi="Times New Roman"/>
          <w:sz w:val="17"/>
          <w:szCs w:val="17"/>
          <w:color w:val="auto"/>
        </w:rPr>
        <w:t>. The Administrator shall have full and exclusive authority to construe, interpret and administer this Plan and the Administrator’s construction and interpretation thereof shall be binding and conclusive on all persons for all purposes.</w:t>
      </w:r>
    </w:p>
    <w:p>
      <w:pPr>
        <w:spacing w:after="0" w:line="122" w:lineRule="exact"/>
        <w:rPr>
          <w:sz w:val="20"/>
          <w:szCs w:val="20"/>
          <w:color w:val="auto"/>
        </w:rPr>
      </w:pPr>
    </w:p>
    <w:p>
      <w:pPr>
        <w:jc w:val="both"/>
        <w:ind w:right="60" w:firstLine="1019"/>
        <w:spacing w:after="0" w:line="228"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Claims Procedure</w:t>
      </w:r>
      <w:r>
        <w:rPr>
          <w:rFonts w:ascii="Times New Roman" w:cs="Times New Roman" w:eastAsia="Times New Roman" w:hAnsi="Times New Roman"/>
          <w:sz w:val="17"/>
          <w:szCs w:val="17"/>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22" w:lineRule="exact"/>
        <w:rPr>
          <w:sz w:val="20"/>
          <w:szCs w:val="20"/>
          <w:color w:val="auto"/>
        </w:rPr>
      </w:pPr>
    </w:p>
    <w:p>
      <w:pPr>
        <w:ind w:right="240" w:firstLine="1019"/>
        <w:spacing w:after="0" w:line="238" w:lineRule="auto"/>
        <w:rPr>
          <w:sz w:val="20"/>
          <w:szCs w:val="20"/>
          <w:color w:val="auto"/>
        </w:rPr>
      </w:pPr>
      <w:r>
        <w:rPr>
          <w:rFonts w:ascii="Times New Roman" w:cs="Times New Roman" w:eastAsia="Times New Roman" w:hAnsi="Times New Roman"/>
          <w:sz w:val="17"/>
          <w:szCs w:val="17"/>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22" w:lineRule="exact"/>
        <w:rPr>
          <w:sz w:val="20"/>
          <w:szCs w:val="20"/>
          <w:color w:val="auto"/>
        </w:rPr>
      </w:pPr>
    </w:p>
    <w:p>
      <w:pPr>
        <w:ind w:left="1880" w:hanging="347"/>
        <w:spacing w:after="0"/>
        <w:tabs>
          <w:tab w:leader="none" w:pos="188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specific reason or reasons for the denial;</w:t>
      </w:r>
    </w:p>
    <w:p>
      <w:pPr>
        <w:spacing w:after="0" w:line="144"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Specific reference to pertinent Plan provisions on which the denial is based;</w:t>
      </w:r>
    </w:p>
    <w:p>
      <w:pPr>
        <w:spacing w:after="0" w:line="144" w:lineRule="exact"/>
        <w:rPr>
          <w:rFonts w:ascii="Times New Roman" w:cs="Times New Roman" w:eastAsia="Times New Roman" w:hAnsi="Times New Roman"/>
          <w:sz w:val="17"/>
          <w:szCs w:val="17"/>
          <w:color w:val="auto"/>
        </w:rPr>
      </w:pPr>
    </w:p>
    <w:p>
      <w:pPr>
        <w:ind w:right="160" w:firstLine="1533"/>
        <w:spacing w:after="0" w:line="238" w:lineRule="auto"/>
        <w:tabs>
          <w:tab w:leader="none" w:pos="1877"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any additional material or information necessary for the Applicant to perfect the claim and an explanation of why such material or information is necessary; and</w:t>
      </w:r>
    </w:p>
    <w:p>
      <w:pPr>
        <w:spacing w:after="0" w:line="121"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information as to the steps to be taken in order to submit a claim for review.</w:t>
      </w:r>
    </w:p>
    <w:p>
      <w:pPr>
        <w:spacing w:after="0" w:line="14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6"/>
          <w:szCs w:val="16"/>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00" w:lineRule="exact"/>
        <w:rPr>
          <w:sz w:val="20"/>
          <w:szCs w:val="20"/>
          <w:color w:val="auto"/>
        </w:rPr>
      </w:pPr>
    </w:p>
    <w:p>
      <w:pPr>
        <w:ind w:firstLine="1019"/>
        <w:spacing w:after="0" w:line="237" w:lineRule="auto"/>
        <w:rPr>
          <w:sz w:val="20"/>
          <w:szCs w:val="20"/>
          <w:color w:val="auto"/>
        </w:rPr>
      </w:pPr>
      <w:r>
        <w:rPr>
          <w:rFonts w:ascii="Times New Roman" w:cs="Times New Roman" w:eastAsia="Times New Roman" w:hAnsi="Times New Roman"/>
          <w:sz w:val="16"/>
          <w:szCs w:val="16"/>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40"/>
          </w:cols>
          <w:pgMar w:left="300" w:top="1127" w:right="3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color w:val="auto"/>
        </w:rPr>
        <w:t>the Administrator may notify the Applicant in writing that an additional period of up to 60 days shall be required to process the Applicant’s request for review.</w:t>
      </w:r>
    </w:p>
    <w:p>
      <w:pPr>
        <w:spacing w:after="0" w:line="144" w:lineRule="exact"/>
        <w:rPr>
          <w:sz w:val="20"/>
          <w:szCs w:val="20"/>
          <w:color w:val="auto"/>
        </w:rPr>
      </w:pPr>
    </w:p>
    <w:p>
      <w:pPr>
        <w:ind w:right="100" w:firstLine="1019"/>
        <w:spacing w:after="0" w:line="238" w:lineRule="auto"/>
        <w:rPr>
          <w:sz w:val="20"/>
          <w:szCs w:val="20"/>
          <w:color w:val="auto"/>
        </w:rPr>
      </w:pPr>
      <w:r>
        <w:rPr>
          <w:rFonts w:ascii="Times New Roman" w:cs="Times New Roman" w:eastAsia="Times New Roman" w:hAnsi="Times New Roman"/>
          <w:sz w:val="17"/>
          <w:szCs w:val="17"/>
          <w:color w:val="auto"/>
        </w:rPr>
        <w:t>It is intended that the claims procedures of this Plan be administered in accordance with the claims procedure regulations of the Department of Labor set forth in 29 CFR § 2560.503-1.</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Claims for benefits under the Plan must be filed with the Administrator at the following address: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Comcast Corporation</w:t>
      </w:r>
    </w:p>
    <w:p>
      <w:pPr>
        <w:spacing w:after="0" w:line="208" w:lineRule="auto"/>
        <w:rPr>
          <w:sz w:val="20"/>
          <w:szCs w:val="20"/>
          <w:color w:val="auto"/>
        </w:rPr>
      </w:pPr>
      <w:r>
        <w:rPr>
          <w:rFonts w:ascii="Times New Roman" w:cs="Times New Roman" w:eastAsia="Times New Roman" w:hAnsi="Times New Roman"/>
          <w:sz w:val="17"/>
          <w:szCs w:val="17"/>
          <w:color w:val="auto"/>
        </w:rPr>
        <w:t>One Comcast Center</w:t>
      </w:r>
    </w:p>
    <w:p>
      <w:pPr>
        <w:spacing w:after="0" w:line="208" w:lineRule="auto"/>
        <w:rPr>
          <w:sz w:val="20"/>
          <w:szCs w:val="20"/>
          <w:color w:val="auto"/>
        </w:rPr>
      </w:pPr>
      <w:r>
        <w:rPr>
          <w:rFonts w:ascii="Times New Roman" w:cs="Times New Roman" w:eastAsia="Times New Roman" w:hAnsi="Times New Roman"/>
          <w:sz w:val="17"/>
          <w:szCs w:val="17"/>
          <w:color w:val="auto"/>
        </w:rPr>
        <w:t>1701 John F. Kennedy Boulevard</w:t>
      </w:r>
    </w:p>
    <w:p>
      <w:pPr>
        <w:spacing w:after="0" w:line="209" w:lineRule="auto"/>
        <w:rPr>
          <w:sz w:val="20"/>
          <w:szCs w:val="20"/>
          <w:color w:val="auto"/>
        </w:rPr>
      </w:pPr>
      <w:r>
        <w:rPr>
          <w:rFonts w:ascii="Times New Roman" w:cs="Times New Roman" w:eastAsia="Times New Roman" w:hAnsi="Times New Roman"/>
          <w:sz w:val="17"/>
          <w:szCs w:val="17"/>
          <w:color w:val="auto"/>
        </w:rPr>
        <w:t>Philadelphia, PA 19103</w:t>
      </w:r>
    </w:p>
    <w:p>
      <w:pPr>
        <w:spacing w:after="0"/>
        <w:rPr>
          <w:sz w:val="20"/>
          <w:szCs w:val="20"/>
          <w:color w:val="auto"/>
        </w:rPr>
      </w:pPr>
      <w:r>
        <w:rPr>
          <w:rFonts w:ascii="Times New Roman" w:cs="Times New Roman" w:eastAsia="Times New Roman" w:hAnsi="Times New Roman"/>
          <w:sz w:val="17"/>
          <w:szCs w:val="17"/>
          <w:color w:val="auto"/>
        </w:rPr>
        <w:t>Attention: Chief Legal Officer &amp; Secretary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ARTICLE 10 </w:t>
      </w:r>
      <w:r>
        <w:rPr>
          <w:rFonts w:ascii="Times New Roman" w:cs="Times New Roman" w:eastAsia="Times New Roman" w:hAnsi="Times New Roman"/>
          <w:sz w:val="17"/>
          <w:szCs w:val="17"/>
          <w:color w:val="auto"/>
        </w:rPr>
        <w:t>– AMENDMENT OR TERMINATION</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Amendment or Termination</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120" w:firstLine="1528"/>
        <w:spacing w:after="0" w:line="228" w:lineRule="auto"/>
        <w:rPr>
          <w:sz w:val="20"/>
          <w:szCs w:val="20"/>
          <w:color w:val="auto"/>
        </w:rPr>
      </w:pPr>
      <w:r>
        <w:rPr>
          <w:rFonts w:ascii="Times New Roman" w:cs="Times New Roman" w:eastAsia="Times New Roman" w:hAnsi="Times New Roman"/>
          <w:sz w:val="17"/>
          <w:szCs w:val="17"/>
          <w:color w:val="auto"/>
        </w:rPr>
        <w:t xml:space="preserve">10.1.1. </w:t>
      </w:r>
      <w:r>
        <w:rPr>
          <w:rFonts w:ascii="Times New Roman" w:cs="Times New Roman" w:eastAsia="Times New Roman" w:hAnsi="Times New Roman"/>
          <w:sz w:val="17"/>
          <w:szCs w:val="17"/>
          <w:u w:val="single" w:color="auto"/>
          <w:color w:val="auto"/>
        </w:rPr>
        <w:t>In General</w:t>
      </w:r>
      <w:r>
        <w:rPr>
          <w:rFonts w:ascii="Times New Roman" w:cs="Times New Roman" w:eastAsia="Times New Roman" w:hAnsi="Times New Roman"/>
          <w:sz w:val="17"/>
          <w:szCs w:val="17"/>
          <w:color w:val="auto"/>
        </w:rPr>
        <w:t>. Except as otherwise provided by Section 10.2, the Company, by action of the Board or by action of the Administrator, shall have the right at any time, or from time to time, to amend or modify this Plan. The Company, by action of the Board, shall have the right to terminate this Plan at any time.</w:t>
      </w:r>
    </w:p>
    <w:p>
      <w:pPr>
        <w:spacing w:after="0" w:line="122" w:lineRule="exact"/>
        <w:rPr>
          <w:sz w:val="20"/>
          <w:szCs w:val="20"/>
          <w:color w:val="auto"/>
        </w:rPr>
      </w:pPr>
    </w:p>
    <w:p>
      <w:pPr>
        <w:ind w:right="20" w:firstLine="1528"/>
        <w:spacing w:after="0" w:line="223" w:lineRule="auto"/>
        <w:rPr>
          <w:sz w:val="20"/>
          <w:szCs w:val="20"/>
          <w:color w:val="auto"/>
        </w:rPr>
      </w:pPr>
      <w:r>
        <w:rPr>
          <w:rFonts w:ascii="Times New Roman" w:cs="Times New Roman" w:eastAsia="Times New Roman" w:hAnsi="Times New Roman"/>
          <w:sz w:val="17"/>
          <w:szCs w:val="17"/>
          <w:color w:val="auto"/>
        </w:rPr>
        <w:t xml:space="preserve">10.1.2. </w:t>
      </w:r>
      <w:r>
        <w:rPr>
          <w:rFonts w:ascii="Times New Roman" w:cs="Times New Roman" w:eastAsia="Times New Roman" w:hAnsi="Times New Roman"/>
          <w:sz w:val="17"/>
          <w:szCs w:val="17"/>
          <w:u w:val="single" w:color="auto"/>
          <w:color w:val="auto"/>
        </w:rPr>
        <w:t>Discretion to Provide for Distribution in Full Upon or Following a Change of Control</w:t>
      </w:r>
      <w:r>
        <w:rPr>
          <w:rFonts w:ascii="Times New Roman" w:cs="Times New Roman" w:eastAsia="Times New Roman" w:hAnsi="Times New Roman"/>
          <w:sz w:val="17"/>
          <w:szCs w:val="17"/>
          <w:color w:val="auto"/>
        </w:rPr>
        <w:t>. To the extent permitted by Section 409A, in connection with a Change of Control, and for the 12-month period following a Change of Control, the Administrator may exercise its discretion to terminate the Plan and, notwithstanding any other provision of the Plan or the terms of any Initial Deferral Election or Subsequent Deferral Election, distribute the Account balance of each Participant in full and thereby effect the revocation of any outstanding Initial Deferral Elections or Subsequent Deferral Elections.</w:t>
      </w:r>
    </w:p>
    <w:p>
      <w:pPr>
        <w:spacing w:after="0" w:line="122" w:lineRule="exact"/>
        <w:rPr>
          <w:sz w:val="20"/>
          <w:szCs w:val="20"/>
          <w:color w:val="auto"/>
        </w:rPr>
      </w:pPr>
    </w:p>
    <w:p>
      <w:pPr>
        <w:ind w:right="40" w:firstLine="1019"/>
        <w:spacing w:after="0" w:line="218"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Amendment of Rate of Credited Earnings</w:t>
      </w:r>
      <w:r>
        <w:rPr>
          <w:rFonts w:ascii="Times New Roman" w:cs="Times New Roman" w:eastAsia="Times New Roman" w:hAnsi="Times New Roman"/>
          <w:sz w:val="17"/>
          <w:szCs w:val="17"/>
          <w:color w:val="auto"/>
        </w:rPr>
        <w:t>. No amendment shall change the Applicable Interest Rate with respect to the portion of a Participant’s Account that is attributable to an Initial Deferral Election or Subsequent Deferral Election made with respect to Compensation and filed with the Administrator before the date of adoption of such amendment by the Board or the Administrator without the consent of the Participant. For purposes of this Section 10.2, a Subsequent Deferral Election to defer the payment of part or all of an Account for an additional period after a previously-elected payment date (as described in Section 3.5) shall be treated as a separate Subsequent Deferral Election from any previous Initial Deferral Election or Subsequent Deferral Election with respect to such Account.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ARTICLE 11 </w:t>
      </w:r>
      <w:r>
        <w:rPr>
          <w:rFonts w:ascii="Times New Roman" w:cs="Times New Roman" w:eastAsia="Times New Roman" w:hAnsi="Times New Roman"/>
          <w:sz w:val="17"/>
          <w:szCs w:val="17"/>
          <w:color w:val="auto"/>
        </w:rPr>
        <w:t>– WITHHOLDING OF TAXES</w:t>
      </w:r>
    </w:p>
    <w:p>
      <w:pPr>
        <w:spacing w:after="0" w:line="148" w:lineRule="exact"/>
        <w:rPr>
          <w:sz w:val="20"/>
          <w:szCs w:val="20"/>
          <w:color w:val="auto"/>
        </w:rPr>
      </w:pPr>
    </w:p>
    <w:p>
      <w:pPr>
        <w:ind w:firstLine="1019"/>
        <w:spacing w:after="0" w:line="218"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In General</w:t>
      </w:r>
      <w:r>
        <w:rPr>
          <w:rFonts w:ascii="Times New Roman" w:cs="Times New Roman" w:eastAsia="Times New Roman" w:hAnsi="Times New Roman"/>
          <w:sz w:val="17"/>
          <w:szCs w:val="17"/>
          <w:color w:val="auto"/>
        </w:rPr>
        <w:t>. Whenever the Participating Company is required to credit deferred Compensation or Deferred Stock Units to the Account of a Participant, the Participating Company shall have the right to require the Participant to remit to the Participating Company an amount sufficient to satisfy any federal, state and local withholding tax requirements prior to the date on such deferred amounts shall be deemed credited to the Account of the Participant, or take any action whatever that it deems necessary to protect its interests with respect to tax liabilities. The Participating Company’s obligation to credit deferred Compensation to an Account or Deferred Stock Units to an RSU Account shall be conditioned on the Participant’s compliance, to the Participating Company’s satisfaction, with any withholding requirement. To the maximum</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60"/>
          </w:cols>
          <w:pgMar w:left="300" w:top="1127" w:right="339" w:bottom="1440" w:gutter="0" w:footer="0" w:header="0"/>
        </w:sectPr>
      </w:pPr>
    </w:p>
    <w:bookmarkStart w:id="185" w:name="page186"/>
    <w:bookmarkEnd w:id="185"/>
    <w:p>
      <w:pPr>
        <w:ind w:right="100"/>
        <w:spacing w:after="0" w:line="267" w:lineRule="auto"/>
        <w:rPr>
          <w:sz w:val="20"/>
          <w:szCs w:val="20"/>
          <w:color w:val="auto"/>
        </w:rPr>
      </w:pPr>
      <w:r>
        <w:rPr>
          <w:rFonts w:ascii="Times New Roman" w:cs="Times New Roman" w:eastAsia="Times New Roman" w:hAnsi="Times New Roman"/>
          <w:sz w:val="16"/>
          <w:szCs w:val="16"/>
          <w:color w:val="auto"/>
        </w:rPr>
        <w:t>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00" w:lineRule="exact"/>
        <w:rPr>
          <w:sz w:val="20"/>
          <w:szCs w:val="20"/>
          <w:color w:val="auto"/>
        </w:rPr>
      </w:pPr>
    </w:p>
    <w:p>
      <w:pPr>
        <w:ind w:right="40" w:firstLine="1019"/>
        <w:spacing w:after="0" w:line="223"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Subject to the rules of Section 11.3, the Company shall be entitled, if necessary or desirable, to withhold the amount of any tax, charge, or assessment attributable to the grant of any Award, the occurrence of a Vesting Date with respect to any Award, or distribution of all or any part of a Participant’s Account. The Company shall not be required to deliver Shares pursuant to any Award or distribute a Participant’s Account until it has been indemnified to its satisfaction for any such tax, charge, or assessment.</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11.3. </w:t>
      </w:r>
      <w:r>
        <w:rPr>
          <w:rFonts w:ascii="Times New Roman" w:cs="Times New Roman" w:eastAsia="Times New Roman" w:hAnsi="Times New Roman"/>
          <w:sz w:val="17"/>
          <w:szCs w:val="17"/>
          <w:u w:val="single" w:color="auto"/>
          <w:color w:val="auto"/>
        </w:rPr>
        <w:t>Payment of Tax Liabilities; Election to Withhold Shares or Pay Cash to Satisfy Tax Liability</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firstLine="1528"/>
        <w:spacing w:after="0" w:line="218" w:lineRule="auto"/>
        <w:rPr>
          <w:sz w:val="20"/>
          <w:szCs w:val="20"/>
          <w:color w:val="auto"/>
        </w:rPr>
      </w:pPr>
      <w:r>
        <w:rPr>
          <w:rFonts w:ascii="Times New Roman" w:cs="Times New Roman" w:eastAsia="Times New Roman" w:hAnsi="Times New Roman"/>
          <w:sz w:val="17"/>
          <w:szCs w:val="17"/>
          <w:color w:val="auto"/>
        </w:rPr>
        <w:t>11.3.1. In connection with the distribution of a Participant’s RSU Account, or if, under the terms of an Award, a Participant’s rights with respect to Restricted Stock Units become free of a substantial risk of forfeiture as the result of the Participant’s satisfaction of the age and service conditions for retirement eligibility, and, as a result thereof, employment tax liabilities arise, the Company shall have the right to (A) require the Participant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Participant’s compliance, to the Company’s satisfaction, with any withholding requirement.</w:t>
      </w:r>
    </w:p>
    <w:p>
      <w:pPr>
        <w:spacing w:after="0" w:line="123" w:lineRule="exact"/>
        <w:rPr>
          <w:sz w:val="20"/>
          <w:szCs w:val="20"/>
          <w:color w:val="auto"/>
        </w:rPr>
      </w:pPr>
    </w:p>
    <w:p>
      <w:pPr>
        <w:ind w:firstLine="1528"/>
        <w:spacing w:after="0" w:line="214" w:lineRule="auto"/>
        <w:rPr>
          <w:sz w:val="20"/>
          <w:szCs w:val="20"/>
          <w:color w:val="auto"/>
        </w:rPr>
      </w:pPr>
      <w:r>
        <w:rPr>
          <w:rFonts w:ascii="Times New Roman" w:cs="Times New Roman" w:eastAsia="Times New Roman" w:hAnsi="Times New Roman"/>
          <w:sz w:val="17"/>
          <w:szCs w:val="17"/>
          <w:color w:val="auto"/>
        </w:rPr>
        <w:t>11.3.2. If part of a Participant’s Award is subject to an Initial Deferral Election or a Regular Deferral Election, or, under the terms of an Award, a Participant’s rights with respect to Restricted Stock Units become free of a substantial risk of forfeiture as the result of the satisfaction of a performance or service condition, or the Participant’s satisfaction of the age and service conditions for retirement eligibility, and, as a result thereof, employment tax liabilities arise, then, except to the extent the Participant affirmatively elects otherwise as part of the Initial Deferral Election or Regular Deferral Election, the Participant shall be required to remit to the Company an amount sufficient to satisfy any federal, state and/or local withholding tax requirements. As part of the Participant’s Initial Deferral Election or Regular Deferral Election, the Participant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Section 11.3.2 shall be deemed allocated and offset against the number of Restricted Stock Units that may become subject to vesting under the terms of the Award on a basis pro rata to the Restricted Stock Units that give rise to the employment tax liabilities.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ARTICLE 12 </w:t>
      </w:r>
      <w:r>
        <w:rPr>
          <w:rFonts w:ascii="Times New Roman" w:cs="Times New Roman" w:eastAsia="Times New Roman" w:hAnsi="Times New Roman"/>
          <w:sz w:val="17"/>
          <w:szCs w:val="17"/>
          <w:color w:val="auto"/>
        </w:rPr>
        <w:t>– MISCELLANEOUS PROVISIONS</w:t>
      </w:r>
    </w:p>
    <w:p>
      <w:pPr>
        <w:spacing w:after="0" w:line="148" w:lineRule="exact"/>
        <w:rPr>
          <w:sz w:val="20"/>
          <w:szCs w:val="20"/>
          <w:color w:val="auto"/>
        </w:rPr>
      </w:pPr>
    </w:p>
    <w:p>
      <w:pPr>
        <w:ind w:right="460" w:firstLine="1019"/>
        <w:spacing w:after="0" w:line="238"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u w:val="single" w:color="auto"/>
          <w:color w:val="auto"/>
        </w:rPr>
        <w:t>No Right to Continued Employment</w:t>
      </w:r>
      <w:r>
        <w:rPr>
          <w:rFonts w:ascii="Times New Roman" w:cs="Times New Roman" w:eastAsia="Times New Roman" w:hAnsi="Times New Roman"/>
          <w:sz w:val="17"/>
          <w:szCs w:val="17"/>
          <w:color w:val="auto"/>
        </w:rPr>
        <w:t>. Nothing contained herein shall be construed as conferring upon any Participant the right to remain in service as a Non-Employee Director or Director Emeritus or in the employment of a Participating Company as an executive or in any other capacity.</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u w:val="single" w:color="auto"/>
          <w:color w:val="auto"/>
        </w:rPr>
        <w:t>Expenses of Plan</w:t>
      </w:r>
      <w:r>
        <w:rPr>
          <w:rFonts w:ascii="Times New Roman" w:cs="Times New Roman" w:eastAsia="Times New Roman" w:hAnsi="Times New Roman"/>
          <w:sz w:val="17"/>
          <w:szCs w:val="17"/>
          <w:color w:val="auto"/>
        </w:rPr>
        <w:t>. All expenses of the Plan shall be paid by the Participating Companies.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80"/>
          </w:cols>
          <w:pgMar w:left="300" w:top="1127" w:right="319" w:bottom="1440" w:gutter="0" w:footer="0" w:header="0"/>
        </w:sectPr>
      </w:pPr>
    </w:p>
    <w:bookmarkStart w:id="186" w:name="page187"/>
    <w:bookmarkEnd w:id="186"/>
    <w:p>
      <w:pPr>
        <w:ind w:right="180" w:firstLine="1019"/>
        <w:spacing w:after="0" w:line="238" w:lineRule="auto"/>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u w:val="single" w:color="auto"/>
          <w:color w:val="auto"/>
        </w:rPr>
        <w:t>Gender and Number</w:t>
      </w:r>
      <w:r>
        <w:rPr>
          <w:rFonts w:ascii="Times New Roman" w:cs="Times New Roman" w:eastAsia="Times New Roman" w:hAnsi="Times New Roman"/>
          <w:sz w:val="17"/>
          <w:szCs w:val="17"/>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Times New Roman" w:cs="Times New Roman" w:eastAsia="Times New Roman" w:hAnsi="Times New Roman"/>
          <w:sz w:val="17"/>
          <w:szCs w:val="17"/>
          <w:i w:val="1"/>
          <w:iCs w:val="1"/>
          <w:color w:val="auto"/>
        </w:rPr>
        <w:t>vice versa</w:t>
      </w:r>
      <w:r>
        <w:rPr>
          <w:rFonts w:ascii="Times New Roman" w:cs="Times New Roman" w:eastAsia="Times New Roman" w:hAnsi="Times New Roman"/>
          <w:sz w:val="17"/>
          <w:szCs w:val="17"/>
          <w:color w:val="auto"/>
        </w:rPr>
        <w:t>, as the context may require.</w:t>
      </w:r>
    </w:p>
    <w:p>
      <w:pPr>
        <w:spacing w:after="0" w:line="122" w:lineRule="exact"/>
        <w:rPr>
          <w:sz w:val="20"/>
          <w:szCs w:val="20"/>
          <w:color w:val="auto"/>
        </w:rPr>
      </w:pPr>
    </w:p>
    <w:p>
      <w:pPr>
        <w:ind w:right="180" w:firstLine="1019"/>
        <w:spacing w:after="0" w:line="228" w:lineRule="auto"/>
        <w:rPr>
          <w:sz w:val="20"/>
          <w:szCs w:val="20"/>
          <w:color w:val="auto"/>
        </w:rPr>
      </w:pPr>
      <w:r>
        <w:rPr>
          <w:rFonts w:ascii="Times New Roman" w:cs="Times New Roman" w:eastAsia="Times New Roman" w:hAnsi="Times New Roman"/>
          <w:sz w:val="17"/>
          <w:szCs w:val="17"/>
          <w:color w:val="auto"/>
        </w:rPr>
        <w:t xml:space="preserve">12.4. </w:t>
      </w:r>
      <w:r>
        <w:rPr>
          <w:rFonts w:ascii="Times New Roman" w:cs="Times New Roman" w:eastAsia="Times New Roman" w:hAnsi="Times New Roman"/>
          <w:sz w:val="17"/>
          <w:szCs w:val="17"/>
          <w:u w:val="single" w:color="auto"/>
          <w:color w:val="auto"/>
        </w:rPr>
        <w:t>Law Governing Construction</w:t>
      </w:r>
      <w:r>
        <w:rPr>
          <w:rFonts w:ascii="Times New Roman" w:cs="Times New Roman" w:eastAsia="Times New Roman" w:hAnsi="Times New Roman"/>
          <w:sz w:val="17"/>
          <w:szCs w:val="17"/>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22" w:lineRule="exact"/>
        <w:rPr>
          <w:sz w:val="20"/>
          <w:szCs w:val="20"/>
          <w:color w:val="auto"/>
        </w:rPr>
      </w:pPr>
    </w:p>
    <w:p>
      <w:pPr>
        <w:ind w:right="320" w:firstLine="1019"/>
        <w:spacing w:after="0" w:line="238" w:lineRule="auto"/>
        <w:rPr>
          <w:sz w:val="20"/>
          <w:szCs w:val="20"/>
          <w:color w:val="auto"/>
        </w:rPr>
      </w:pPr>
      <w:r>
        <w:rPr>
          <w:rFonts w:ascii="Times New Roman" w:cs="Times New Roman" w:eastAsia="Times New Roman" w:hAnsi="Times New Roman"/>
          <w:sz w:val="17"/>
          <w:szCs w:val="17"/>
          <w:color w:val="auto"/>
        </w:rPr>
        <w:t xml:space="preserve">12.5. </w:t>
      </w:r>
      <w:r>
        <w:rPr>
          <w:rFonts w:ascii="Times New Roman" w:cs="Times New Roman" w:eastAsia="Times New Roman" w:hAnsi="Times New Roman"/>
          <w:sz w:val="17"/>
          <w:szCs w:val="17"/>
          <w:u w:val="single" w:color="auto"/>
          <w:color w:val="auto"/>
        </w:rPr>
        <w:t>Headings Not a Part Hereof</w:t>
      </w:r>
      <w:r>
        <w:rPr>
          <w:rFonts w:ascii="Times New Roman" w:cs="Times New Roman" w:eastAsia="Times New Roman" w:hAnsi="Times New Roman"/>
          <w:sz w:val="17"/>
          <w:szCs w:val="17"/>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22" w:lineRule="exact"/>
        <w:rPr>
          <w:sz w:val="20"/>
          <w:szCs w:val="20"/>
          <w:color w:val="auto"/>
        </w:rPr>
      </w:pPr>
    </w:p>
    <w:p>
      <w:pPr>
        <w:ind w:firstLine="1019"/>
        <w:spacing w:after="0" w:line="238" w:lineRule="auto"/>
        <w:rPr>
          <w:sz w:val="20"/>
          <w:szCs w:val="20"/>
          <w:color w:val="auto"/>
        </w:rPr>
      </w:pPr>
      <w:r>
        <w:rPr>
          <w:rFonts w:ascii="Times New Roman" w:cs="Times New Roman" w:eastAsia="Times New Roman" w:hAnsi="Times New Roman"/>
          <w:sz w:val="17"/>
          <w:szCs w:val="17"/>
          <w:color w:val="auto"/>
        </w:rPr>
        <w:t xml:space="preserve">12.6. </w:t>
      </w:r>
      <w:r>
        <w:rPr>
          <w:rFonts w:ascii="Times New Roman" w:cs="Times New Roman" w:eastAsia="Times New Roman" w:hAnsi="Times New Roman"/>
          <w:sz w:val="17"/>
          <w:szCs w:val="17"/>
          <w:u w:val="single" w:color="auto"/>
          <w:color w:val="auto"/>
        </w:rPr>
        <w:t>Severability of Provisions</w:t>
      </w:r>
      <w:r>
        <w:rPr>
          <w:rFonts w:ascii="Times New Roman" w:cs="Times New Roman" w:eastAsia="Times New Roman" w:hAnsi="Times New Roman"/>
          <w:sz w:val="17"/>
          <w:szCs w:val="17"/>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13 – EFFECTIVE DATE</w:t>
      </w:r>
    </w:p>
    <w:p>
      <w:pPr>
        <w:spacing w:after="0" w:line="14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7"/>
          <w:szCs w:val="17"/>
          <w:color w:val="auto"/>
        </w:rPr>
        <w:t>The original effective date of the Plan is January 1, 2005. The amended and restated Plan document approved and adopted on the Restatement Effective Date shall be effective as of the Restatement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80"/>
          </w:cols>
          <w:pgMar w:left="300" w:top="1127" w:right="31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7"/>
          <w:szCs w:val="17"/>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FORM OF COMCAST CORPORATION</w:t>
      </w:r>
    </w:p>
    <w:p>
      <w:pPr>
        <w:ind w:left="4100"/>
        <w:spacing w:after="0"/>
        <w:rPr>
          <w:sz w:val="20"/>
          <w:szCs w:val="20"/>
          <w:color w:val="auto"/>
        </w:rPr>
      </w:pPr>
      <w:r>
        <w:rPr>
          <w:rFonts w:ascii="Times New Roman" w:cs="Times New Roman" w:eastAsia="Times New Roman" w:hAnsi="Times New Roman"/>
          <w:sz w:val="17"/>
          <w:szCs w:val="17"/>
          <w:b w:val="1"/>
          <w:bCs w:val="1"/>
          <w:color w:val="auto"/>
        </w:rPr>
        <w:t>PERFORMANCE STOCK UNIT AWARD</w:t>
      </w:r>
    </w:p>
    <w:p>
      <w:pPr>
        <w:spacing w:after="0" w:line="73" w:lineRule="exact"/>
        <w:rPr>
          <w:sz w:val="20"/>
          <w:szCs w:val="20"/>
          <w:color w:val="auto"/>
        </w:rPr>
      </w:pPr>
    </w:p>
    <w:p>
      <w:pPr>
        <w:ind w:right="500" w:firstLine="509"/>
        <w:spacing w:after="0" w:line="238" w:lineRule="auto"/>
        <w:rPr>
          <w:sz w:val="20"/>
          <w:szCs w:val="20"/>
          <w:color w:val="auto"/>
        </w:rPr>
      </w:pPr>
      <w:r>
        <w:rPr>
          <w:rFonts w:ascii="Times New Roman" w:cs="Times New Roman" w:eastAsia="Times New Roman" w:hAnsi="Times New Roman"/>
          <w:sz w:val="17"/>
          <w:szCs w:val="17"/>
          <w:color w:val="auto"/>
        </w:rPr>
        <w:t>This Performance Stock Unit Award Agreement, dated [●] (together with all schedules hereto,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being entered into by and between Comcast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Grantee.</w:t>
      </w:r>
    </w:p>
    <w:p>
      <w:pPr>
        <w:spacing w:after="0" w:line="58" w:lineRule="exact"/>
        <w:rPr>
          <w:sz w:val="20"/>
          <w:szCs w:val="20"/>
          <w:color w:val="auto"/>
        </w:rPr>
      </w:pPr>
    </w:p>
    <w:p>
      <w:pPr>
        <w:ind w:right="440" w:firstLine="509"/>
        <w:spacing w:after="0" w:line="238" w:lineRule="auto"/>
        <w:rPr>
          <w:sz w:val="20"/>
          <w:szCs w:val="20"/>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The following terms have the meanings ascribed to them below. Capitalized terms used in this Agreement but not defined herein have the meanings given to them in the Plan.</w:t>
      </w:r>
    </w:p>
    <w:p>
      <w:pPr>
        <w:spacing w:after="0" w:line="69" w:lineRule="exact"/>
        <w:rPr>
          <w:sz w:val="20"/>
          <w:szCs w:val="20"/>
          <w:color w:val="auto"/>
        </w:rPr>
      </w:pPr>
    </w:p>
    <w:p>
      <w:pPr>
        <w:ind w:right="260" w:firstLine="1019"/>
        <w:spacing w:after="0" w:line="228" w:lineRule="auto"/>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u w:val="single" w:color="auto"/>
          <w:color w:val="auto"/>
        </w:rPr>
        <w:t>Account</w:t>
      </w:r>
      <w:r>
        <w:rPr>
          <w:rFonts w:ascii="Times New Roman" w:cs="Times New Roman" w:eastAsia="Times New Roman" w:hAnsi="Times New Roman"/>
          <w:sz w:val="17"/>
          <w:szCs w:val="17"/>
          <w:color w:val="auto"/>
        </w:rPr>
        <w:t>” means an unfunded bookkeeping account established pursuant to Paragraph 6(e) and maintained by the Committee in the name of Grantee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[DC] Plan.</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means the award of Performance Stock Units granted pursuant to this Agreement.</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91" w:lineRule="exact"/>
        <w:rPr>
          <w:sz w:val="20"/>
          <w:szCs w:val="20"/>
          <w:color w:val="auto"/>
        </w:rPr>
      </w:pPr>
    </w:p>
    <w:p>
      <w:pPr>
        <w:ind w:firstLine="1019"/>
        <w:spacing w:after="0" w:line="223" w:lineRule="auto"/>
        <w:rPr>
          <w:sz w:val="20"/>
          <w:szCs w:val="20"/>
          <w:color w:val="auto"/>
        </w:rPr>
      </w:pPr>
      <w:r>
        <w:rPr>
          <w:rFonts w:ascii="Times New Roman" w:cs="Times New Roman" w:eastAsia="Times New Roman" w:hAnsi="Times New Roman"/>
          <w:sz w:val="17"/>
          <w:szCs w:val="17"/>
          <w:color w:val="auto"/>
        </w:rPr>
        <w:t>(d)“</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has the meaning set forth in the Grantee’s employment agreement with the Company, or, if no such agreement exists or has expired prior to such time, then “Cause” means (i) fraud; (ii) embezzlement or other misappropriation of funds; (iii) gross negligence or willful misconduct in the performance of duties; (iv) self-dealing; (v) material misrepresentation with respect to the Company; (vi) conviction of a felony; or (vii) material violation of the Employee Handbook, the Code of Conduct or any other written Company policy.</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means the Compensation Committee of the Board or its delegate.</w:t>
      </w:r>
    </w:p>
    <w:p>
      <w:pPr>
        <w:spacing w:after="0" w:line="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Date of Grant</w:t>
      </w:r>
      <w:r>
        <w:rPr>
          <w:rFonts w:ascii="Times New Roman" w:cs="Times New Roman" w:eastAsia="Times New Roman" w:hAnsi="Times New Roman"/>
          <w:sz w:val="17"/>
          <w:szCs w:val="17"/>
          <w:color w:val="auto"/>
        </w:rPr>
        <w:t>” means the date first set forth above, on which the Company awarded the Performance Stock Units to Grantee.</w:t>
      </w:r>
    </w:p>
    <w:p>
      <w:pPr>
        <w:spacing w:after="0" w:line="91" w:lineRule="exact"/>
        <w:rPr>
          <w:sz w:val="20"/>
          <w:szCs w:val="20"/>
          <w:color w:val="auto"/>
        </w:rPr>
      </w:pPr>
    </w:p>
    <w:p>
      <w:pPr>
        <w:ind w:right="200" w:firstLine="1023"/>
        <w:spacing w:after="0" w:line="238" w:lineRule="auto"/>
        <w:tabs>
          <w:tab w:leader="none" w:pos="1259"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[“DC Plan” means the Comcast Corporation 2005 Deferred Compensation Plan (as amended from time to time and including any successor plan thereto).][Reserved]</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w:t>
      </w:r>
      <w:r>
        <w:rPr>
          <w:rFonts w:ascii="Times New Roman" w:cs="Times New Roman" w:eastAsia="Times New Roman" w:hAnsi="Times New Roman"/>
          <w:sz w:val="17"/>
          <w:szCs w:val="17"/>
          <w:u w:val="single" w:color="auto"/>
          <w:color w:val="auto"/>
        </w:rPr>
        <w:t>Deferred Stock Units</w:t>
      </w:r>
      <w:r>
        <w:rPr>
          <w:rFonts w:ascii="Times New Roman" w:cs="Times New Roman" w:eastAsia="Times New Roman" w:hAnsi="Times New Roman"/>
          <w:sz w:val="17"/>
          <w:szCs w:val="17"/>
          <w:color w:val="auto"/>
        </w:rPr>
        <w:t>” means the number of hypothetical Shares subject to an Election.</w:t>
      </w:r>
    </w:p>
    <w:p>
      <w:pPr>
        <w:spacing w:after="0" w:line="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(j)“</w:t>
      </w:r>
      <w:r>
        <w:rPr>
          <w:rFonts w:ascii="Times New Roman" w:cs="Times New Roman" w:eastAsia="Times New Roman" w:hAnsi="Times New Roman"/>
          <w:sz w:val="17"/>
          <w:szCs w:val="17"/>
          <w:u w:val="single" w:color="auto"/>
          <w:color w:val="auto"/>
        </w:rPr>
        <w:t>Earned PSUs</w:t>
      </w:r>
      <w:r>
        <w:rPr>
          <w:rFonts w:ascii="Times New Roman" w:cs="Times New Roman" w:eastAsia="Times New Roman" w:hAnsi="Times New Roman"/>
          <w:sz w:val="17"/>
          <w:szCs w:val="17"/>
          <w:color w:val="auto"/>
        </w:rPr>
        <w:t>” has the meaning set forth on the attached Long-Term Incentive Awards Summary Schedule.</w:t>
      </w:r>
    </w:p>
    <w:p>
      <w:pPr>
        <w:spacing w:after="0" w:line="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(k)“</w:t>
      </w:r>
      <w:r>
        <w:rPr>
          <w:rFonts w:ascii="Times New Roman" w:cs="Times New Roman" w:eastAsia="Times New Roman" w:hAnsi="Times New Roman"/>
          <w:sz w:val="16"/>
          <w:szCs w:val="16"/>
          <w:u w:val="single" w:color="auto"/>
          <w:color w:val="auto"/>
        </w:rPr>
        <w:t>Employer</w:t>
      </w:r>
      <w:r>
        <w:rPr>
          <w:rFonts w:ascii="Times New Roman" w:cs="Times New Roman" w:eastAsia="Times New Roman" w:hAnsi="Times New Roman"/>
          <w:sz w:val="16"/>
          <w:szCs w:val="16"/>
          <w:color w:val="auto"/>
        </w:rPr>
        <w:t>” means the Company, the Subsidiary Company or the Affiliate of the Company for which Grantee is performing services on the Vesting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(l)“</w:t>
      </w:r>
      <w:r>
        <w:rPr>
          <w:rFonts w:ascii="Times New Roman" w:cs="Times New Roman" w:eastAsia="Times New Roman" w:hAnsi="Times New Roman"/>
          <w:sz w:val="17"/>
          <w:szCs w:val="17"/>
          <w:u w:val="single" w:color="auto"/>
          <w:color w:val="auto"/>
        </w:rPr>
        <w:t>Grantee</w:t>
      </w:r>
      <w:r>
        <w:rPr>
          <w:rFonts w:ascii="Times New Roman" w:cs="Times New Roman" w:eastAsia="Times New Roman" w:hAnsi="Times New Roman"/>
          <w:sz w:val="17"/>
          <w:szCs w:val="17"/>
          <w:color w:val="auto"/>
        </w:rPr>
        <w:t>” means the individual to whom this Award has been granted, as identified on the attached Long-Term Incentive Awards Summary</w:t>
      </w:r>
    </w:p>
    <w:p>
      <w:pPr>
        <w:spacing w:after="0"/>
        <w:rPr>
          <w:sz w:val="20"/>
          <w:szCs w:val="20"/>
          <w:color w:val="auto"/>
        </w:rPr>
      </w:pPr>
      <w:r>
        <w:rPr>
          <w:rFonts w:ascii="Times New Roman" w:cs="Times New Roman" w:eastAsia="Times New Roman" w:hAnsi="Times New Roman"/>
          <w:sz w:val="17"/>
          <w:szCs w:val="17"/>
          <w:color w:val="auto"/>
        </w:rPr>
        <w:t>Schedule.</w:t>
      </w:r>
    </w:p>
    <w:p>
      <w:pPr>
        <w:spacing w:after="0" w:line="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(m)“</w:t>
      </w:r>
      <w:r>
        <w:rPr>
          <w:rFonts w:ascii="Times New Roman" w:cs="Times New Roman" w:eastAsia="Times New Roman" w:hAnsi="Times New Roman"/>
          <w:sz w:val="17"/>
          <w:szCs w:val="17"/>
          <w:u w:val="single" w:color="auto"/>
          <w:color w:val="auto"/>
        </w:rPr>
        <w:t>HSR Act</w:t>
      </w:r>
      <w:r>
        <w:rPr>
          <w:rFonts w:ascii="Times New Roman" w:cs="Times New Roman" w:eastAsia="Times New Roman" w:hAnsi="Times New Roman"/>
          <w:sz w:val="17"/>
          <w:szCs w:val="17"/>
          <w:color w:val="auto"/>
        </w:rPr>
        <w:t>” means the Hart-Scott-Rodino Antitrust Improvements Act of 1976, as amended.</w:t>
      </w:r>
    </w:p>
    <w:p>
      <w:pPr>
        <w:spacing w:after="0" w:line="91" w:lineRule="exact"/>
        <w:rPr>
          <w:sz w:val="20"/>
          <w:szCs w:val="20"/>
          <w:color w:val="auto"/>
        </w:rPr>
      </w:pPr>
    </w:p>
    <w:p>
      <w:pPr>
        <w:ind w:right="140" w:firstLine="1019"/>
        <w:spacing w:after="0" w:line="263" w:lineRule="auto"/>
        <w:rPr>
          <w:sz w:val="20"/>
          <w:szCs w:val="20"/>
          <w:color w:val="auto"/>
        </w:rPr>
      </w:pPr>
      <w:r>
        <w:rPr>
          <w:rFonts w:ascii="Times New Roman" w:cs="Times New Roman" w:eastAsia="Times New Roman" w:hAnsi="Times New Roman"/>
          <w:sz w:val="17"/>
          <w:szCs w:val="17"/>
          <w:color w:val="auto"/>
        </w:rPr>
        <w:t>(n)“</w:t>
      </w:r>
      <w:r>
        <w:rPr>
          <w:rFonts w:ascii="Times New Roman" w:cs="Times New Roman" w:eastAsia="Times New Roman" w:hAnsi="Times New Roman"/>
          <w:sz w:val="17"/>
          <w:szCs w:val="17"/>
          <w:u w:val="single" w:color="auto"/>
          <w:color w:val="auto"/>
        </w:rPr>
        <w:t>Long-Term Incentive Awards Summary Schedule</w:t>
      </w:r>
      <w:r>
        <w:rPr>
          <w:rFonts w:ascii="Times New Roman" w:cs="Times New Roman" w:eastAsia="Times New Roman" w:hAnsi="Times New Roman"/>
          <w:sz w:val="17"/>
          <w:szCs w:val="17"/>
          <w:color w:val="auto"/>
        </w:rPr>
        <w:t>” means the schedule attached hereto, which sets forth specific information relating to the grant and vesting of this Award (including the Service Condition and the Performance Condition applicable to this Award).</w:t>
      </w:r>
    </w:p>
    <w:p>
      <w:pPr>
        <w:sectPr>
          <w:pgSz w:w="11900" w:h="16838" w:orient="portrait"/>
          <w:cols w:equalWidth="0" w:num="1">
            <w:col w:w="11280"/>
          </w:cols>
          <w:pgMar w:left="300" w:top="104" w:right="319" w:bottom="1440" w:gutter="0" w:footer="0" w:header="0"/>
        </w:sectPr>
      </w:pPr>
    </w:p>
    <w:bookmarkStart w:id="188" w:name="page189"/>
    <w:bookmarkEnd w:id="188"/>
    <w:p>
      <w:pPr>
        <w:ind w:left="1020"/>
        <w:spacing w:after="0"/>
        <w:rPr>
          <w:sz w:val="20"/>
          <w:szCs w:val="20"/>
          <w:color w:val="auto"/>
        </w:rPr>
      </w:pPr>
      <w:r>
        <w:rPr>
          <w:rFonts w:ascii="Times New Roman" w:cs="Times New Roman" w:eastAsia="Times New Roman" w:hAnsi="Times New Roman"/>
          <w:sz w:val="17"/>
          <w:szCs w:val="17"/>
          <w:color w:val="auto"/>
        </w:rPr>
        <w:t>(o)“</w:t>
      </w:r>
      <w:r>
        <w:rPr>
          <w:rFonts w:ascii="Times New Roman" w:cs="Times New Roman" w:eastAsia="Times New Roman" w:hAnsi="Times New Roman"/>
          <w:sz w:val="17"/>
          <w:szCs w:val="17"/>
          <w:u w:val="single" w:color="auto"/>
          <w:color w:val="auto"/>
        </w:rPr>
        <w:t>Performance Condition</w:t>
      </w:r>
      <w:r>
        <w:rPr>
          <w:rFonts w:ascii="Times New Roman" w:cs="Times New Roman" w:eastAsia="Times New Roman" w:hAnsi="Times New Roman"/>
          <w:sz w:val="17"/>
          <w:szCs w:val="17"/>
          <w:color w:val="auto"/>
        </w:rPr>
        <w:t>” has the meaning set forth on the attached Long-Term Incentive Awards Summary Schedule.</w:t>
      </w:r>
    </w:p>
    <w:p>
      <w:pPr>
        <w:spacing w:after="0" w:line="91" w:lineRule="exact"/>
        <w:rPr>
          <w:sz w:val="20"/>
          <w:szCs w:val="20"/>
          <w:color w:val="auto"/>
        </w:rPr>
      </w:pPr>
    </w:p>
    <w:p>
      <w:pPr>
        <w:ind w:right="560" w:firstLine="1019"/>
        <w:spacing w:after="0" w:line="238" w:lineRule="auto"/>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7"/>
          <w:szCs w:val="17"/>
          <w:u w:val="single" w:color="auto"/>
          <w:color w:val="auto"/>
        </w:rPr>
        <w:t>Performance Stock Units</w:t>
      </w:r>
      <w:r>
        <w:rPr>
          <w:rFonts w:ascii="Times New Roman" w:cs="Times New Roman" w:eastAsia="Times New Roman" w:hAnsi="Times New Roman"/>
          <w:sz w:val="17"/>
          <w:szCs w:val="17"/>
          <w:color w:val="auto"/>
        </w:rPr>
        <w:t>” means the Restricted Stock Units subject to Service Conditions and Performance Conditions granted to Grantee pursuant to this Award.</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(q)“</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 corporation, a partnership, an association, a trust or any other entity or organization.</w:t>
      </w:r>
    </w:p>
    <w:p>
      <w:pPr>
        <w:spacing w:after="0" w:line="91" w:lineRule="exact"/>
        <w:rPr>
          <w:sz w:val="20"/>
          <w:szCs w:val="20"/>
          <w:color w:val="auto"/>
        </w:rPr>
      </w:pPr>
    </w:p>
    <w:p>
      <w:pPr>
        <w:ind w:right="340" w:firstLine="1019"/>
        <w:spacing w:after="0" w:line="238" w:lineRule="auto"/>
        <w:rPr>
          <w:sz w:val="20"/>
          <w:szCs w:val="20"/>
          <w:color w:val="auto"/>
        </w:rPr>
      </w:pPr>
      <w:r>
        <w:rPr>
          <w:rFonts w:ascii="Times New Roman" w:cs="Times New Roman" w:eastAsia="Times New Roman" w:hAnsi="Times New Roman"/>
          <w:sz w:val="17"/>
          <w:szCs w:val="17"/>
          <w:color w:val="auto"/>
        </w:rPr>
        <w:t>(r)“</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the Comcast Corporation [2002 Restricted Stock Plan][2023 Omnibus Equity Incentive Plan] (as amended from time to time and including any successor plan thereto), incorporated herein by reference.</w:t>
      </w:r>
    </w:p>
    <w:p>
      <w:pPr>
        <w:spacing w:after="0" w:line="69" w:lineRule="exact"/>
        <w:rPr>
          <w:sz w:val="20"/>
          <w:szCs w:val="20"/>
          <w:color w:val="auto"/>
        </w:rPr>
      </w:pPr>
    </w:p>
    <w:p>
      <w:pPr>
        <w:ind w:right="100" w:firstLine="1023"/>
        <w:spacing w:after="0" w:line="223" w:lineRule="auto"/>
        <w:tabs>
          <w:tab w:leader="none" w:pos="124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 Rata Amount”</w:t>
      </w:r>
      <w:r>
        <w:rPr>
          <w:rFonts w:ascii="Times New Roman" w:cs="Times New Roman" w:eastAsia="Times New Roman" w:hAnsi="Times New Roman"/>
          <w:sz w:val="17"/>
          <w:szCs w:val="17"/>
          <w:color w:val="auto"/>
        </w:rPr>
        <w:t xml:space="preserve"> means a fraction, (i) the numerator of which is the sum of (A) the number of calendar days elapsed during the period starting with and inclusive of [●] and ending on the effective date of the Grantee’s Termination of Employment plus (B) the number of days of continued vesting to which Grantee is entitled upon a Termination of Employment by the Company without Cause or by the Grantee for Good Reason (as defined in the Grantee’s employment agreement) pursuant to the Grantee’s employment agreement (if any) (but in no event to exceed [●] days) and (ii) the denominator of which is [●].]</w:t>
      </w:r>
    </w:p>
    <w:p>
      <w:pPr>
        <w:spacing w:after="0" w:line="59" w:lineRule="exact"/>
        <w:rPr>
          <w:sz w:val="20"/>
          <w:szCs w:val="20"/>
          <w:color w:val="auto"/>
        </w:rPr>
      </w:pPr>
    </w:p>
    <w:p>
      <w:pPr>
        <w:ind w:right="60" w:firstLine="1019"/>
        <w:spacing w:after="0" w:line="228" w:lineRule="auto"/>
        <w:rPr>
          <w:sz w:val="20"/>
          <w:szCs w:val="20"/>
          <w:color w:val="auto"/>
        </w:rPr>
      </w:pPr>
      <w:r>
        <w:rPr>
          <w:rFonts w:ascii="Times New Roman" w:cs="Times New Roman" w:eastAsia="Times New Roman" w:hAnsi="Times New Roman"/>
          <w:sz w:val="17"/>
          <w:szCs w:val="17"/>
          <w:color w:val="auto"/>
        </w:rPr>
        <w:t>(t)“</w:t>
      </w:r>
      <w:r>
        <w:rPr>
          <w:rFonts w:ascii="Times New Roman" w:cs="Times New Roman" w:eastAsia="Times New Roman" w:hAnsi="Times New Roman"/>
          <w:sz w:val="17"/>
          <w:szCs w:val="17"/>
          <w:u w:val="single" w:color="auto"/>
          <w:color w:val="auto"/>
        </w:rPr>
        <w:t>Retirement Termination</w:t>
      </w:r>
      <w:r>
        <w:rPr>
          <w:rFonts w:ascii="Times New Roman" w:cs="Times New Roman" w:eastAsia="Times New Roman" w:hAnsi="Times New Roman"/>
          <w:sz w:val="17"/>
          <w:szCs w:val="17"/>
          <w:color w:val="auto"/>
        </w:rPr>
        <w:t>” means Grantee’s Termination of Employment for any reason (other than (i) due to Grantee’s death or Disability or (ii) by the applicable Participating Company for Cause) at such time when the sum of Grantee’s age and completed Years of Service equals or exceeds [●]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Grantee has at least reached age [●] and completed [●] or more Years of Service).</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(u)“</w:t>
      </w:r>
      <w:r>
        <w:rPr>
          <w:rFonts w:ascii="Times New Roman" w:cs="Times New Roman" w:eastAsia="Times New Roman" w:hAnsi="Times New Roman"/>
          <w:sz w:val="17"/>
          <w:szCs w:val="17"/>
          <w:u w:val="single" w:color="auto"/>
          <w:color w:val="auto"/>
        </w:rPr>
        <w:t>Rule 16b-3</w:t>
      </w:r>
      <w:r>
        <w:rPr>
          <w:rFonts w:ascii="Times New Roman" w:cs="Times New Roman" w:eastAsia="Times New Roman" w:hAnsi="Times New Roman"/>
          <w:sz w:val="17"/>
          <w:szCs w:val="17"/>
          <w:color w:val="auto"/>
        </w:rPr>
        <w:t>” means Rule 16b-3 promulgated under the 1934 Act, as in effect from time to time.</w:t>
      </w:r>
    </w:p>
    <w:p>
      <w:pPr>
        <w:spacing w:after="0" w:line="91" w:lineRule="exact"/>
        <w:rPr>
          <w:sz w:val="20"/>
          <w:szCs w:val="20"/>
          <w:color w:val="auto"/>
        </w:rPr>
      </w:pPr>
    </w:p>
    <w:p>
      <w:pPr>
        <w:ind w:left="1020" w:right="2160" w:firstLine="3"/>
        <w:spacing w:after="0" w:line="347" w:lineRule="auto"/>
        <w:tabs>
          <w:tab w:leader="none" w:pos="126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 Condition</w:t>
      </w:r>
      <w:r>
        <w:rPr>
          <w:rFonts w:ascii="Times New Roman" w:cs="Times New Roman" w:eastAsia="Times New Roman" w:hAnsi="Times New Roman"/>
          <w:sz w:val="17"/>
          <w:szCs w:val="17"/>
          <w:color w:val="auto"/>
        </w:rPr>
        <w:t>” has the meaning set forth on the attached Long-Term Incentive Awards Summary Schedule. (w)“</w:t>
      </w:r>
      <w:r>
        <w:rPr>
          <w:rFonts w:ascii="Times New Roman" w:cs="Times New Roman" w:eastAsia="Times New Roman" w:hAnsi="Times New Roman"/>
          <w:sz w:val="17"/>
          <w:szCs w:val="17"/>
          <w:u w:val="single" w:color="auto"/>
          <w:color w:val="auto"/>
        </w:rPr>
        <w:t>Service Vesting Date</w:t>
      </w:r>
      <w:r>
        <w:rPr>
          <w:rFonts w:ascii="Times New Roman" w:cs="Times New Roman" w:eastAsia="Times New Roman" w:hAnsi="Times New Roman"/>
          <w:sz w:val="17"/>
          <w:szCs w:val="17"/>
          <w:color w:val="auto"/>
        </w:rPr>
        <w:t>” has the meaning set forth on the attached Long-Term Incentive Awards Summary Schedule. (x)“</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mean shares of the Company’s Class A Common Stock, par value $.01 per share.</w:t>
      </w:r>
    </w:p>
    <w:p>
      <w:pPr>
        <w:spacing w:after="0" w:line="1" w:lineRule="exact"/>
        <w:rPr>
          <w:sz w:val="20"/>
          <w:szCs w:val="20"/>
          <w:color w:val="auto"/>
        </w:rPr>
      </w:pPr>
    </w:p>
    <w:p>
      <w:pPr>
        <w:ind w:firstLine="1019"/>
        <w:spacing w:after="0" w:line="217" w:lineRule="auto"/>
        <w:rPr>
          <w:sz w:val="20"/>
          <w:szCs w:val="20"/>
          <w:color w:val="auto"/>
        </w:rPr>
      </w:pPr>
      <w:r>
        <w:rPr>
          <w:rFonts w:ascii="Times New Roman" w:cs="Times New Roman" w:eastAsia="Times New Roman" w:hAnsi="Times New Roman"/>
          <w:sz w:val="17"/>
          <w:szCs w:val="17"/>
          <w:color w:val="auto"/>
        </w:rPr>
        <w:t>(y)“</w:t>
      </w:r>
      <w:r>
        <w:rPr>
          <w:rFonts w:ascii="Times New Roman" w:cs="Times New Roman" w:eastAsia="Times New Roman" w:hAnsi="Times New Roman"/>
          <w:sz w:val="17"/>
          <w:szCs w:val="17"/>
          <w:u w:val="single" w:color="auto"/>
          <w:color w:val="auto"/>
        </w:rPr>
        <w:t>Termination of Employment</w:t>
      </w:r>
      <w:r>
        <w:rPr>
          <w:rFonts w:ascii="Times New Roman" w:cs="Times New Roman" w:eastAsia="Times New Roman" w:hAnsi="Times New Roman"/>
          <w:sz w:val="17"/>
          <w:szCs w:val="17"/>
          <w:color w:val="auto"/>
        </w:rPr>
        <w:t>” means Grantee’s termination of employment with the Participating Companies. For purposes of the Plan and this Award, Grantee’s Termination of Employment occurs on the date Grantee ceases to have a regular obligation to perform services for the Participating Companies, without regard to whether (i) Grantee continues on the payroll of any Participating Company for regular, severance or other pay or (ii) Grantee continues to participate in one or more health and welfare plans maintained by any Participating Company on the same basis as active employees. Whether Grantee ceases to have a regular obligation to perform services for the Participating Companies shall be determined by the Committee in its sole discretion. Notwithstanding the foregoing, if Grantee is a party to an employment agreement or severance agreement with any Participating Company which establishes the effective date of Grantee’s termination of employment for purposes of this Award, that date shall apply.</w:t>
      </w:r>
    </w:p>
    <w:p>
      <w:pPr>
        <w:spacing w:after="0" w:line="57" w:lineRule="exact"/>
        <w:rPr>
          <w:sz w:val="20"/>
          <w:szCs w:val="20"/>
          <w:color w:val="auto"/>
        </w:rPr>
      </w:pPr>
    </w:p>
    <w:p>
      <w:pPr>
        <w:ind w:right="360" w:firstLine="1019"/>
        <w:spacing w:after="0" w:line="238" w:lineRule="auto"/>
        <w:rPr>
          <w:sz w:val="20"/>
          <w:szCs w:val="20"/>
          <w:color w:val="auto"/>
        </w:rPr>
      </w:pPr>
      <w:r>
        <w:rPr>
          <w:rFonts w:ascii="Times New Roman" w:cs="Times New Roman" w:eastAsia="Times New Roman" w:hAnsi="Times New Roman"/>
          <w:sz w:val="17"/>
          <w:szCs w:val="17"/>
          <w:color w:val="auto"/>
        </w:rPr>
        <w:t>(z)“</w:t>
      </w:r>
      <w:r>
        <w:rPr>
          <w:rFonts w:ascii="Times New Roman" w:cs="Times New Roman" w:eastAsia="Times New Roman" w:hAnsi="Times New Roman"/>
          <w:sz w:val="17"/>
          <w:szCs w:val="17"/>
          <w:u w:val="single" w:color="auto"/>
          <w:color w:val="auto"/>
        </w:rPr>
        <w:t>Vesting Date</w:t>
      </w:r>
      <w:r>
        <w:rPr>
          <w:rFonts w:ascii="Times New Roman" w:cs="Times New Roman" w:eastAsia="Times New Roman" w:hAnsi="Times New Roman"/>
          <w:sz w:val="17"/>
          <w:szCs w:val="17"/>
          <w:color w:val="auto"/>
        </w:rPr>
        <w:t>” means the date(s) on which both of the Service Condition and the Performance Condition applicable to any Performance Stock Units are satisfied (or deemed satisfied) pursuant to the terms of this Agreement (including the Long-Term Incentive Awards Summary Schedule).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2-</w:t>
      </w:r>
    </w:p>
    <w:p>
      <w:pPr>
        <w:sectPr>
          <w:pgSz w:w="11900" w:h="16838" w:orient="portrait"/>
          <w:cols w:equalWidth="0" w:num="1">
            <w:col w:w="11260"/>
          </w:cols>
          <w:pgMar w:left="300" w:top="1127" w:right="339" w:bottom="1440" w:gutter="0" w:footer="0" w:header="0"/>
        </w:sectPr>
      </w:pPr>
    </w:p>
    <w:bookmarkStart w:id="189" w:name="page190"/>
    <w:bookmarkEnd w:id="189"/>
    <w:p>
      <w:pPr>
        <w:ind w:left="1020"/>
        <w:spacing w:after="0"/>
        <w:rPr>
          <w:sz w:val="20"/>
          <w:szCs w:val="20"/>
          <w:color w:val="auto"/>
        </w:rPr>
      </w:pPr>
      <w:r>
        <w:rPr>
          <w:rFonts w:ascii="Times New Roman" w:cs="Times New Roman" w:eastAsia="Times New Roman" w:hAnsi="Times New Roman"/>
          <w:sz w:val="17"/>
          <w:szCs w:val="17"/>
          <w:color w:val="auto"/>
        </w:rPr>
        <w:t>(aa)“</w:t>
      </w:r>
      <w:r>
        <w:rPr>
          <w:rFonts w:ascii="Times New Roman" w:cs="Times New Roman" w:eastAsia="Times New Roman" w:hAnsi="Times New Roman"/>
          <w:sz w:val="17"/>
          <w:szCs w:val="17"/>
          <w:u w:val="single" w:color="auto"/>
          <w:color w:val="auto"/>
        </w:rPr>
        <w:t>Years of Service</w:t>
      </w:r>
      <w:r>
        <w:rPr>
          <w:rFonts w:ascii="Times New Roman" w:cs="Times New Roman" w:eastAsia="Times New Roman" w:hAnsi="Times New Roman"/>
          <w:sz w:val="17"/>
          <w:szCs w:val="17"/>
          <w:color w:val="auto"/>
        </w:rPr>
        <w:t>” means completed continuous years of service as reflected in the personnel records of the Company and the Subsidiary</w:t>
      </w:r>
    </w:p>
    <w:p>
      <w:pPr>
        <w:spacing w:after="0"/>
        <w:rPr>
          <w:sz w:val="20"/>
          <w:szCs w:val="20"/>
          <w:color w:val="auto"/>
        </w:rPr>
      </w:pPr>
      <w:r>
        <w:rPr>
          <w:rFonts w:ascii="Times New Roman" w:cs="Times New Roman" w:eastAsia="Times New Roman" w:hAnsi="Times New Roman"/>
          <w:sz w:val="17"/>
          <w:szCs w:val="17"/>
          <w:color w:val="auto"/>
        </w:rPr>
        <w:t>Companies.</w:t>
      </w:r>
    </w:p>
    <w:p>
      <w:pPr>
        <w:spacing w:after="0" w:line="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(bb)“</w:t>
      </w:r>
      <w:r>
        <w:rPr>
          <w:rFonts w:ascii="Times New Roman" w:cs="Times New Roman" w:eastAsia="Times New Roman" w:hAnsi="Times New Roman"/>
          <w:sz w:val="17"/>
          <w:szCs w:val="17"/>
          <w:u w:val="single" w:color="auto"/>
          <w:color w:val="auto"/>
        </w:rPr>
        <w:t>1934 Act</w:t>
      </w:r>
      <w:r>
        <w:rPr>
          <w:rFonts w:ascii="Times New Roman" w:cs="Times New Roman" w:eastAsia="Times New Roman" w:hAnsi="Times New Roman"/>
          <w:sz w:val="17"/>
          <w:szCs w:val="17"/>
          <w:color w:val="auto"/>
        </w:rPr>
        <w:t>” means the Securities Exchange Act of 1934, as amended.</w:t>
      </w:r>
    </w:p>
    <w:p>
      <w:pPr>
        <w:spacing w:after="0" w:line="80" w:lineRule="exact"/>
        <w:rPr>
          <w:sz w:val="20"/>
          <w:szCs w:val="20"/>
          <w:color w:val="auto"/>
        </w:rPr>
      </w:pPr>
    </w:p>
    <w:p>
      <w:pPr>
        <w:ind w:firstLine="509"/>
        <w:spacing w:after="0" w:line="223" w:lineRule="auto"/>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u w:val="single" w:color="auto"/>
          <w:color w:val="auto"/>
        </w:rPr>
        <w:t>Grant of Performance Stock Units</w:t>
      </w:r>
      <w:r>
        <w:rPr>
          <w:rFonts w:ascii="Times New Roman" w:cs="Times New Roman" w:eastAsia="Times New Roman" w:hAnsi="Times New Roman"/>
          <w:sz w:val="17"/>
          <w:szCs w:val="17"/>
          <w:color w:val="auto"/>
        </w:rPr>
        <w:t>. Subject to the terms and conditions set forth herein and in the Plan, the Company hereby grants to Grantee the Performance Stock Units, as set forth in the Long-Term Incentive Awards Summary Schedule attached hereto. Each Performance Stock Unit represents the right to receive between [●]% and [●]% of a Share based on achievement of the Performance Condition, as set forth in the Long-Term Incentive Awards Summary Schedule, subject to the terms and conditions set forth herein and in the Plan, including the satisfaction of the applicable Service Condition.</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ind w:right="460" w:firstLine="1019"/>
        <w:spacing w:after="0" w:line="228" w:lineRule="auto"/>
        <w:rPr>
          <w:sz w:val="20"/>
          <w:szCs w:val="20"/>
          <w:color w:val="auto"/>
        </w:rPr>
      </w:pPr>
      <w:r>
        <w:rPr>
          <w:rFonts w:ascii="Times New Roman" w:cs="Times New Roman" w:eastAsia="Times New Roman" w:hAnsi="Times New Roman"/>
          <w:sz w:val="17"/>
          <w:szCs w:val="17"/>
          <w:color w:val="auto"/>
        </w:rPr>
        <w:t>(a)The Performance Stock Units are granted with dividend equivalent rights. If the Company declares a cash dividend on the Shares, an amount equivalent to such dividend will be credited to an unfunded bookkeeping account with respect to each outstanding and unvested Performance Stock Unit (the “</w:t>
      </w:r>
      <w:r>
        <w:rPr>
          <w:rFonts w:ascii="Times New Roman" w:cs="Times New Roman" w:eastAsia="Times New Roman" w:hAnsi="Times New Roman"/>
          <w:sz w:val="17"/>
          <w:szCs w:val="17"/>
          <w:u w:val="single" w:color="auto"/>
          <w:color w:val="auto"/>
        </w:rPr>
        <w:t>Dividend Equivalent Amount</w:t>
      </w:r>
      <w:r>
        <w:rPr>
          <w:rFonts w:ascii="Times New Roman" w:cs="Times New Roman" w:eastAsia="Times New Roman" w:hAnsi="Times New Roman"/>
          <w:sz w:val="17"/>
          <w:szCs w:val="17"/>
          <w:color w:val="auto"/>
        </w:rPr>
        <w:t>”) on the record date of such dividend.</w:t>
      </w:r>
    </w:p>
    <w:p>
      <w:pPr>
        <w:spacing w:after="0" w:line="58" w:lineRule="exact"/>
        <w:rPr>
          <w:sz w:val="20"/>
          <w:szCs w:val="20"/>
          <w:color w:val="auto"/>
        </w:rPr>
      </w:pPr>
    </w:p>
    <w:p>
      <w:pPr>
        <w:ind w:right="60" w:firstLine="1019"/>
        <w:spacing w:after="0" w:line="223" w:lineRule="auto"/>
        <w:rPr>
          <w:sz w:val="20"/>
          <w:szCs w:val="20"/>
          <w:color w:val="auto"/>
        </w:rPr>
      </w:pPr>
      <w:r>
        <w:rPr>
          <w:rFonts w:ascii="Times New Roman" w:cs="Times New Roman" w:eastAsia="Times New Roman" w:hAnsi="Times New Roman"/>
          <w:sz w:val="17"/>
          <w:szCs w:val="17"/>
          <w:color w:val="auto"/>
        </w:rPr>
        <w:t>(b)The Dividend Equivalent Amount will be credited as cash, without interest, and will not be converted to Shares. The Dividend Equivalent Amount will be payable in cash, but subject to and only upon the applicable Vesting Date(s) of the underlying Performance Stock Units as determined in accordance with Paragraph 4 below, and will be cancelled and forfeited if the underlying Performance Stock Units are cancelled or forfeited (including as a result of failing to satisfy the applicable Service Condition or Performance Condition).</w:t>
      </w: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17"/>
          <w:szCs w:val="17"/>
          <w:u w:val="single" w:color="auto"/>
          <w:color w:val="auto"/>
        </w:rPr>
        <w:t>Vesting of Performance Stock Units</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ind w:firstLine="1019"/>
        <w:spacing w:after="0" w:line="228" w:lineRule="auto"/>
        <w:rPr>
          <w:sz w:val="20"/>
          <w:szCs w:val="20"/>
          <w:color w:val="auto"/>
        </w:rPr>
      </w:pPr>
      <w:r>
        <w:rPr>
          <w:rFonts w:ascii="Times New Roman" w:cs="Times New Roman" w:eastAsia="Times New Roman" w:hAnsi="Times New Roman"/>
          <w:sz w:val="17"/>
          <w:szCs w:val="17"/>
          <w:color w:val="auto"/>
        </w:rPr>
        <w:t xml:space="preserve">(a)Subject to the terms and conditions set forth in this Agreement and in the Plan, the Performance Stock Units shall vest in accordance with the terms and conditions set forth on the attached Long-Term Incentive Awards Summary Schedule;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Grantee has complied with all applicable provisions of the HSR Act. As of the applicable Vesting Date, Grantee shall be entitled to the delivery of Shares with respect to the applicable Earned PSUs.</w:t>
      </w:r>
    </w:p>
    <w:p>
      <w:pPr>
        <w:spacing w:after="0" w:line="58" w:lineRule="exact"/>
        <w:rPr>
          <w:sz w:val="20"/>
          <w:szCs w:val="20"/>
          <w:color w:val="auto"/>
        </w:rPr>
      </w:pPr>
    </w:p>
    <w:p>
      <w:pPr>
        <w:ind w:right="160" w:firstLine="1019"/>
        <w:spacing w:after="0" w:line="218" w:lineRule="auto"/>
        <w:rPr>
          <w:sz w:val="20"/>
          <w:szCs w:val="20"/>
          <w:color w:val="auto"/>
        </w:rPr>
      </w:pPr>
      <w:r>
        <w:rPr>
          <w:rFonts w:ascii="Times New Roman" w:cs="Times New Roman" w:eastAsia="Times New Roman" w:hAnsi="Times New Roman"/>
          <w:sz w:val="17"/>
          <w:szCs w:val="17"/>
          <w:color w:val="auto"/>
        </w:rPr>
        <w:t xml:space="preserve">(b)Notwithstanding anything to the contrary in this Agreement of the Plan, the Service Condition [and the Performance Condition] applicable to the Performance Stock Units shall be deemed fully satisfied upon Grantee’s Termination of Employment due to Grantee’s death or Disability[, and[, subject to the determination of the Committee,] [the Performance Stock Units will remain outstanding and will vest subject to the satisfaction of the applicable Performance Condition] [or] [the Target PSUs with a Service Vesting Date subsequent to the termination of employment, as set forth on the Long-Term Incentive Awards Summary Schedule, will vest immediately following such Termination of Employment];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Grantee has complied with all applicable provisions of the HSR Act.</w:t>
      </w:r>
    </w:p>
    <w:p>
      <w:pPr>
        <w:spacing w:after="0" w:line="70" w:lineRule="exact"/>
        <w:rPr>
          <w:sz w:val="20"/>
          <w:szCs w:val="20"/>
          <w:color w:val="auto"/>
        </w:rPr>
      </w:pPr>
    </w:p>
    <w:p>
      <w:pPr>
        <w:ind w:right="180" w:firstLine="1023"/>
        <w:spacing w:after="0" w:line="230" w:lineRule="auto"/>
        <w:tabs>
          <w:tab w:leader="none" w:pos="1249"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Agreement, and subject to the obligations described in Paragraph 4(e), in the event of Grantee’s Retirement Termination, the Service Condition applicable to the Performance Stock Units shall be deemed fully satisfied and the Performance Stock Units will remain outstanding and will vest subject to the satisfaction of the Performance Conditions, as set forth on the Long-Term Incentive Awards Summary Schedule;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Grantee has complied with all applicable provisions of the HSR Act. :</w:t>
      </w:r>
    </w:p>
    <w:p>
      <w:pPr>
        <w:spacing w:after="0" w:line="67" w:lineRule="exact"/>
        <w:rPr>
          <w:rFonts w:ascii="Times New Roman" w:cs="Times New Roman" w:eastAsia="Times New Roman" w:hAnsi="Times New Roman"/>
          <w:sz w:val="17"/>
          <w:szCs w:val="17"/>
          <w:color w:val="auto"/>
        </w:rPr>
      </w:pPr>
    </w:p>
    <w:p>
      <w:pPr>
        <w:ind w:right="120" w:firstLine="1023"/>
        <w:spacing w:after="0" w:line="238" w:lineRule="auto"/>
        <w:tabs>
          <w:tab w:leader="none" w:pos="1259"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and subject to the obligations described in Paragraph 4(e), in the event of Grantee’s Termination of Employment by the Company without Cause or by the Grantee with Good Reason (as defined in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3-</w:t>
      </w:r>
    </w:p>
    <w:p>
      <w:pPr>
        <w:sectPr>
          <w:pgSz w:w="11900" w:h="16838" w:orient="portrait"/>
          <w:cols w:equalWidth="0" w:num="1">
            <w:col w:w="11240"/>
          </w:cols>
          <w:pgMar w:left="300" w:top="1119" w:right="359" w:bottom="1440" w:gutter="0" w:footer="0" w:header="0"/>
        </w:sectPr>
      </w:pPr>
    </w:p>
    <w:bookmarkStart w:id="190" w:name="page191"/>
    <w:bookmarkEnd w:id="190"/>
    <w:p>
      <w:pPr>
        <w:ind w:right="140"/>
        <w:spacing w:after="0" w:line="220" w:lineRule="auto"/>
        <w:rPr>
          <w:sz w:val="20"/>
          <w:szCs w:val="20"/>
          <w:color w:val="auto"/>
        </w:rPr>
      </w:pPr>
      <w:r>
        <w:rPr>
          <w:rFonts w:ascii="Times New Roman" w:cs="Times New Roman" w:eastAsia="Times New Roman" w:hAnsi="Times New Roman"/>
          <w:sz w:val="17"/>
          <w:szCs w:val="17"/>
          <w:color w:val="auto"/>
        </w:rPr>
        <w:t>the Grantee’s employment agreement), the Service Condition shall be deemed satisfied based on the Pro Rata Amount and the Performance Stock Units will remain outstanding and will vest subject to the satisfaction of the Performance Conditions, as set forth on the Long-Term Incentive Awards Summary Schedule; provided that Grantee has complied with all applicable provisions of the HSR Act. As of the applicable Vesting Date, Grantee shall be entitled to the delivery of a number of Shares determined by multiplying (i) the number of Earned PSUs that would have been delivered had the Grantee remained employed through the Service Vesting Date by (ii) the Pro Rata Amount.]</w:t>
      </w:r>
    </w:p>
    <w:p>
      <w:pPr>
        <w:spacing w:after="0" w:line="70" w:lineRule="exact"/>
        <w:rPr>
          <w:sz w:val="20"/>
          <w:szCs w:val="20"/>
          <w:color w:val="auto"/>
        </w:rPr>
      </w:pPr>
    </w:p>
    <w:p>
      <w:pPr>
        <w:ind w:right="60" w:firstLine="1019"/>
        <w:spacing w:after="0" w:line="228" w:lineRule="auto"/>
        <w:rPr>
          <w:sz w:val="20"/>
          <w:szCs w:val="20"/>
          <w:color w:val="auto"/>
        </w:rPr>
      </w:pPr>
      <w:r>
        <w:rPr>
          <w:rFonts w:ascii="Times New Roman" w:cs="Times New Roman" w:eastAsia="Times New Roman" w:hAnsi="Times New Roman"/>
          <w:sz w:val="17"/>
          <w:szCs w:val="17"/>
          <w:color w:val="auto"/>
        </w:rPr>
        <w:t>(e)[[Notwithstanding Paragraph [4(c) [or 4(d)]]], the Performance Stock Units will be subject to forfeiture, as determined by the Committee in its sole discretion, if Grantee breaches either of the following non-solicitation or non-competition obligations during the period following Grantee’s Termination of Employment and before the applicable Vesting Date:</w:t>
      </w:r>
    </w:p>
    <w:p>
      <w:pPr>
        <w:spacing w:after="0" w:line="58" w:lineRule="exact"/>
        <w:rPr>
          <w:sz w:val="20"/>
          <w:szCs w:val="20"/>
          <w:color w:val="auto"/>
        </w:rPr>
      </w:pPr>
    </w:p>
    <w:p>
      <w:pPr>
        <w:ind w:right="20" w:firstLine="1533"/>
        <w:spacing w:after="0" w:line="228" w:lineRule="auto"/>
        <w:tabs>
          <w:tab w:leader="none" w:pos="1768" w:val="left"/>
        </w:tabs>
        <w:numPr>
          <w:ilvl w:val="2"/>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Grantee shall not, directly or indirectly, solicit, induce, encourage or attempt to influence any customer, employee, consultant, independent contractor, service provider or supplier of the Company or any Subsidiary Company to cease to do business or to terminate the employment or other relationship with the Company or any Subsidiary Company.</w:t>
      </w:r>
    </w:p>
    <w:p>
      <w:pPr>
        <w:spacing w:after="0" w:line="68" w:lineRule="exact"/>
        <w:rPr>
          <w:rFonts w:ascii="Times New Roman" w:cs="Times New Roman" w:eastAsia="Times New Roman" w:hAnsi="Times New Roman"/>
          <w:sz w:val="17"/>
          <w:szCs w:val="17"/>
          <w:color w:val="auto"/>
        </w:rPr>
      </w:pPr>
    </w:p>
    <w:p>
      <w:pPr>
        <w:ind w:right="60" w:firstLine="1533"/>
        <w:spacing w:after="0" w:line="217" w:lineRule="auto"/>
        <w:tabs>
          <w:tab w:leader="none" w:pos="1768" w:val="left"/>
        </w:tabs>
        <w:numPr>
          <w:ilvl w:val="2"/>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67" w:lineRule="exact"/>
        <w:rPr>
          <w:rFonts w:ascii="Times New Roman" w:cs="Times New Roman" w:eastAsia="Times New Roman" w:hAnsi="Times New Roman"/>
          <w:sz w:val="17"/>
          <w:szCs w:val="17"/>
          <w:color w:val="auto"/>
        </w:rPr>
      </w:pPr>
    </w:p>
    <w:p>
      <w:pPr>
        <w:ind w:right="20" w:firstLine="1023"/>
        <w:spacing w:after="0" w:line="220" w:lineRule="auto"/>
        <w:tabs>
          <w:tab w:leader="none" w:pos="1249"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Performance Stock Units would have vested pursuant to the Long-Term Incentive Awards Summary Schedule or Paragraphs [4(b), [or] 4(c) [or 4(d)]], but did not vest solely because Grantee was not in compliance with all applicable provisions of the HSR Act, then, notwithstanding anything to the contrary in this Agreement, the Vesting Date for such Performance Stock Units shall occur on the first date following the date on which they would have been earned and become vested pursuant to the Long-Term Incentive Awards Summary Schedule or Paragraphs [4(b), [or] 4(c) [or 4(d)]] on which Grantee has complied with all applicable provisions of the HSR Act.</w:t>
      </w:r>
    </w:p>
    <w:p>
      <w:pPr>
        <w:spacing w:after="0" w:line="58" w:lineRule="exact"/>
        <w:rPr>
          <w:rFonts w:ascii="Times New Roman" w:cs="Times New Roman" w:eastAsia="Times New Roman" w:hAnsi="Times New Roman"/>
          <w:sz w:val="17"/>
          <w:szCs w:val="17"/>
          <w:color w:val="auto"/>
        </w:rPr>
      </w:pPr>
    </w:p>
    <w:p>
      <w:pPr>
        <w:ind w:left="680" w:hanging="166"/>
        <w:spacing w:after="0"/>
        <w:tabs>
          <w:tab w:leader="none" w:pos="68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of Performance Stock Units</w:t>
      </w:r>
      <w:r>
        <w:rPr>
          <w:rFonts w:ascii="Times New Roman" w:cs="Times New Roman" w:eastAsia="Times New Roman" w:hAnsi="Times New Roman"/>
          <w:sz w:val="17"/>
          <w:szCs w:val="17"/>
          <w:color w:val="auto"/>
        </w:rPr>
        <w:t>.</w:t>
      </w:r>
    </w:p>
    <w:p>
      <w:pPr>
        <w:spacing w:after="0" w:line="90" w:lineRule="exact"/>
        <w:rPr>
          <w:rFonts w:ascii="Times New Roman" w:cs="Times New Roman" w:eastAsia="Times New Roman" w:hAnsi="Times New Roman"/>
          <w:sz w:val="17"/>
          <w:szCs w:val="17"/>
          <w:color w:val="auto"/>
        </w:rPr>
      </w:pPr>
    </w:p>
    <w:p>
      <w:pPr>
        <w:ind w:firstLine="1023"/>
        <w:spacing w:after="0" w:line="237" w:lineRule="auto"/>
        <w:tabs>
          <w:tab w:leader="none" w:pos="1249"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set forth in this Agreement and in the Plan, in the event of Grantee’s Termination of Employment other than due to (i) Grantee’s death or Disability or (ii) Grantee’s Retirement Termination, Grantee shall forfeit the Performance Stock Units effective as of such Termination of Employment. Upon a forfeiture of the Performance Stock Units as provided in this Paragraph 5, the Performance Stock Units shall be deemed canceled.</w:t>
      </w:r>
    </w:p>
    <w:p>
      <w:pPr>
        <w:spacing w:after="0" w:line="60" w:lineRule="exact"/>
        <w:rPr>
          <w:rFonts w:ascii="Times New Roman" w:cs="Times New Roman" w:eastAsia="Times New Roman" w:hAnsi="Times New Roman"/>
          <w:sz w:val="17"/>
          <w:szCs w:val="17"/>
          <w:color w:val="auto"/>
        </w:rPr>
      </w:pPr>
    </w:p>
    <w:p>
      <w:pPr>
        <w:ind w:left="1260" w:hanging="237"/>
        <w:spacing w:after="0"/>
        <w:tabs>
          <w:tab w:leader="none" w:pos="1260"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Paragraph 5(a) shall not apply to Shares issued in respect of the Performance Stock Units as to which a Vesting Date has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occurred.</w:t>
      </w:r>
    </w:p>
    <w:p>
      <w:pPr>
        <w:spacing w:after="0" w:line="62" w:lineRule="exact"/>
        <w:rPr>
          <w:sz w:val="20"/>
          <w:szCs w:val="20"/>
          <w:color w:val="auto"/>
        </w:rPr>
      </w:pPr>
    </w:p>
    <w:p>
      <w:pPr>
        <w:ind w:right="640" w:firstLine="509"/>
        <w:spacing w:after="0" w:line="238" w:lineRule="auto"/>
        <w:rPr>
          <w:sz w:val="20"/>
          <w:szCs w:val="20"/>
          <w:color w:val="auto"/>
        </w:rPr>
      </w:pPr>
      <w:r>
        <w:rPr>
          <w:rFonts w:ascii="Times New Roman" w:cs="Times New Roman" w:eastAsia="Times New Roman" w:hAnsi="Times New Roman"/>
          <w:sz w:val="17"/>
          <w:szCs w:val="17"/>
          <w:color w:val="auto"/>
        </w:rPr>
        <w:t>6.</w:t>
      </w:r>
      <w:r>
        <w:rPr>
          <w:rFonts w:ascii="Times New Roman" w:cs="Times New Roman" w:eastAsia="Times New Roman" w:hAnsi="Times New Roman"/>
          <w:sz w:val="17"/>
          <w:szCs w:val="17"/>
          <w:u w:val="single" w:color="auto"/>
          <w:color w:val="auto"/>
        </w:rPr>
        <w:t>Deferral Elections</w:t>
      </w:r>
      <w:r>
        <w:rPr>
          <w:rFonts w:ascii="Times New Roman" w:cs="Times New Roman" w:eastAsia="Times New Roman" w:hAnsi="Times New Roman"/>
          <w:sz w:val="17"/>
          <w:szCs w:val="17"/>
          <w:color w:val="auto"/>
        </w:rPr>
        <w:t>. Grantee may elect to defer the receipt of Shares issuable with respect to Performance Stock Units, consistent, however, with the following: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127" w:right="319" w:bottom="1440" w:gutter="0" w:footer="0" w:header="0"/>
        </w:sectPr>
      </w:pPr>
    </w:p>
    <w:bookmarkStart w:id="191" w:name="page192"/>
    <w:bookmarkEnd w:id="191"/>
    <w:p>
      <w:pPr>
        <w:ind w:right="100" w:firstLine="1023"/>
        <w:spacing w:after="0" w:line="228" w:lineRule="auto"/>
        <w:tabs>
          <w:tab w:leader="none" w:pos="1249"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Initial Deferral Elections</w:t>
      </w:r>
      <w:r>
        <w:rPr>
          <w:rFonts w:ascii="Times New Roman" w:cs="Times New Roman" w:eastAsia="Times New Roman" w:hAnsi="Times New Roman"/>
          <w:sz w:val="17"/>
          <w:szCs w:val="17"/>
          <w:color w:val="auto"/>
        </w:rPr>
        <w:t>. Grantee shall have the right to make an Initial Deferral Election to defer the receipt of all or a portion of the Shares issuable with respect to Performance Stock Units hereby granted by filing an Initial Deferral Election to defer the receipt of such Shares on the form provided by the Committee for this purpose.</w:t>
      </w:r>
    </w:p>
    <w:p>
      <w:pPr>
        <w:spacing w:after="0" w:line="68" w:lineRule="exact"/>
        <w:rPr>
          <w:rFonts w:ascii="Times New Roman" w:cs="Times New Roman" w:eastAsia="Times New Roman" w:hAnsi="Times New Roman"/>
          <w:sz w:val="17"/>
          <w:szCs w:val="17"/>
          <w:color w:val="auto"/>
        </w:rPr>
      </w:pPr>
    </w:p>
    <w:p>
      <w:pPr>
        <w:ind w:right="60" w:firstLine="1533"/>
        <w:spacing w:after="0" w:line="238" w:lineRule="auto"/>
        <w:tabs>
          <w:tab w:leader="none" w:pos="1768"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Deadline for Initial Deferral Election</w:t>
      </w:r>
      <w:r>
        <w:rPr>
          <w:rFonts w:ascii="Times New Roman" w:cs="Times New Roman" w:eastAsia="Times New Roman" w:hAnsi="Times New Roman"/>
          <w:sz w:val="17"/>
          <w:szCs w:val="17"/>
          <w:color w:val="auto"/>
        </w:rPr>
        <w:t>. An Initial Deferral Election to defer the receipt of Shares issuable with respect to Performance Stock Units hereby granted shall not be effective unless it is filed with the Committee on or before [●].</w:t>
      </w:r>
    </w:p>
    <w:p>
      <w:pPr>
        <w:spacing w:after="0" w:line="57" w:lineRule="exact"/>
        <w:rPr>
          <w:rFonts w:ascii="Times New Roman" w:cs="Times New Roman" w:eastAsia="Times New Roman" w:hAnsi="Times New Roman"/>
          <w:sz w:val="17"/>
          <w:szCs w:val="17"/>
          <w:color w:val="auto"/>
        </w:rPr>
      </w:pPr>
    </w:p>
    <w:p>
      <w:pPr>
        <w:jc w:val="both"/>
        <w:ind w:right="140" w:firstLine="1533"/>
        <w:spacing w:after="0" w:line="228" w:lineRule="auto"/>
        <w:tabs>
          <w:tab w:leader="none" w:pos="1768"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Deferral Period</w:t>
      </w:r>
      <w:r>
        <w:rPr>
          <w:rFonts w:ascii="Times New Roman" w:cs="Times New Roman" w:eastAsia="Times New Roman" w:hAnsi="Times New Roman"/>
          <w:sz w:val="17"/>
          <w:szCs w:val="17"/>
          <w:color w:val="auto"/>
        </w:rPr>
        <w:t>. Subject to Paragraph 6[(b)][(c)], all Shares issuable with respect to Performance Stock Units that are subject to an Initial Deferral Election under this Paragraph 6(a) shall be delivered to Grantee without any legend or restrictions (except those that may be imposed by the Committee, in its sole judgment, under Paragraph 9), on the date designated by Grantee, which shall not be earlier than [●].</w:t>
      </w:r>
    </w:p>
    <w:p>
      <w:pPr>
        <w:spacing w:after="0" w:line="68" w:lineRule="exact"/>
        <w:rPr>
          <w:rFonts w:ascii="Times New Roman" w:cs="Times New Roman" w:eastAsia="Times New Roman" w:hAnsi="Times New Roman"/>
          <w:sz w:val="17"/>
          <w:szCs w:val="17"/>
          <w:color w:val="auto"/>
        </w:rPr>
      </w:pPr>
    </w:p>
    <w:p>
      <w:pPr>
        <w:ind w:right="120" w:firstLine="1533"/>
        <w:spacing w:after="0" w:line="238" w:lineRule="auto"/>
        <w:tabs>
          <w:tab w:leader="none" w:pos="1768"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Failure of Vesting Date to Occur</w:t>
      </w:r>
      <w:r>
        <w:rPr>
          <w:rFonts w:ascii="Times New Roman" w:cs="Times New Roman" w:eastAsia="Times New Roman" w:hAnsi="Times New Roman"/>
          <w:sz w:val="17"/>
          <w:szCs w:val="17"/>
          <w:color w:val="auto"/>
        </w:rPr>
        <w:t>. An Initial Deferral Election shall be null and void if a Vesting Date does not occur with respect to Performance Stock Units identified in such Initial Deferral Election.</w:t>
      </w:r>
    </w:p>
    <w:p>
      <w:pPr>
        <w:spacing w:after="0" w:line="69" w:lineRule="exact"/>
        <w:rPr>
          <w:sz w:val="20"/>
          <w:szCs w:val="20"/>
          <w:color w:val="auto"/>
        </w:rPr>
      </w:pPr>
    </w:p>
    <w:p>
      <w:pPr>
        <w:ind w:firstLine="1019"/>
        <w:spacing w:after="0" w:line="223"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Regular Deferral Elections</w:t>
      </w:r>
      <w:r>
        <w:rPr>
          <w:rFonts w:ascii="Times New Roman" w:cs="Times New Roman" w:eastAsia="Times New Roman" w:hAnsi="Times New Roman"/>
          <w:sz w:val="17"/>
          <w:szCs w:val="17"/>
          <w:color w:val="auto"/>
        </w:rPr>
        <w:t>. No Regular Deferral Election shall be effective until 12 months after the date on which a Regular Deferral Election is filed with the Committee. Grantee shall have the right to make a Regular Deferral Election to defer the receipt of all or a portion of the Shares issuable with respect to Restricted Stock Units hereby granted that are not subject to an Initial Deferral Election by filing a Regular Deferral Election to defer the receipt of such Shares on the form provided by the Committee for this purpose.</w:t>
      </w:r>
    </w:p>
    <w:p>
      <w:pPr>
        <w:spacing w:after="0" w:line="59" w:lineRule="exact"/>
        <w:rPr>
          <w:sz w:val="20"/>
          <w:szCs w:val="20"/>
          <w:color w:val="auto"/>
        </w:rPr>
      </w:pPr>
    </w:p>
    <w:p>
      <w:pPr>
        <w:ind w:right="320" w:firstLine="1533"/>
        <w:spacing w:after="0" w:line="238" w:lineRule="auto"/>
        <w:tabs>
          <w:tab w:leader="none" w:pos="1768"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Deadline for Regular Deferral Election</w:t>
      </w:r>
      <w:r>
        <w:rPr>
          <w:rFonts w:ascii="Times New Roman" w:cs="Times New Roman" w:eastAsia="Times New Roman" w:hAnsi="Times New Roman"/>
          <w:sz w:val="17"/>
          <w:szCs w:val="17"/>
          <w:color w:val="auto"/>
        </w:rPr>
        <w:t>. A Regular Deferral Election to defer the receipt of Shares issuable with respect to Performance Stock Units hereby granted shall not be effective unless it is filed with the Committee: [●]</w:t>
      </w:r>
    </w:p>
    <w:p>
      <w:pPr>
        <w:spacing w:after="0" w:line="259" w:lineRule="exact"/>
        <w:rPr>
          <w:rFonts w:ascii="Times New Roman" w:cs="Times New Roman" w:eastAsia="Times New Roman" w:hAnsi="Times New Roman"/>
          <w:sz w:val="17"/>
          <w:szCs w:val="17"/>
          <w:color w:val="auto"/>
        </w:rPr>
      </w:pPr>
    </w:p>
    <w:p>
      <w:pPr>
        <w:ind w:right="160" w:firstLine="1533"/>
        <w:spacing w:after="0" w:line="228" w:lineRule="auto"/>
        <w:tabs>
          <w:tab w:leader="none" w:pos="1768"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Deferral Period</w:t>
      </w:r>
      <w:r>
        <w:rPr>
          <w:rFonts w:ascii="Times New Roman" w:cs="Times New Roman" w:eastAsia="Times New Roman" w:hAnsi="Times New Roman"/>
          <w:sz w:val="17"/>
          <w:szCs w:val="17"/>
          <w:color w:val="auto"/>
        </w:rPr>
        <w:t>. If Grantee makes a Regular Deferral Election to defer the distribution date for Shares issuable with respect to some or all of the Performance Stock Units hereby granted, Grantee may elect to defer the distribution date for a minimum of five years and a maximum of seven additional years from the Service Vesting Date.</w:t>
      </w:r>
    </w:p>
    <w:p>
      <w:pPr>
        <w:spacing w:after="0" w:line="68" w:lineRule="exact"/>
        <w:rPr>
          <w:rFonts w:ascii="Times New Roman" w:cs="Times New Roman" w:eastAsia="Times New Roman" w:hAnsi="Times New Roman"/>
          <w:sz w:val="17"/>
          <w:szCs w:val="17"/>
          <w:color w:val="auto"/>
        </w:rPr>
      </w:pPr>
    </w:p>
    <w:p>
      <w:pPr>
        <w:ind w:right="80" w:firstLine="1533"/>
        <w:spacing w:after="0" w:line="238" w:lineRule="auto"/>
        <w:tabs>
          <w:tab w:leader="none" w:pos="1768"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Failure of Vesting Date to Occur</w:t>
      </w:r>
      <w:r>
        <w:rPr>
          <w:rFonts w:ascii="Times New Roman" w:cs="Times New Roman" w:eastAsia="Times New Roman" w:hAnsi="Times New Roman"/>
          <w:sz w:val="17"/>
          <w:szCs w:val="17"/>
          <w:color w:val="auto"/>
        </w:rPr>
        <w:t>. A Regular Deferral Election shall be null and void if a Vesting Date does not occur with respect to Restricted Stock Units identified in such Initial Deferral Election.]</w:t>
      </w:r>
    </w:p>
    <w:p>
      <w:pPr>
        <w:spacing w:after="0" w:line="58" w:lineRule="exact"/>
        <w:rPr>
          <w:sz w:val="20"/>
          <w:szCs w:val="20"/>
          <w:color w:val="auto"/>
        </w:rPr>
      </w:pPr>
    </w:p>
    <w:p>
      <w:pPr>
        <w:ind w:right="360" w:firstLine="1019"/>
        <w:spacing w:after="0" w:line="238" w:lineRule="auto"/>
        <w:rPr>
          <w:sz w:val="20"/>
          <w:szCs w:val="20"/>
          <w:color w:val="auto"/>
        </w:rPr>
      </w:pPr>
      <w:r>
        <w:rPr>
          <w:rFonts w:ascii="Times New Roman" w:cs="Times New Roman" w:eastAsia="Times New Roman" w:hAnsi="Times New Roman"/>
          <w:sz w:val="17"/>
          <w:szCs w:val="17"/>
          <w:color w:val="auto"/>
        </w:rPr>
        <w:t xml:space="preserve">[(b)][(c)] </w:t>
      </w:r>
      <w:r>
        <w:rPr>
          <w:rFonts w:ascii="Times New Roman" w:cs="Times New Roman" w:eastAsia="Times New Roman" w:hAnsi="Times New Roman"/>
          <w:sz w:val="17"/>
          <w:szCs w:val="17"/>
          <w:u w:val="single" w:color="auto"/>
          <w:color w:val="auto"/>
        </w:rPr>
        <w:t>Subsequent Deferral Elections</w:t>
      </w:r>
      <w:r>
        <w:rPr>
          <w:rFonts w:ascii="Times New Roman" w:cs="Times New Roman" w:eastAsia="Times New Roman" w:hAnsi="Times New Roman"/>
          <w:sz w:val="17"/>
          <w:szCs w:val="17"/>
          <w:color w:val="auto"/>
        </w:rPr>
        <w:t>. No Subsequent Deferral Election shall be effective until 12 months after the date on which a Subsequent Deferral Election is filed with the Committee.</w:t>
      </w:r>
    </w:p>
    <w:p>
      <w:pPr>
        <w:spacing w:after="0" w:line="69" w:lineRule="exact"/>
        <w:rPr>
          <w:sz w:val="20"/>
          <w:szCs w:val="20"/>
          <w:color w:val="auto"/>
        </w:rPr>
      </w:pPr>
    </w:p>
    <w:p>
      <w:pPr>
        <w:ind w:right="60" w:firstLine="1533"/>
        <w:spacing w:after="0" w:line="237" w:lineRule="auto"/>
        <w:tabs>
          <w:tab w:leader="none" w:pos="176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Grantee makes an Initial Deferral Election, a Regular Deferral Election or pursuant to this Paragraph 6[(b)][(c)](1) makes a Subsequent Deferral Election to defer the distribution date for Shares issuable with respect to some or all of the Performance Stock Units hereby granted, Grantee may elect to defer the distribution date for a minimum of five years and a maximum of seven additional years from the previously-elected distribution date by filing a Subsequent Deferral Election with the Committee on or before the close of business at least one year before the date on which the distribution would otherwise be made.</w:t>
      </w:r>
    </w:p>
    <w:p>
      <w:pPr>
        <w:spacing w:after="0" w:line="68" w:lineRule="exact"/>
        <w:rPr>
          <w:rFonts w:ascii="Times New Roman" w:cs="Times New Roman" w:eastAsia="Times New Roman" w:hAnsi="Times New Roman"/>
          <w:sz w:val="16"/>
          <w:szCs w:val="16"/>
          <w:color w:val="auto"/>
        </w:rPr>
      </w:pPr>
    </w:p>
    <w:p>
      <w:pPr>
        <w:jc w:val="both"/>
        <w:ind w:right="260" w:firstLine="1533"/>
        <w:spacing w:after="0" w:line="228" w:lineRule="auto"/>
        <w:tabs>
          <w:tab w:leader="none" w:pos="1768"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Grantee dies before Shares subject to an Initial Deferral Election under Paragraph 6(a) are to be delivered, the estate or beneficiary to whom the right to delivery of such Shares shall have passed may make a Subsequent Deferral Election to defer receipt of all or any portion of such Shares for five additional years from the date delivery of Shares would otherwise be made, provided that such Subsequent Deferral Election must be filed with the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5-</w:t>
      </w:r>
    </w:p>
    <w:p>
      <w:pPr>
        <w:sectPr>
          <w:pgSz w:w="11900" w:h="16838" w:orient="portrait"/>
          <w:cols w:equalWidth="0" w:num="1">
            <w:col w:w="11280"/>
          </w:cols>
          <w:pgMar w:left="300" w:top="1127" w:right="3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color w:val="auto"/>
        </w:rPr>
        <w:t>Committee at least one year before the date on which the distribution would otherwise be made, as reflected on Grantee’s last Election.</w:t>
      </w:r>
    </w:p>
    <w:p>
      <w:pPr>
        <w:spacing w:after="0" w:line="91" w:lineRule="exact"/>
        <w:rPr>
          <w:sz w:val="20"/>
          <w:szCs w:val="20"/>
          <w:color w:val="auto"/>
        </w:rPr>
      </w:pPr>
    </w:p>
    <w:p>
      <w:pPr>
        <w:jc w:val="both"/>
        <w:ind w:right="240" w:firstLine="1533"/>
        <w:spacing w:after="0" w:line="223" w:lineRule="auto"/>
        <w:tabs>
          <w:tab w:leader="none" w:pos="1768"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Grantee has a Termination of Employment before Shares subject to an Initial Deferral Election, a Regular Deferral Election or a Subsequent Deferral Election are required to be delivered, Grantee may make a Subsequent Deferral Election to defer all or any portion of such Shares for a minimum of five years and a maximum of seven additional years from the previously-elected distribution date. Such a Subsequent Deferral Election must be filed with the Committee at least one year before the date on which the distribution would otherwise be made.</w:t>
      </w:r>
    </w:p>
    <w:p>
      <w:pPr>
        <w:spacing w:after="0" w:line="58" w:lineRule="exact"/>
        <w:rPr>
          <w:rFonts w:ascii="Times New Roman" w:cs="Times New Roman" w:eastAsia="Times New Roman" w:hAnsi="Times New Roman"/>
          <w:sz w:val="17"/>
          <w:szCs w:val="17"/>
          <w:color w:val="auto"/>
        </w:rPr>
      </w:pPr>
    </w:p>
    <w:p>
      <w:pPr>
        <w:ind w:right="240" w:firstLine="1023"/>
        <w:spacing w:after="0" w:line="238" w:lineRule="auto"/>
        <w:tabs>
          <w:tab w:leader="none" w:pos="1259"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Diversification Election</w:t>
      </w:r>
      <w:r>
        <w:rPr>
          <w:rFonts w:ascii="Times New Roman" w:cs="Times New Roman" w:eastAsia="Times New Roman" w:hAnsi="Times New Roman"/>
          <w:sz w:val="17"/>
          <w:szCs w:val="17"/>
          <w:color w:val="auto"/>
        </w:rPr>
        <w:t>. As provided in the [DC] Plan and as described in the prospectus for the [DC] Plan, a Grantee with an Account may be eligible to make a Diversification Election on an election form supplied by the Committee for this purpose.</w:t>
      </w:r>
    </w:p>
    <w:p>
      <w:pPr>
        <w:spacing w:after="0" w:line="68" w:lineRule="exact"/>
        <w:rPr>
          <w:rFonts w:ascii="Times New Roman" w:cs="Times New Roman" w:eastAsia="Times New Roman" w:hAnsi="Times New Roman"/>
          <w:sz w:val="17"/>
          <w:szCs w:val="17"/>
          <w:color w:val="auto"/>
        </w:rPr>
      </w:pPr>
    </w:p>
    <w:p>
      <w:pPr>
        <w:jc w:val="both"/>
        <w:ind w:right="40" w:firstLine="1023"/>
        <w:spacing w:after="0" w:line="220" w:lineRule="auto"/>
        <w:tabs>
          <w:tab w:leader="none" w:pos="1249"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Book Accounts</w:t>
      </w:r>
      <w:r>
        <w:rPr>
          <w:rFonts w:ascii="Times New Roman" w:cs="Times New Roman" w:eastAsia="Times New Roman" w:hAnsi="Times New Roman"/>
          <w:sz w:val="17"/>
          <w:szCs w:val="17"/>
          <w:color w:val="auto"/>
        </w:rPr>
        <w:t>. An Account shall be established for each Grantee who makes an Initial Deferral Election. Deferred Stock Units shall be credited to the Account as of the Date an Initial Deferral Election becomes effective. Each Deferred Stock Unit will represent a hypothetical Share credited to the Account in lieu of delivery of the Shares to which an Initial Deferral Election, Regular Deferral Election or a Subsequent Deferral Election applies. If an eligible Grantee makes a Diversification Election, then to the extent an Account is deemed invested in the Income Fund, the Committee shall credit earnings with respect to such Account at the Applicable Interest Rate.</w:t>
      </w:r>
    </w:p>
    <w:p>
      <w:pPr>
        <w:spacing w:after="0" w:line="69" w:lineRule="exact"/>
        <w:rPr>
          <w:rFonts w:ascii="Times New Roman" w:cs="Times New Roman" w:eastAsia="Times New Roman" w:hAnsi="Times New Roman"/>
          <w:sz w:val="17"/>
          <w:szCs w:val="17"/>
          <w:color w:val="auto"/>
        </w:rPr>
      </w:pPr>
    </w:p>
    <w:p>
      <w:pPr>
        <w:jc w:val="both"/>
        <w:ind w:right="100" w:firstLine="1023"/>
        <w:spacing w:after="0" w:line="213" w:lineRule="auto"/>
        <w:tabs>
          <w:tab w:leader="none" w:pos="1231"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Status of Deferred Amounts</w:t>
      </w:r>
      <w:r>
        <w:rPr>
          <w:rFonts w:ascii="Times New Roman" w:cs="Times New Roman" w:eastAsia="Times New Roman" w:hAnsi="Times New Roman"/>
          <w:sz w:val="17"/>
          <w:szCs w:val="17"/>
          <w:color w:val="auto"/>
        </w:rPr>
        <w:t>. Grantee’s right to delivery of Shares subject to an Initial Deferral Election, Regular Deferral Election or Subsequent Deferral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[DC] Plan or an Award shall be deemed to create an escrow, trust, custodial account or fiduciary relationship of any kind.</w:t>
      </w:r>
    </w:p>
    <w:p>
      <w:pPr>
        <w:spacing w:after="0" w:line="3" w:lineRule="exact"/>
        <w:rPr>
          <w:rFonts w:ascii="Times New Roman" w:cs="Times New Roman" w:eastAsia="Times New Roman" w:hAnsi="Times New Roman"/>
          <w:sz w:val="17"/>
          <w:szCs w:val="17"/>
          <w:color w:val="auto"/>
        </w:rPr>
      </w:pPr>
    </w:p>
    <w:p>
      <w:pPr>
        <w:ind w:right="160"/>
        <w:spacing w:after="0" w:line="22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the [DC] Plan or an Award shall be construed to eliminate any priority or preferred position of Grantee in a bankruptcy matter with respect to claims for wages.</w:t>
      </w:r>
    </w:p>
    <w:p>
      <w:pPr>
        <w:spacing w:after="0" w:line="57" w:lineRule="exact"/>
        <w:rPr>
          <w:rFonts w:ascii="Times New Roman" w:cs="Times New Roman" w:eastAsia="Times New Roman" w:hAnsi="Times New Roman"/>
          <w:sz w:val="17"/>
          <w:szCs w:val="17"/>
          <w:color w:val="auto"/>
        </w:rPr>
      </w:pPr>
    </w:p>
    <w:p>
      <w:pPr>
        <w:ind w:right="40" w:firstLine="1023"/>
        <w:spacing w:after="0" w:line="228" w:lineRule="auto"/>
        <w:tabs>
          <w:tab w:leader="none" w:pos="1259"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Non-Assignability, Etc.</w:t>
      </w:r>
      <w:r>
        <w:rPr>
          <w:rFonts w:ascii="Times New Roman" w:cs="Times New Roman" w:eastAsia="Times New Roman" w:hAnsi="Times New Roman"/>
          <w:sz w:val="17"/>
          <w:szCs w:val="17"/>
          <w:color w:val="auto"/>
        </w:rPr>
        <w:t xml:space="preserve"> The right of Grantee to receive Shares subject to an Election under this Paragraph 6,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69" w:lineRule="exact"/>
        <w:rPr>
          <w:sz w:val="20"/>
          <w:szCs w:val="20"/>
          <w:color w:val="auto"/>
        </w:rPr>
      </w:pPr>
    </w:p>
    <w:p>
      <w:pPr>
        <w:ind w:right="200" w:firstLine="509"/>
        <w:spacing w:after="0" w:line="223" w:lineRule="auto"/>
        <w:rPr>
          <w:sz w:val="20"/>
          <w:szCs w:val="20"/>
          <w:color w:val="auto"/>
        </w:rPr>
      </w:pPr>
      <w:r>
        <w:rPr>
          <w:rFonts w:ascii="Times New Roman" w:cs="Times New Roman" w:eastAsia="Times New Roman" w:hAnsi="Times New Roman"/>
          <w:sz w:val="17"/>
          <w:szCs w:val="17"/>
          <w:color w:val="auto"/>
        </w:rPr>
        <w:t>7.</w:t>
      </w:r>
      <w:r>
        <w:rPr>
          <w:rFonts w:ascii="Times New Roman" w:cs="Times New Roman" w:eastAsia="Times New Roman" w:hAnsi="Times New Roman"/>
          <w:sz w:val="17"/>
          <w:szCs w:val="17"/>
          <w:u w:val="single" w:color="auto"/>
          <w:color w:val="auto"/>
        </w:rPr>
        <w:t>Nontransferability of Award</w:t>
      </w:r>
      <w:r>
        <w:rPr>
          <w:rFonts w:ascii="Times New Roman" w:cs="Times New Roman" w:eastAsia="Times New Roman" w:hAnsi="Times New Roman"/>
          <w:sz w:val="17"/>
          <w:szCs w:val="17"/>
          <w:color w:val="auto"/>
        </w:rPr>
        <w:t>. The Award and any Performance Stock Units hereunder may not be transferred or assigned by Grantee other than by will or the laws of descent and distribution or be exercised during his life other than by Grantee or for his benefit by his attorney-in-fact or guardian. Any attempt at assignment, transfer, pledge or disposition of any Performance Stock Units contrary to the provisions hereof or the levy of any execution, attachment or similar process upon the Performance Stock Units shall be null and void and without effect.</w:t>
      </w:r>
    </w:p>
    <w:p>
      <w:pPr>
        <w:spacing w:after="0" w:line="69" w:lineRule="exact"/>
        <w:rPr>
          <w:sz w:val="20"/>
          <w:szCs w:val="20"/>
          <w:color w:val="auto"/>
        </w:rPr>
      </w:pPr>
    </w:p>
    <w:p>
      <w:pPr>
        <w:ind w:firstLine="509"/>
        <w:spacing w:after="0" w:line="223" w:lineRule="auto"/>
        <w:rPr>
          <w:sz w:val="20"/>
          <w:szCs w:val="20"/>
          <w:color w:val="auto"/>
        </w:rPr>
      </w:pPr>
      <w:r>
        <w:rPr>
          <w:rFonts w:ascii="Times New Roman" w:cs="Times New Roman" w:eastAsia="Times New Roman" w:hAnsi="Times New Roman"/>
          <w:sz w:val="17"/>
          <w:szCs w:val="17"/>
          <w:color w:val="auto"/>
        </w:rPr>
        <w:t>8.</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to the Company under this Agreement shall be made in care of the Committee at the Company’s main office in Philadelphia, Pennsylvania. The address for Grantee to which notice, demands and other communications to be given or delivered under or by reason of the provisions hereof shall be Grantee’s address as reflected in the Company’s personnel records. All notices under this Agreement shall be deemed to have been given when hand-delivered or mailed, first class postage prepaid.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6-</w:t>
      </w:r>
    </w:p>
    <w:p>
      <w:pPr>
        <w:sectPr>
          <w:pgSz w:w="11900" w:h="16838" w:orient="portrait"/>
          <w:cols w:equalWidth="0" w:num="1">
            <w:col w:w="11240"/>
          </w:cols>
          <w:pgMar w:left="300" w:top="1127" w:right="359" w:bottom="1440" w:gutter="0" w:footer="0" w:header="0"/>
        </w:sectPr>
      </w:pPr>
    </w:p>
    <w:bookmarkStart w:id="193" w:name="page194"/>
    <w:bookmarkEnd w:id="193"/>
    <w:p>
      <w:pPr>
        <w:ind w:right="140" w:firstLine="509"/>
        <w:spacing w:after="0" w:line="228" w:lineRule="auto"/>
        <w:rPr>
          <w:sz w:val="20"/>
          <w:szCs w:val="20"/>
          <w:color w:val="auto"/>
        </w:rPr>
      </w:pPr>
      <w:r>
        <w:rPr>
          <w:rFonts w:ascii="Times New Roman" w:cs="Times New Roman" w:eastAsia="Times New Roman" w:hAnsi="Times New Roman"/>
          <w:sz w:val="17"/>
          <w:szCs w:val="17"/>
          <w:color w:val="auto"/>
        </w:rPr>
        <w:t>9.</w:t>
      </w:r>
      <w:r>
        <w:rPr>
          <w:rFonts w:ascii="Times New Roman" w:cs="Times New Roman" w:eastAsia="Times New Roman" w:hAnsi="Times New Roman"/>
          <w:sz w:val="17"/>
          <w:szCs w:val="17"/>
          <w:u w:val="single" w:color="auto"/>
          <w:color w:val="auto"/>
        </w:rPr>
        <w:t>Securities Laws</w:t>
      </w:r>
      <w:r>
        <w:rPr>
          <w:rFonts w:ascii="Times New Roman" w:cs="Times New Roman" w:eastAsia="Times New Roman" w:hAnsi="Times New Roman"/>
          <w:sz w:val="17"/>
          <w:szCs w:val="17"/>
          <w:color w:val="auto"/>
        </w:rPr>
        <w:t>. The Committee may from time to time impose any conditions on the Shares issuable with respect to Performance Stock Units as it deems necessary or advisable to ensure that the Plan and this Award satisfies the conditions of Rule 16b-3, and that Shares are issued and resold in compliance with the Securities Act of 1933, as amended.</w:t>
      </w: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10.</w:t>
      </w:r>
      <w:r>
        <w:rPr>
          <w:rFonts w:ascii="Times New Roman" w:cs="Times New Roman" w:eastAsia="Times New Roman" w:hAnsi="Times New Roman"/>
          <w:sz w:val="17"/>
          <w:szCs w:val="17"/>
          <w:u w:val="single" w:color="auto"/>
          <w:color w:val="auto"/>
        </w:rPr>
        <w:t>Delivery of Shares; Repayment</w:t>
      </w:r>
      <w:r>
        <w:rPr>
          <w:rFonts w:ascii="Times New Roman" w:cs="Times New Roman" w:eastAsia="Times New Roman" w:hAnsi="Times New Roman"/>
          <w:sz w:val="17"/>
          <w:szCs w:val="17"/>
          <w:color w:val="auto"/>
        </w:rPr>
        <w:t>.</w:t>
      </w:r>
    </w:p>
    <w:p>
      <w:pPr>
        <w:spacing w:after="0" w:line="76" w:lineRule="exact"/>
        <w:rPr>
          <w:sz w:val="20"/>
          <w:szCs w:val="20"/>
          <w:color w:val="auto"/>
        </w:rPr>
      </w:pPr>
    </w:p>
    <w:p>
      <w:pPr>
        <w:ind w:right="100" w:firstLine="1023"/>
        <w:spacing w:after="0" w:line="235" w:lineRule="auto"/>
        <w:tabs>
          <w:tab w:leader="none" w:pos="1249"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Delivery of Shares</w:t>
      </w:r>
      <w:r>
        <w:rPr>
          <w:rFonts w:ascii="Times New Roman" w:cs="Times New Roman" w:eastAsia="Times New Roman" w:hAnsi="Times New Roman"/>
          <w:sz w:val="16"/>
          <w:szCs w:val="16"/>
          <w:color w:val="auto"/>
        </w:rPr>
        <w:t>. Except as otherwise provided in Paragraph 6, the Company shall notify Grantee that a Vesting Date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Stock Units has occurred. Within ten (10) business days of a Vesting Date, the Company shall, without payment from Grantee, satisfy its obligations to</w:t>
      </w:r>
    </w:p>
    <w:p>
      <w:pPr>
        <w:spacing w:after="0" w:line="1" w:lineRule="exact"/>
        <w:rPr>
          <w:rFonts w:ascii="Times New Roman" w:cs="Times New Roman" w:eastAsia="Times New Roman" w:hAnsi="Times New Roman"/>
          <w:sz w:val="16"/>
          <w:szCs w:val="16"/>
          <w:color w:val="auto"/>
        </w:rPr>
      </w:pPr>
    </w:p>
    <w:p>
      <w:pPr>
        <w:ind w:firstLine="5"/>
        <w:spacing w:after="0" w:line="213" w:lineRule="auto"/>
        <w:tabs>
          <w:tab w:leader="none" w:pos="24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pay the Dividend Equivalent Amount (if any) and (2) deliver Shares underlying the applicable Earned PSUs by arranging for the recording of Grantee’s ownership of Shares issuable under the Plan on a book entry recordkeeping system maintained on behalf of the Company, without any legend or restrictions, except for such restrictions as may be imposed by the Committee, in its sole judgment, under Paragraph 9,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multiplied by the Fair Market Value of a Share on the Vesting Date, as determined by the Committee.</w:t>
      </w:r>
    </w:p>
    <w:p>
      <w:pPr>
        <w:spacing w:after="0" w:line="64" w:lineRule="exact"/>
        <w:rPr>
          <w:rFonts w:ascii="Times New Roman" w:cs="Times New Roman" w:eastAsia="Times New Roman" w:hAnsi="Times New Roman"/>
          <w:sz w:val="17"/>
          <w:szCs w:val="17"/>
          <w:color w:val="auto"/>
        </w:rPr>
      </w:pPr>
    </w:p>
    <w:p>
      <w:pPr>
        <w:ind w:right="20" w:firstLine="1023"/>
        <w:spacing w:after="0" w:line="217" w:lineRule="auto"/>
        <w:tabs>
          <w:tab w:leader="none" w:pos="1259"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Repayment</w:t>
      </w:r>
      <w:r>
        <w:rPr>
          <w:rFonts w:ascii="Times New Roman" w:cs="Times New Roman" w:eastAsia="Times New Roman" w:hAnsi="Times New Roman"/>
          <w:sz w:val="17"/>
          <w:szCs w:val="17"/>
          <w:color w:val="auto"/>
        </w:rPr>
        <w:t>. Notwithstanding anything to the contrary contained herein, the Award shall be subject to any clawback or recoupment arrangements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policies the Company has in place from time to time (including, without limitation, any policy adopted to comply with Rule 10D-1 of the 1934 Act or any related stock exchange rules), and the Committee may, to the extent permitted or shall, to the extent required, by applicable law and stock exchange rules or by any applicable Company policy or arrangement, cancel or require reimbursement of the Award or any Shares issued or cash received upon vesting, exercise or settlement of the Award or sale of Shares underlying the Award. In addition, to the extent that the receipt of an Award subject to repayment under this Paragraph 10(b) has been deferred pursuant to Paragraph 6 (or any other plan, program or arrangement that permits the deferral of receipt of an Award), such Award (and any earnings credited with respect thereto) shall be forfeited in lieu of repayment.</w:t>
      </w:r>
    </w:p>
    <w:p>
      <w:pPr>
        <w:spacing w:after="0" w:line="72" w:lineRule="exact"/>
        <w:rPr>
          <w:sz w:val="20"/>
          <w:szCs w:val="20"/>
          <w:color w:val="auto"/>
        </w:rPr>
      </w:pPr>
    </w:p>
    <w:p>
      <w:pPr>
        <w:jc w:val="both"/>
        <w:ind w:right="160" w:firstLine="509"/>
        <w:spacing w:after="0" w:line="267" w:lineRule="auto"/>
        <w:rPr>
          <w:sz w:val="20"/>
          <w:szCs w:val="20"/>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6"/>
          <w:szCs w:val="16"/>
          <w:u w:val="single" w:color="auto"/>
          <w:color w:val="auto"/>
        </w:rPr>
        <w:t>Rights Prior to Settlement</w:t>
      </w:r>
      <w:r>
        <w:rPr>
          <w:rFonts w:ascii="Times New Roman" w:cs="Times New Roman" w:eastAsia="Times New Roman" w:hAnsi="Times New Roman"/>
          <w:sz w:val="16"/>
          <w:szCs w:val="16"/>
          <w:color w:val="auto"/>
        </w:rPr>
        <w:t>. Grantee shall not have any right as a stockholder with respect to any Shares subject to his or her Performance Stock Unit until the Performance Stock Unit shall have been settled in accordance with the terms of the Plan and this Agreement, and the Company shall have delivered the Shares.</w:t>
      </w:r>
    </w:p>
    <w:p>
      <w:pPr>
        <w:spacing w:after="0" w:line="36" w:lineRule="exact"/>
        <w:rPr>
          <w:sz w:val="20"/>
          <w:szCs w:val="20"/>
          <w:color w:val="auto"/>
        </w:rPr>
      </w:pPr>
    </w:p>
    <w:p>
      <w:pPr>
        <w:ind w:right="20" w:firstLine="509"/>
        <w:spacing w:after="0" w:line="230" w:lineRule="auto"/>
        <w:rPr>
          <w:sz w:val="20"/>
          <w:szCs w:val="20"/>
          <w:color w:val="auto"/>
        </w:rPr>
      </w:pPr>
      <w:r>
        <w:rPr>
          <w:rFonts w:ascii="Times New Roman" w:cs="Times New Roman" w:eastAsia="Times New Roman" w:hAnsi="Times New Roman"/>
          <w:sz w:val="16"/>
          <w:szCs w:val="16"/>
          <w:color w:val="auto"/>
        </w:rPr>
        <w:t>12.</w:t>
      </w: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Grantee understands and agrees that all payments made pursuant to this Award are intended to be exempt and/or comply with Section 409A of the Code (together with its implement regulations and guidance, “</w:t>
      </w: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and shall be interpreted on a basis consistent with such intent. For the avoidance of doubt, the Company makes no representations that the payments provided pursuant this Award comply with Section 409A, and in no event will the Company be liable for any taxes, penalties, interest or other expenses that may be incurred by you on account of non-compliance with Section 409A. Notwithstanding anything to the contrary in this Agreement, to the extent that any Performance Stock Units are determined by the Company to be “nonqualified deferred compensation” for purposes Section 409A, and Shares become deliverable with respect to this Award as a result of Grantee’s Termination of Employment, such Shares will only be delivered if such Termination of Employment constitutes a “separation from service” within the meaning of Treas. Reg. § 1.409A-1(h) and, to the extent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7-</w:t>
      </w:r>
    </w:p>
    <w:p>
      <w:pPr>
        <w:sectPr>
          <w:pgSz w:w="11900" w:h="16838" w:orient="portrait"/>
          <w:cols w:equalWidth="0" w:num="1">
            <w:col w:w="11280"/>
          </w:cols>
          <w:pgMar w:left="300" w:top="1127" w:right="319" w:bottom="1440" w:gutter="0" w:footer="0" w:header="0"/>
        </w:sectPr>
      </w:pPr>
    </w:p>
    <w:bookmarkStart w:id="194" w:name="page195"/>
    <w:bookmarkEnd w:id="194"/>
    <w:p>
      <w:pPr>
        <w:spacing w:after="0" w:line="228" w:lineRule="auto"/>
        <w:rPr>
          <w:sz w:val="20"/>
          <w:szCs w:val="20"/>
          <w:color w:val="auto"/>
        </w:rPr>
      </w:pPr>
      <w:r>
        <w:rPr>
          <w:rFonts w:ascii="Times New Roman" w:cs="Times New Roman" w:eastAsia="Times New Roman" w:hAnsi="Times New Roman"/>
          <w:sz w:val="17"/>
          <w:szCs w:val="17"/>
          <w:color w:val="auto"/>
        </w:rPr>
        <w:t>compliance with the requirements of Treas. Reg. § 1.409A-3(i)(2) is necessary to avoid the application of an additional tax under Section 409A of the Code, as determined by the Company, Shares that would otherwise become deliverable upon Grantee’s “separation from service” will be deferred (without interest) and issued to Grantee immediately following the expiration of the six-month period measured from the date of Grantee’s separation from service.</w:t>
      </w:r>
    </w:p>
    <w:p>
      <w:pPr>
        <w:spacing w:after="0" w:line="69" w:lineRule="exact"/>
        <w:rPr>
          <w:sz w:val="20"/>
          <w:szCs w:val="20"/>
          <w:color w:val="auto"/>
        </w:rPr>
      </w:pPr>
    </w:p>
    <w:p>
      <w:pPr>
        <w:jc w:val="both"/>
        <w:ind w:right="20" w:firstLine="514"/>
        <w:spacing w:after="0" w:line="228" w:lineRule="auto"/>
        <w:tabs>
          <w:tab w:leader="none" w:pos="764"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58" w:lineRule="exact"/>
        <w:rPr>
          <w:rFonts w:ascii="Times New Roman" w:cs="Times New Roman" w:eastAsia="Times New Roman" w:hAnsi="Times New Roman"/>
          <w:sz w:val="17"/>
          <w:szCs w:val="17"/>
          <w:color w:val="auto"/>
        </w:rPr>
      </w:pPr>
    </w:p>
    <w:p>
      <w:pPr>
        <w:ind w:right="80" w:firstLine="514"/>
        <w:spacing w:after="0" w:line="238" w:lineRule="auto"/>
        <w:tabs>
          <w:tab w:leader="none" w:pos="764"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Not to Affect Employment</w:t>
      </w:r>
      <w:r>
        <w:rPr>
          <w:rFonts w:ascii="Times New Roman" w:cs="Times New Roman" w:eastAsia="Times New Roman" w:hAnsi="Times New Roman"/>
          <w:sz w:val="17"/>
          <w:szCs w:val="17"/>
          <w:color w:val="auto"/>
        </w:rPr>
        <w:t>. The Award granted hereunder shall not confer upon Grantee any right to continue in the employment of the Company or any Subsidiary Company or Affiliate of the Company.</w:t>
      </w:r>
    </w:p>
    <w:p>
      <w:pPr>
        <w:spacing w:after="0" w:line="69" w:lineRule="exact"/>
        <w:rPr>
          <w:sz w:val="20"/>
          <w:szCs w:val="20"/>
          <w:color w:val="auto"/>
        </w:rPr>
      </w:pPr>
    </w:p>
    <w:p>
      <w:pPr>
        <w:ind w:right="220" w:firstLine="509"/>
        <w:spacing w:after="0" w:line="238" w:lineRule="auto"/>
        <w:rPr>
          <w:sz w:val="20"/>
          <w:szCs w:val="20"/>
          <w:color w:val="auto"/>
        </w:rPr>
      </w:pPr>
      <w:r>
        <w:rPr>
          <w:rFonts w:ascii="Times New Roman" w:cs="Times New Roman" w:eastAsia="Times New Roman" w:hAnsi="Times New Roman"/>
          <w:sz w:val="17"/>
          <w:szCs w:val="17"/>
          <w:color w:val="auto"/>
        </w:rPr>
        <w:t>15.</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validity, performance, construction and effect of this Award shall be governed by the laws of the Commonwealth of Pennsylvania, without giving effect to principles of conflicts of law.</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IN WITNESS WHEREOF, the Company has granted this Award on the Date of Grant.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COMCAST CORPORATION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 ]</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8-</w:t>
      </w:r>
    </w:p>
    <w:p>
      <w:pPr>
        <w:sectPr>
          <w:pgSz w:w="11900" w:h="16838" w:orient="portrait"/>
          <w:cols w:equalWidth="0" w:num="1">
            <w:col w:w="11240"/>
          </w:cols>
          <w:pgMar w:left="300" w:top="1127" w:right="359" w:bottom="1440" w:gutter="0" w:footer="0" w:header="0"/>
        </w:sectPr>
      </w:pPr>
    </w:p>
    <w:bookmarkStart w:id="195" w:name="page196"/>
    <w:bookmarkEnd w:id="19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LONG-TERM INCENTIVE AWARDS SUMMARY SCHEDULE</w:t>
      </w:r>
    </w:p>
    <w:p>
      <w:pPr>
        <w:spacing w:after="0" w:line="14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7"/>
          <w:szCs w:val="17"/>
          <w:color w:val="auto"/>
        </w:rPr>
        <w:t>This Long-Term Incentive Awards Summary Schedule (this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provides certain information related to the Performance Stock Units Grantee was granted by the Company on the Date of Grant pursuant to the Performance Stock Unit Award Agreement to which this Schedule is attached.</w:t>
      </w:r>
    </w:p>
    <w:p>
      <w:pPr>
        <w:spacing w:after="0" w:line="122"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7"/>
          <w:szCs w:val="17"/>
          <w:color w:val="auto"/>
        </w:rPr>
        <w:t>Capitalized terms that are not otherwise defined in this Schedule shall have the meanings given to them in the applicable Performance Stock Unit Award Agreement or in the Plan.</w:t>
      </w:r>
    </w:p>
    <w:p>
      <w:pPr>
        <w:spacing w:after="0" w:line="118" w:lineRule="exact"/>
        <w:rPr>
          <w:sz w:val="20"/>
          <w:szCs w:val="20"/>
          <w:color w:val="auto"/>
        </w:rPr>
      </w:pPr>
    </w:p>
    <w:p>
      <w:pPr>
        <w:ind w:right="700"/>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This Schedule is intended to be, and shall at all times be interpreted as, a part of the Performance Stock Unit Award Agreement to which it relates. </w:t>
      </w:r>
      <w:r>
        <w:rPr>
          <w:rFonts w:ascii="Times New Roman" w:cs="Times New Roman" w:eastAsia="Times New Roman" w:hAnsi="Times New Roman"/>
          <w:sz w:val="17"/>
          <w:szCs w:val="17"/>
          <w:b w:val="1"/>
          <w:bCs w:val="1"/>
          <w:u w:val="single" w:color="auto"/>
          <w:color w:val="auto"/>
        </w:rPr>
        <w:t>Performance Stock Unit Award</w:t>
      </w:r>
    </w:p>
    <w:tbl>
      <w:tblPr>
        <w:tblLayout w:type="fixed"/>
        <w:tblInd w:w="10" w:type="dxa"/>
        <w:tblCellMar>
          <w:top w:w="0" w:type="dxa"/>
          <w:left w:w="0" w:type="dxa"/>
          <w:bottom w:w="0" w:type="dxa"/>
          <w:right w:w="0" w:type="dxa"/>
        </w:tblCellMar>
      </w:tblPr>
      <w:tr>
        <w:trPr>
          <w:trHeight w:val="218"/>
        </w:trPr>
        <w:tc>
          <w:tcPr>
            <w:tcW w:w="3380" w:type="dxa"/>
            <w:vAlign w:val="bottom"/>
            <w:tcBorders>
              <w:top w:val="single" w:sz="8" w:color="auto"/>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Grantee:</w:t>
            </w:r>
          </w:p>
        </w:tc>
        <w:tc>
          <w:tcPr>
            <w:tcW w:w="60" w:type="dxa"/>
            <w:vAlign w:val="bottom"/>
            <w:tcBorders>
              <w:top w:val="single" w:sz="8" w:color="auto"/>
              <w:bottom w:val="single" w:sz="8" w:color="auto"/>
            </w:tcBorders>
          </w:tcPr>
          <w:p>
            <w:pPr>
              <w:spacing w:after="0"/>
              <w:rPr>
                <w:sz w:val="18"/>
                <w:szCs w:val="18"/>
                <w:color w:val="auto"/>
              </w:rPr>
            </w:pPr>
          </w:p>
        </w:tc>
        <w:tc>
          <w:tcPr>
            <w:tcW w:w="786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338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Date of Grant:</w:t>
            </w:r>
          </w:p>
        </w:tc>
        <w:tc>
          <w:tcPr>
            <w:tcW w:w="60" w:type="dxa"/>
            <w:vAlign w:val="bottom"/>
            <w:tcBorders>
              <w:bottom w:val="single" w:sz="8" w:color="auto"/>
            </w:tcBorders>
          </w:tcPr>
          <w:p>
            <w:pPr>
              <w:spacing w:after="0"/>
              <w:rPr>
                <w:sz w:val="19"/>
                <w:szCs w:val="19"/>
                <w:color w:val="auto"/>
              </w:rPr>
            </w:pPr>
          </w:p>
        </w:tc>
        <w:tc>
          <w:tcPr>
            <w:tcW w:w="7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338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Borders>
              <w:bottom w:val="single" w:sz="8" w:color="auto"/>
            </w:tcBorders>
          </w:tcPr>
          <w:p>
            <w:pPr>
              <w:spacing w:after="0"/>
              <w:rPr>
                <w:sz w:val="19"/>
                <w:szCs w:val="19"/>
                <w:color w:val="auto"/>
              </w:rPr>
            </w:pPr>
          </w:p>
        </w:tc>
        <w:tc>
          <w:tcPr>
            <w:tcW w:w="78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Comcast Corporation Class A Common Stock</w:t>
            </w:r>
          </w:p>
        </w:tc>
      </w:tr>
      <w:tr>
        <w:trPr>
          <w:trHeight w:val="247"/>
        </w:trPr>
        <w:tc>
          <w:tcPr>
            <w:tcW w:w="338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Number of Performance Stock Units Granted:</w:t>
            </w:r>
          </w:p>
        </w:tc>
        <w:tc>
          <w:tcPr>
            <w:tcW w:w="60" w:type="dxa"/>
            <w:vAlign w:val="bottom"/>
          </w:tcPr>
          <w:p>
            <w:pPr>
              <w:spacing w:after="0"/>
              <w:rPr>
                <w:sz w:val="21"/>
                <w:szCs w:val="21"/>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 Performance Stock Units (“</w:t>
            </w:r>
            <w:r>
              <w:rPr>
                <w:rFonts w:ascii="Times New Roman" w:cs="Times New Roman" w:eastAsia="Times New Roman" w:hAnsi="Times New Roman"/>
                <w:sz w:val="16"/>
                <w:szCs w:val="16"/>
                <w:b w:val="1"/>
                <w:bCs w:val="1"/>
                <w:color w:val="auto"/>
              </w:rPr>
              <w:t>Target PSUs</w:t>
            </w:r>
            <w:r>
              <w:rPr>
                <w:rFonts w:ascii="Times New Roman" w:cs="Times New Roman" w:eastAsia="Times New Roman" w:hAnsi="Times New Roman"/>
                <w:sz w:val="16"/>
                <w:szCs w:val="16"/>
                <w:color w:val="auto"/>
              </w:rPr>
              <w:t>”)</w:t>
            </w:r>
          </w:p>
        </w:tc>
      </w:tr>
      <w:tr>
        <w:trPr>
          <w:trHeight w:val="49"/>
        </w:trPr>
        <w:tc>
          <w:tcPr>
            <w:tcW w:w="2120" w:type="dxa"/>
            <w:vAlign w:val="bottom"/>
            <w:tcBorders>
              <w:left w:val="single" w:sz="8" w:color="auto"/>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tcPr>
          <w:p>
            <w:pPr>
              <w:spacing w:after="0"/>
              <w:rPr>
                <w:sz w:val="4"/>
                <w:szCs w:val="4"/>
                <w:color w:val="auto"/>
              </w:rPr>
            </w:pPr>
          </w:p>
        </w:tc>
      </w:tr>
      <w:tr>
        <w:trPr>
          <w:trHeight w:val="195"/>
        </w:trPr>
        <w:tc>
          <w:tcPr>
            <w:tcW w:w="338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Vesting of Performance Stock Units:</w:t>
            </w:r>
          </w:p>
        </w:tc>
        <w:tc>
          <w:tcPr>
            <w:tcW w:w="60" w:type="dxa"/>
            <w:vAlign w:val="bottom"/>
          </w:tcPr>
          <w:p>
            <w:pPr>
              <w:spacing w:after="0"/>
              <w:rPr>
                <w:sz w:val="16"/>
                <w:szCs w:val="16"/>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7"/>
              </w:rPr>
              <w:t>The Performance Stock Units will vest upon the satisfaction of both of the Service Condition and the Performance Condition</w:t>
            </w:r>
          </w:p>
        </w:tc>
      </w:tr>
      <w:tr>
        <w:trPr>
          <w:trHeight w:val="203"/>
        </w:trPr>
        <w:tc>
          <w:tcPr>
            <w:tcW w:w="2120" w:type="dxa"/>
            <w:vAlign w:val="bottom"/>
            <w:tcBorders>
              <w:lef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applicable to the Performance Stock Units, as set forth in more detail below.</w:t>
            </w:r>
          </w:p>
        </w:tc>
      </w:tr>
      <w:tr>
        <w:trPr>
          <w:trHeight w:val="28"/>
        </w:trPr>
        <w:tc>
          <w:tcPr>
            <w:tcW w:w="2120" w:type="dxa"/>
            <w:vAlign w:val="bottom"/>
            <w:tcBorders>
              <w:left w:val="single" w:sz="8" w:color="auto"/>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260" w:type="dxa"/>
            <w:vAlign w:val="bottom"/>
            <w:tcBorders>
              <w:bottom w:val="single" w:sz="8" w:color="auto"/>
              <w:right w:val="single" w:sz="8" w:color="auto"/>
            </w:tcBorders>
          </w:tcPr>
          <w:p>
            <w:pPr>
              <w:spacing w:after="0"/>
              <w:rPr>
                <w:sz w:val="2"/>
                <w:szCs w:val="2"/>
                <w:color w:val="auto"/>
              </w:rPr>
            </w:pPr>
          </w:p>
        </w:tc>
      </w:tr>
      <w:tr>
        <w:trPr>
          <w:trHeight w:val="214"/>
        </w:trPr>
        <w:tc>
          <w:tcPr>
            <w:tcW w:w="212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The satisfaction of the “</w:t>
            </w:r>
            <w:r>
              <w:rPr>
                <w:rFonts w:ascii="Times New Roman" w:cs="Times New Roman" w:eastAsia="Times New Roman" w:hAnsi="Times New Roman"/>
                <w:sz w:val="17"/>
                <w:szCs w:val="17"/>
                <w:b w:val="1"/>
                <w:bCs w:val="1"/>
                <w:color w:val="auto"/>
              </w:rPr>
              <w:t>Performance Condition</w:t>
            </w:r>
            <w:r>
              <w:rPr>
                <w:rFonts w:ascii="Times New Roman" w:cs="Times New Roman" w:eastAsia="Times New Roman" w:hAnsi="Times New Roman"/>
                <w:sz w:val="17"/>
                <w:szCs w:val="17"/>
                <w:color w:val="auto"/>
              </w:rPr>
              <w:t>” will be determined as follows:</w:t>
            </w:r>
          </w:p>
        </w:tc>
      </w:tr>
      <w:tr>
        <w:trPr>
          <w:trHeight w:val="350"/>
        </w:trPr>
        <w:tc>
          <w:tcPr>
            <w:tcW w:w="212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[The number of Performance Stock Units earned and eligible to vest and convert to Shares (the “</w:t>
            </w:r>
            <w:r>
              <w:rPr>
                <w:rFonts w:ascii="Times New Roman" w:cs="Times New Roman" w:eastAsia="Times New Roman" w:hAnsi="Times New Roman"/>
                <w:sz w:val="17"/>
                <w:szCs w:val="17"/>
                <w:b w:val="1"/>
                <w:bCs w:val="1"/>
                <w:color w:val="auto"/>
              </w:rPr>
              <w:t>Earned PSUs</w:t>
            </w:r>
            <w:r>
              <w:rPr>
                <w:rFonts w:ascii="Times New Roman" w:cs="Times New Roman" w:eastAsia="Times New Roman" w:hAnsi="Times New Roman"/>
                <w:sz w:val="17"/>
                <w:szCs w:val="17"/>
                <w:color w:val="auto"/>
              </w:rPr>
              <w:t>”)</w:t>
            </w:r>
          </w:p>
        </w:tc>
      </w:tr>
      <w:tr>
        <w:trPr>
          <w:trHeight w:val="170"/>
        </w:trPr>
        <w:tc>
          <w:tcPr>
            <w:tcW w:w="2120" w:type="dxa"/>
            <w:vAlign w:val="bottom"/>
            <w:tcBorders>
              <w:lef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60" w:type="dxa"/>
            <w:vAlign w:val="bottom"/>
            <w:tcBorders>
              <w:right w:val="single" w:sz="8" w:color="auto"/>
            </w:tcBorders>
            <w:gridSpan w:val="2"/>
          </w:tcPr>
          <w:p>
            <w:pPr>
              <w:spacing w:after="0" w:line="171" w:lineRule="exact"/>
              <w:rPr>
                <w:sz w:val="20"/>
                <w:szCs w:val="20"/>
                <w:color w:val="auto"/>
              </w:rPr>
            </w:pPr>
            <w:r>
              <w:rPr>
                <w:rFonts w:ascii="Times New Roman" w:cs="Times New Roman" w:eastAsia="Times New Roman" w:hAnsi="Times New Roman"/>
                <w:sz w:val="17"/>
                <w:szCs w:val="17"/>
                <w:color w:val="auto"/>
              </w:rPr>
              <w:t xml:space="preserve">will be equal to (i) the number of Target PSUs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 the [Final][●] Performance Goal Achievement</w:t>
            </w:r>
          </w:p>
        </w:tc>
      </w:tr>
      <w:tr>
        <w:trPr>
          <w:trHeight w:val="255"/>
        </w:trPr>
        <w:tc>
          <w:tcPr>
            <w:tcW w:w="338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Performance Condition:</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22"/>
                <w:szCs w:val="22"/>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Percentage.]</w:t>
            </w:r>
          </w:p>
        </w:tc>
      </w:tr>
      <w:tr>
        <w:trPr>
          <w:trHeight w:val="180"/>
        </w:trPr>
        <w:tc>
          <w:tcPr>
            <w:tcW w:w="3380" w:type="dxa"/>
            <w:vAlign w:val="bottom"/>
            <w:tcBorders>
              <w:left w:val="single" w:sz="8" w:color="auto"/>
              <w:right w:val="single" w:sz="8" w:color="auto"/>
            </w:tcBorders>
            <w:gridSpan w:val="2"/>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 Performance Goal Achievement Percentage]</w:t>
            </w:r>
          </w:p>
        </w:tc>
        <w:tc>
          <w:tcPr>
            <w:tcW w:w="60" w:type="dxa"/>
            <w:vAlign w:val="bottom"/>
          </w:tcPr>
          <w:p>
            <w:pPr>
              <w:spacing w:after="0"/>
              <w:rPr>
                <w:sz w:val="15"/>
                <w:szCs w:val="15"/>
                <w:color w:val="auto"/>
              </w:rPr>
            </w:pPr>
          </w:p>
        </w:tc>
        <w:tc>
          <w:tcPr>
            <w:tcW w:w="7860" w:type="dxa"/>
            <w:vAlign w:val="bottom"/>
            <w:tcBorders>
              <w:right w:val="single" w:sz="8" w:color="auto"/>
            </w:tcBorders>
            <w:gridSpan w:val="2"/>
          </w:tcPr>
          <w:p>
            <w:pPr>
              <w:spacing w:after="0" w:line="180" w:lineRule="exact"/>
              <w:rPr>
                <w:sz w:val="20"/>
                <w:szCs w:val="20"/>
                <w:color w:val="auto"/>
              </w:rPr>
            </w:pPr>
            <w:r>
              <w:rPr>
                <w:rFonts w:ascii="Times New Roman" w:cs="Times New Roman" w:eastAsia="Times New Roman" w:hAnsi="Times New Roman"/>
                <w:sz w:val="17"/>
                <w:szCs w:val="17"/>
                <w:color w:val="auto"/>
              </w:rPr>
              <w:t>[[●]% of the Target PSUs are subject to the [●] Performance Goal [and [●]% of the Target PSUs are subject to the</w:t>
            </w:r>
          </w:p>
        </w:tc>
      </w:tr>
      <w:tr>
        <w:trPr>
          <w:trHeight w:val="237"/>
        </w:trPr>
        <w:tc>
          <w:tcPr>
            <w:tcW w:w="338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 Performance Goal.]]</w:t>
            </w:r>
          </w:p>
        </w:tc>
      </w:tr>
      <w:tr>
        <w:trPr>
          <w:trHeight w:val="347"/>
        </w:trPr>
        <w:tc>
          <w:tcPr>
            <w:tcW w:w="212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 Performance Goal]</w:t>
            </w:r>
          </w:p>
        </w:tc>
      </w:tr>
      <w:tr>
        <w:trPr>
          <w:trHeight w:val="20"/>
        </w:trPr>
        <w:tc>
          <w:tcPr>
            <w:tcW w:w="2120" w:type="dxa"/>
            <w:vAlign w:val="bottom"/>
            <w:tcBorders>
              <w:left w:val="single" w:sz="8" w:color="auto"/>
            </w:tcBorders>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260" w:type="dxa"/>
            <w:vAlign w:val="bottom"/>
            <w:tcBorders>
              <w:right w:val="single" w:sz="8" w:color="auto"/>
            </w:tcBorders>
          </w:tcPr>
          <w:p>
            <w:pPr>
              <w:spacing w:after="0" w:line="20" w:lineRule="exact"/>
              <w:rPr>
                <w:sz w:val="1"/>
                <w:szCs w:val="1"/>
                <w:color w:val="auto"/>
              </w:rPr>
            </w:pPr>
          </w:p>
        </w:tc>
      </w:tr>
      <w:tr>
        <w:trPr>
          <w:trHeight w:val="171"/>
        </w:trPr>
        <w:tc>
          <w:tcPr>
            <w:tcW w:w="2120" w:type="dxa"/>
            <w:vAlign w:val="bottom"/>
            <w:tcBorders>
              <w:lef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60" w:type="dxa"/>
            <w:vAlign w:val="bottom"/>
            <w:tcBorders>
              <w:right w:val="single" w:sz="8" w:color="auto"/>
            </w:tcBorders>
            <w:gridSpan w:val="2"/>
          </w:tcPr>
          <w:p>
            <w:pPr>
              <w:spacing w:after="0" w:line="171" w:lineRule="exact"/>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 Performance Goal Achievement Percentage</w:t>
            </w:r>
            <w:r>
              <w:rPr>
                <w:rFonts w:ascii="Times New Roman" w:cs="Times New Roman" w:eastAsia="Times New Roman" w:hAnsi="Times New Roman"/>
                <w:sz w:val="17"/>
                <w:szCs w:val="17"/>
                <w:color w:val="auto"/>
              </w:rPr>
              <w:t>” will be [determined based on the level of achievement</w:t>
            </w:r>
          </w:p>
        </w:tc>
      </w:tr>
      <w:tr>
        <w:trPr>
          <w:trHeight w:val="170"/>
        </w:trPr>
        <w:tc>
          <w:tcPr>
            <w:tcW w:w="2120" w:type="dxa"/>
            <w:vAlign w:val="bottom"/>
            <w:tcBorders>
              <w:lef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60" w:type="dxa"/>
            <w:vAlign w:val="bottom"/>
            <w:tcBorders>
              <w:right w:val="single" w:sz="8" w:color="auto"/>
            </w:tcBorders>
            <w:gridSpan w:val="2"/>
          </w:tcPr>
          <w:p>
            <w:pPr>
              <w:spacing w:after="0" w:line="171" w:lineRule="exact"/>
              <w:rPr>
                <w:sz w:val="20"/>
                <w:szCs w:val="20"/>
                <w:color w:val="auto"/>
              </w:rPr>
            </w:pPr>
            <w:r>
              <w:rPr>
                <w:rFonts w:ascii="Times New Roman" w:cs="Times New Roman" w:eastAsia="Times New Roman" w:hAnsi="Times New Roman"/>
                <w:sz w:val="17"/>
                <w:szCs w:val="17"/>
                <w:color w:val="auto"/>
              </w:rPr>
              <w:t>of [●],] determined as follows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there will be straight-line interpolation to derive the [●] Performance</w:t>
            </w:r>
          </w:p>
        </w:tc>
      </w:tr>
      <w:tr>
        <w:trPr>
          <w:trHeight w:val="219"/>
        </w:trPr>
        <w:tc>
          <w:tcPr>
            <w:tcW w:w="2120" w:type="dxa"/>
            <w:vAlign w:val="bottom"/>
            <w:tcBorders>
              <w:lef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Goal Achievement Percentage not expressly set forth below):</w:t>
            </w:r>
          </w:p>
        </w:tc>
      </w:tr>
      <w:tr>
        <w:trPr>
          <w:trHeight w:val="414"/>
        </w:trPr>
        <w:tc>
          <w:tcPr>
            <w:tcW w:w="212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t>
            </w:r>
          </w:p>
        </w:tc>
      </w:tr>
      <w:tr>
        <w:trPr>
          <w:trHeight w:val="470"/>
        </w:trPr>
        <w:tc>
          <w:tcPr>
            <w:tcW w:w="212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 Performance Goal]</w:t>
            </w:r>
          </w:p>
        </w:tc>
      </w:tr>
      <w:tr>
        <w:trPr>
          <w:trHeight w:val="20"/>
        </w:trPr>
        <w:tc>
          <w:tcPr>
            <w:tcW w:w="2120" w:type="dxa"/>
            <w:vAlign w:val="bottom"/>
            <w:tcBorders>
              <w:left w:val="single" w:sz="8" w:color="auto"/>
            </w:tcBorders>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260" w:type="dxa"/>
            <w:vAlign w:val="bottom"/>
            <w:tcBorders>
              <w:right w:val="single" w:sz="8" w:color="auto"/>
            </w:tcBorders>
          </w:tcPr>
          <w:p>
            <w:pPr>
              <w:spacing w:after="0" w:line="20" w:lineRule="exact"/>
              <w:rPr>
                <w:sz w:val="1"/>
                <w:szCs w:val="1"/>
                <w:color w:val="auto"/>
              </w:rPr>
            </w:pPr>
          </w:p>
        </w:tc>
      </w:tr>
      <w:tr>
        <w:trPr>
          <w:trHeight w:val="383"/>
        </w:trPr>
        <w:tc>
          <w:tcPr>
            <w:tcW w:w="212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 Performance Goal Achievement Percentage</w:t>
            </w:r>
            <w:r>
              <w:rPr>
                <w:rFonts w:ascii="Times New Roman" w:cs="Times New Roman" w:eastAsia="Times New Roman" w:hAnsi="Times New Roman"/>
                <w:sz w:val="17"/>
                <w:szCs w:val="17"/>
                <w:color w:val="auto"/>
              </w:rPr>
              <w:t>” will be [determined based on the level of achievement</w:t>
            </w:r>
          </w:p>
        </w:tc>
      </w:tr>
      <w:tr>
        <w:trPr>
          <w:trHeight w:val="170"/>
        </w:trPr>
        <w:tc>
          <w:tcPr>
            <w:tcW w:w="2120" w:type="dxa"/>
            <w:vAlign w:val="bottom"/>
            <w:tcBorders>
              <w:lef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60" w:type="dxa"/>
            <w:vAlign w:val="bottom"/>
            <w:tcBorders>
              <w:right w:val="single" w:sz="8" w:color="auto"/>
            </w:tcBorders>
            <w:gridSpan w:val="2"/>
          </w:tcPr>
          <w:p>
            <w:pPr>
              <w:spacing w:after="0" w:line="171" w:lineRule="exact"/>
              <w:rPr>
                <w:sz w:val="20"/>
                <w:szCs w:val="20"/>
                <w:color w:val="auto"/>
              </w:rPr>
            </w:pPr>
            <w:r>
              <w:rPr>
                <w:rFonts w:ascii="Times New Roman" w:cs="Times New Roman" w:eastAsia="Times New Roman" w:hAnsi="Times New Roman"/>
                <w:sz w:val="17"/>
                <w:szCs w:val="17"/>
                <w:color w:val="auto"/>
              </w:rPr>
              <w:t>of [●],] determined as follows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there will be straight-line interpolation to derive the [●] Performance</w:t>
            </w:r>
          </w:p>
        </w:tc>
      </w:tr>
      <w:tr>
        <w:trPr>
          <w:trHeight w:val="219"/>
        </w:trPr>
        <w:tc>
          <w:tcPr>
            <w:tcW w:w="2120" w:type="dxa"/>
            <w:vAlign w:val="bottom"/>
            <w:tcBorders>
              <w:lef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Goal Achievement Percentage not expressly set forth below):</w:t>
            </w:r>
          </w:p>
        </w:tc>
      </w:tr>
      <w:tr>
        <w:trPr>
          <w:trHeight w:val="414"/>
        </w:trPr>
        <w:tc>
          <w:tcPr>
            <w:tcW w:w="212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t>
            </w:r>
          </w:p>
        </w:tc>
      </w:tr>
      <w:tr>
        <w:trPr>
          <w:trHeight w:val="333"/>
        </w:trPr>
        <w:tc>
          <w:tcPr>
            <w:tcW w:w="338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[[●][TSR] Modifier Performance Goal</w:t>
            </w:r>
          </w:p>
        </w:tc>
        <w:tc>
          <w:tcPr>
            <w:tcW w:w="60" w:type="dxa"/>
            <w:vAlign w:val="bottom"/>
          </w:tcPr>
          <w:p>
            <w:pPr>
              <w:spacing w:after="0"/>
              <w:rPr>
                <w:sz w:val="24"/>
                <w:szCs w:val="24"/>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[●][TSR] Modifier Performance Goal Achievement Percentage</w:t>
            </w:r>
            <w:r>
              <w:rPr>
                <w:rFonts w:ascii="Times New Roman" w:cs="Times New Roman" w:eastAsia="Times New Roman" w:hAnsi="Times New Roman"/>
                <w:sz w:val="16"/>
                <w:szCs w:val="16"/>
                <w:color w:val="auto"/>
              </w:rPr>
              <w:t>” will be [determined based on the level of</w:t>
            </w:r>
          </w:p>
        </w:tc>
      </w:tr>
      <w:tr>
        <w:trPr>
          <w:trHeight w:val="204"/>
        </w:trPr>
        <w:tc>
          <w:tcPr>
            <w:tcW w:w="338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Achievement Percentage:]</w:t>
            </w:r>
          </w:p>
        </w:tc>
        <w:tc>
          <w:tcPr>
            <w:tcW w:w="60" w:type="dxa"/>
            <w:vAlign w:val="bottom"/>
          </w:tcPr>
          <w:p>
            <w:pPr>
              <w:spacing w:after="0"/>
              <w:rPr>
                <w:sz w:val="17"/>
                <w:szCs w:val="17"/>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achievement of [●][TSR],] determined as follows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there will be straight-line interpolation to derive the [●]</w:t>
            </w:r>
          </w:p>
        </w:tc>
      </w:tr>
      <w:tr>
        <w:trPr>
          <w:trHeight w:val="203"/>
        </w:trPr>
        <w:tc>
          <w:tcPr>
            <w:tcW w:w="2120" w:type="dxa"/>
            <w:vAlign w:val="bottom"/>
            <w:tcBorders>
              <w:lef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[TSR] Modifier Performance Goal Achievement Percentage not expressly set forth below)]:</w:t>
            </w:r>
          </w:p>
        </w:tc>
      </w:tr>
      <w:tr>
        <w:trPr>
          <w:trHeight w:val="259"/>
        </w:trPr>
        <w:tc>
          <w:tcPr>
            <w:tcW w:w="2120" w:type="dxa"/>
            <w:vAlign w:val="bottom"/>
            <w:tcBorders>
              <w:lef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8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t>
            </w:r>
          </w:p>
        </w:tc>
      </w:tr>
      <w:tr>
        <w:trPr>
          <w:trHeight w:val="183"/>
        </w:trPr>
        <w:tc>
          <w:tcPr>
            <w:tcW w:w="2120" w:type="dxa"/>
            <w:vAlign w:val="bottom"/>
            <w:tcBorders>
              <w:lef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260" w:type="dxa"/>
            <w:vAlign w:val="bottom"/>
            <w:tcBorders>
              <w:right w:val="single" w:sz="8" w:color="auto"/>
            </w:tcBorders>
          </w:tcPr>
          <w:p>
            <w:pPr>
              <w:spacing w:after="0"/>
              <w:rPr>
                <w:sz w:val="15"/>
                <w:szCs w:val="15"/>
                <w:color w:val="auto"/>
              </w:rPr>
            </w:pPr>
          </w:p>
        </w:tc>
      </w:tr>
      <w:tr>
        <w:trPr>
          <w:trHeight w:val="212"/>
        </w:trPr>
        <w:tc>
          <w:tcPr>
            <w:tcW w:w="2120" w:type="dxa"/>
            <w:vAlign w:val="bottom"/>
            <w:tcBorders>
              <w:bottom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-160020</wp:posOffset>
            </wp:positionV>
            <wp:extent cx="2154555" cy="323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2154555" cy="323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-827405</wp:posOffset>
            </wp:positionV>
            <wp:extent cx="2154555" cy="323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5">
                      <a:extLst>
                        <a:ext uri="{28A0092B-C50C-407E-A947-70E740481C1C}"/>
                      </a:extLst>
                    </a:blip>
                    <a:srcRect/>
                    <a:stretch>
                      <a:fillRect/>
                    </a:stretch>
                  </pic:blipFill>
                  <pic:spPr bwMode="auto">
                    <a:xfrm>
                      <a:off x="0" y="0"/>
                      <a:ext cx="2154555" cy="323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-3084195</wp:posOffset>
            </wp:positionV>
            <wp:extent cx="2154555" cy="323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6">
                      <a:extLst>
                        <a:ext uri="{28A0092B-C50C-407E-A947-70E740481C1C}"/>
                      </a:extLst>
                    </a:blip>
                    <a:srcRect/>
                    <a:stretch>
                      <a:fillRect/>
                    </a:stretch>
                  </pic:blipFill>
                  <pic:spPr bwMode="auto">
                    <a:xfrm>
                      <a:off x="0" y="0"/>
                      <a:ext cx="2154555" cy="32385"/>
                    </a:xfrm>
                    <a:prstGeom prst="rect">
                      <a:avLst/>
                    </a:prstGeom>
                    <a:noFill/>
                  </pic:spPr>
                </pic:pic>
              </a:graphicData>
            </a:graphic>
          </wp:anchor>
        </w:drawing>
      </w:r>
    </w:p>
    <w:p>
      <w:pPr>
        <w:spacing w:after="0" w:line="29" w:lineRule="exact"/>
        <w:rPr>
          <w:sz w:val="20"/>
          <w:szCs w:val="20"/>
          <w:color w:val="auto"/>
        </w:rPr>
      </w:pPr>
    </w:p>
    <w:p>
      <w:pPr>
        <w:ind w:right="40" w:firstLine="5"/>
        <w:spacing w:after="0" w:line="255" w:lineRule="auto"/>
        <w:tabs>
          <w:tab w:leader="none" w:pos="78" w:val="left"/>
        </w:tabs>
        <w:numPr>
          <w:ilvl w:val="0"/>
          <w:numId w:val="168"/>
        </w:numPr>
        <w:rPr>
          <w:rFonts w:ascii="Calibri" w:cs="Calibri" w:eastAsia="Calibri" w:hAnsi="Calibri"/>
          <w:sz w:val="9"/>
          <w:szCs w:val="9"/>
          <w:color w:val="auto"/>
        </w:rPr>
      </w:pPr>
      <w:r>
        <w:rPr>
          <w:rFonts w:ascii="Times New Roman" w:cs="Times New Roman" w:eastAsia="Times New Roman" w:hAnsi="Times New Roman"/>
          <w:sz w:val="14"/>
          <w:szCs w:val="14"/>
          <w:color w:val="auto"/>
        </w:rPr>
        <w:t>The performance goals may be any financial, operational or shareholder return metrics (or any combination thereof) determined by the Board or the Committee, and may be measured on an absolute and/or relative basis.</w:t>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9-</w:t>
      </w:r>
    </w:p>
    <w:p>
      <w:pPr>
        <w:sectPr>
          <w:pgSz w:w="11900" w:h="16838" w:orient="portrait"/>
          <w:cols w:equalWidth="0" w:num="1">
            <w:col w:w="11300"/>
          </w:cols>
          <w:pgMar w:left="300" w:top="1123" w:right="299" w:bottom="1440" w:gutter="0" w:footer="0" w:header="0"/>
        </w:sectPr>
      </w:pPr>
    </w:p>
    <w:bookmarkStart w:id="196" w:name="page197"/>
    <w:bookmarkEnd w:id="196"/>
    <w:tbl>
      <w:tblPr>
        <w:tblLayout w:type="fixed"/>
        <w:tblInd w:w="10" w:type="dxa"/>
        <w:tblCellMar>
          <w:top w:w="0" w:type="dxa"/>
          <w:left w:w="0" w:type="dxa"/>
          <w:bottom w:w="0" w:type="dxa"/>
          <w:right w:w="0" w:type="dxa"/>
        </w:tblCellMar>
      </w:tblPr>
      <w:tr>
        <w:trPr>
          <w:trHeight w:val="219"/>
        </w:trPr>
        <w:tc>
          <w:tcPr>
            <w:tcW w:w="3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[[Final] Performance Achievement Percentage:]</w:t>
            </w: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[Final] Performance Achievement Percentage</w:t>
            </w:r>
            <w:r>
              <w:rPr>
                <w:rFonts w:ascii="Times New Roman" w:cs="Times New Roman" w:eastAsia="Times New Roman" w:hAnsi="Times New Roman"/>
                <w:sz w:val="16"/>
                <w:szCs w:val="16"/>
                <w:color w:val="auto"/>
              </w:rPr>
              <w:t>” means (A) [●][the [mathematical average] of [(i) the [●]</w:t>
            </w:r>
          </w:p>
        </w:tc>
      </w:tr>
      <w:tr>
        <w:trPr>
          <w:trHeight w:val="202"/>
        </w:trPr>
        <w:tc>
          <w:tcPr>
            <w:tcW w:w="3380" w:type="dxa"/>
            <w:vAlign w:val="bottom"/>
            <w:tcBorders>
              <w:left w:val="single" w:sz="8" w:color="auto"/>
              <w:right w:val="single" w:sz="8" w:color="auto"/>
            </w:tcBorders>
          </w:tcPr>
          <w:p>
            <w:pPr>
              <w:spacing w:after="0"/>
              <w:rPr>
                <w:sz w:val="17"/>
                <w:szCs w:val="17"/>
                <w:color w:val="auto"/>
              </w:rPr>
            </w:pP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Performance Goal Achievement Percentage[,][and] (ii) the [●] Performance Goal Achievement Percentage [multiplied by</w:t>
            </w:r>
          </w:p>
        </w:tc>
      </w:tr>
      <w:tr>
        <w:trPr>
          <w:trHeight w:val="203"/>
        </w:trPr>
        <w:tc>
          <w:tcPr>
            <w:tcW w:w="3380" w:type="dxa"/>
            <w:vAlign w:val="bottom"/>
            <w:tcBorders>
              <w:left w:val="single" w:sz="8" w:color="auto"/>
              <w:right w:val="single" w:sz="8" w:color="auto"/>
            </w:tcBorders>
          </w:tcPr>
          <w:p>
            <w:pPr>
              <w:spacing w:after="0"/>
              <w:rPr>
                <w:sz w:val="17"/>
                <w:szCs w:val="17"/>
                <w:color w:val="auto"/>
              </w:rPr>
            </w:pP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 the [●][TSR] Modifier Performance Goal Achievement Percentage]]].]</w:t>
            </w:r>
          </w:p>
        </w:tc>
      </w:tr>
      <w:tr>
        <w:trPr>
          <w:trHeight w:val="350"/>
        </w:trPr>
        <w:tc>
          <w:tcPr>
            <w:tcW w:w="3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Performance Period:</w:t>
            </w: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Performance Period</w:t>
            </w:r>
            <w:r>
              <w:rPr>
                <w:rFonts w:ascii="Times New Roman" w:cs="Times New Roman" w:eastAsia="Times New Roman" w:hAnsi="Times New Roman"/>
                <w:sz w:val="16"/>
                <w:szCs w:val="16"/>
                <w:color w:val="auto"/>
              </w:rPr>
              <w:t>” means the [●][the period beginning [●] and ending [●].]</w:t>
            </w:r>
          </w:p>
        </w:tc>
      </w:tr>
      <w:tr>
        <w:trPr>
          <w:trHeight w:val="49"/>
        </w:trPr>
        <w:tc>
          <w:tcPr>
            <w:tcW w:w="3380" w:type="dxa"/>
            <w:vAlign w:val="bottom"/>
            <w:tcBorders>
              <w:left w:val="single" w:sz="8" w:color="auto"/>
              <w:bottom w:val="single" w:sz="8" w:color="auto"/>
              <w:right w:val="single" w:sz="8" w:color="auto"/>
            </w:tcBorders>
          </w:tcPr>
          <w:p>
            <w:pPr>
              <w:spacing w:after="0"/>
              <w:rPr>
                <w:sz w:val="4"/>
                <w:szCs w:val="4"/>
                <w:color w:val="auto"/>
              </w:rPr>
            </w:pPr>
          </w:p>
        </w:tc>
        <w:tc>
          <w:tcPr>
            <w:tcW w:w="7920" w:type="dxa"/>
            <w:vAlign w:val="bottom"/>
            <w:tcBorders>
              <w:bottom w:val="single" w:sz="8" w:color="auto"/>
              <w:right w:val="single" w:sz="8" w:color="auto"/>
            </w:tcBorders>
          </w:tcPr>
          <w:p>
            <w:pPr>
              <w:spacing w:after="0"/>
              <w:rPr>
                <w:sz w:val="4"/>
                <w:szCs w:val="4"/>
                <w:color w:val="auto"/>
              </w:rPr>
            </w:pPr>
          </w:p>
        </w:tc>
      </w:tr>
      <w:tr>
        <w:trPr>
          <w:trHeight w:val="193"/>
        </w:trPr>
        <w:tc>
          <w:tcPr>
            <w:tcW w:w="3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Service Condition:</w:t>
            </w: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7"/>
              </w:rPr>
              <w:t>Except as otherwise provided in Paragraph 4 of Performance Stock Unit Award Agreement, Grantee will satisfy the “</w:t>
            </w:r>
            <w:r>
              <w:rPr>
                <w:rFonts w:ascii="Times New Roman" w:cs="Times New Roman" w:eastAsia="Times New Roman" w:hAnsi="Times New Roman"/>
                <w:sz w:val="16"/>
                <w:szCs w:val="16"/>
                <w:b w:val="1"/>
                <w:bCs w:val="1"/>
                <w:color w:val="auto"/>
                <w:w w:val="97"/>
              </w:rPr>
              <w:t>Service</w:t>
            </w:r>
          </w:p>
        </w:tc>
      </w:tr>
      <w:tr>
        <w:trPr>
          <w:trHeight w:val="204"/>
        </w:trPr>
        <w:tc>
          <w:tcPr>
            <w:tcW w:w="3380" w:type="dxa"/>
            <w:vAlign w:val="bottom"/>
            <w:tcBorders>
              <w:left w:val="single" w:sz="8" w:color="auto"/>
              <w:right w:val="single" w:sz="8" w:color="auto"/>
            </w:tcBorders>
          </w:tcPr>
          <w:p>
            <w:pPr>
              <w:spacing w:after="0"/>
              <w:rPr>
                <w:sz w:val="17"/>
                <w:szCs w:val="17"/>
                <w:color w:val="auto"/>
              </w:rPr>
            </w:pP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Condition</w:t>
            </w:r>
            <w:r>
              <w:rPr>
                <w:rFonts w:ascii="Times New Roman" w:cs="Times New Roman" w:eastAsia="Times New Roman" w:hAnsi="Times New Roman"/>
                <w:sz w:val="16"/>
                <w:szCs w:val="16"/>
                <w:color w:val="auto"/>
                <w:w w:val="98"/>
              </w:rPr>
              <w:t>” applicable to the Earned PSUs on [each of] the date[s] set forth below ([each, a][the] “</w:t>
            </w:r>
            <w:r>
              <w:rPr>
                <w:rFonts w:ascii="Times New Roman" w:cs="Times New Roman" w:eastAsia="Times New Roman" w:hAnsi="Times New Roman"/>
                <w:sz w:val="16"/>
                <w:szCs w:val="16"/>
                <w:b w:val="1"/>
                <w:bCs w:val="1"/>
                <w:color w:val="auto"/>
                <w:w w:val="98"/>
              </w:rPr>
              <w:t>Service Vesting Date</w:t>
            </w:r>
            <w:r>
              <w:rPr>
                <w:rFonts w:ascii="Times New Roman" w:cs="Times New Roman" w:eastAsia="Times New Roman" w:hAnsi="Times New Roman"/>
                <w:sz w:val="16"/>
                <w:szCs w:val="16"/>
                <w:color w:val="auto"/>
                <w:w w:val="98"/>
              </w:rPr>
              <w:t>”),</w:t>
            </w:r>
          </w:p>
        </w:tc>
      </w:tr>
      <w:tr>
        <w:trPr>
          <w:trHeight w:val="203"/>
        </w:trPr>
        <w:tc>
          <w:tcPr>
            <w:tcW w:w="3380" w:type="dxa"/>
            <w:vAlign w:val="bottom"/>
            <w:tcBorders>
              <w:left w:val="single" w:sz="8" w:color="auto"/>
              <w:right w:val="single" w:sz="8" w:color="auto"/>
            </w:tcBorders>
          </w:tcPr>
          <w:p>
            <w:pPr>
              <w:spacing w:after="0"/>
              <w:rPr>
                <w:sz w:val="17"/>
                <w:szCs w:val="17"/>
                <w:color w:val="auto"/>
              </w:rPr>
            </w:pP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subject to Grantee’s continued employment through the applicable Service Vesting Date[s]:</w:t>
            </w:r>
          </w:p>
        </w:tc>
      </w:tr>
      <w:tr>
        <w:trPr>
          <w:trHeight w:val="520"/>
        </w:trPr>
        <w:tc>
          <w:tcPr>
            <w:tcW w:w="338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r>
      <w:tr>
        <w:trPr>
          <w:trHeight w:val="49"/>
        </w:trPr>
        <w:tc>
          <w:tcPr>
            <w:tcW w:w="3380" w:type="dxa"/>
            <w:vAlign w:val="bottom"/>
            <w:tcBorders>
              <w:left w:val="single" w:sz="8" w:color="auto"/>
              <w:bottom w:val="single" w:sz="8" w:color="auto"/>
              <w:right w:val="single" w:sz="8" w:color="auto"/>
            </w:tcBorders>
          </w:tcPr>
          <w:p>
            <w:pPr>
              <w:spacing w:after="0"/>
              <w:rPr>
                <w:sz w:val="4"/>
                <w:szCs w:val="4"/>
                <w:color w:val="auto"/>
              </w:rPr>
            </w:pPr>
          </w:p>
        </w:tc>
        <w:tc>
          <w:tcPr>
            <w:tcW w:w="7920" w:type="dxa"/>
            <w:vAlign w:val="bottom"/>
            <w:tcBorders>
              <w:bottom w:val="single" w:sz="8" w:color="auto"/>
              <w:right w:val="single" w:sz="8" w:color="auto"/>
            </w:tcBorders>
          </w:tcPr>
          <w:p>
            <w:pPr>
              <w:spacing w:after="0"/>
              <w:rPr>
                <w:sz w:val="4"/>
                <w:szCs w:val="4"/>
                <w:color w:val="auto"/>
              </w:rPr>
            </w:pPr>
          </w:p>
        </w:tc>
      </w:tr>
      <w:tr>
        <w:trPr>
          <w:trHeight w:val="221"/>
        </w:trPr>
        <w:tc>
          <w:tcPr>
            <w:tcW w:w="3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Definitions:</w:t>
            </w: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color w:val="auto"/>
              </w:rPr>
              <w:t>” means [●].]</w:t>
            </w:r>
          </w:p>
        </w:tc>
      </w:tr>
      <w:tr>
        <w:trPr>
          <w:trHeight w:val="361"/>
        </w:trPr>
        <w:tc>
          <w:tcPr>
            <w:tcW w:w="338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Adjusted] EPS</w:t>
            </w:r>
            <w:r>
              <w:rPr>
                <w:rFonts w:ascii="Times New Roman" w:cs="Times New Roman" w:eastAsia="Times New Roman" w:hAnsi="Times New Roman"/>
                <w:sz w:val="17"/>
                <w:szCs w:val="17"/>
                <w:color w:val="auto"/>
              </w:rPr>
              <w:t>” [●].]</w:t>
            </w:r>
          </w:p>
        </w:tc>
      </w:tr>
      <w:tr>
        <w:trPr>
          <w:trHeight w:val="340"/>
        </w:trPr>
        <w:tc>
          <w:tcPr>
            <w:tcW w:w="338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Adjusted] ROIC</w:t>
            </w:r>
            <w:r>
              <w:rPr>
                <w:rFonts w:ascii="Times New Roman" w:cs="Times New Roman" w:eastAsia="Times New Roman" w:hAnsi="Times New Roman"/>
                <w:sz w:val="17"/>
                <w:szCs w:val="17"/>
                <w:color w:val="auto"/>
              </w:rPr>
              <w:t>” means [●].]</w:t>
            </w:r>
          </w:p>
        </w:tc>
      </w:tr>
      <w:tr>
        <w:trPr>
          <w:trHeight w:val="340"/>
        </w:trPr>
        <w:tc>
          <w:tcPr>
            <w:tcW w:w="338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TSR</w:t>
            </w:r>
            <w:r>
              <w:rPr>
                <w:rFonts w:ascii="Times New Roman" w:cs="Times New Roman" w:eastAsia="Times New Roman" w:hAnsi="Times New Roman"/>
                <w:sz w:val="17"/>
                <w:szCs w:val="17"/>
                <w:color w:val="auto"/>
              </w:rPr>
              <w:t>” means [●].]</w:t>
            </w:r>
          </w:p>
        </w:tc>
      </w:tr>
      <w:tr>
        <w:trPr>
          <w:trHeight w:val="173"/>
        </w:trPr>
        <w:tc>
          <w:tcPr>
            <w:tcW w:w="3380" w:type="dxa"/>
            <w:vAlign w:val="bottom"/>
            <w:tcBorders>
              <w:left w:val="single" w:sz="8" w:color="auto"/>
              <w:bottom w:val="single" w:sz="8" w:color="auto"/>
              <w:right w:val="single" w:sz="8" w:color="auto"/>
            </w:tcBorders>
          </w:tcPr>
          <w:p>
            <w:pPr>
              <w:spacing w:after="0"/>
              <w:rPr>
                <w:sz w:val="15"/>
                <w:szCs w:val="15"/>
                <w:color w:val="auto"/>
              </w:rPr>
            </w:pPr>
          </w:p>
        </w:tc>
        <w:tc>
          <w:tcPr>
            <w:tcW w:w="792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7341870</wp:posOffset>
            </wp:positionH>
            <wp:positionV relativeFrom="page">
              <wp:posOffset>746125</wp:posOffset>
            </wp:positionV>
            <wp:extent cx="20320"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7">
                      <a:extLst>
                        <a:ext uri="{28A0092B-C50C-407E-A947-70E740481C1C}"/>
                      </a:extLst>
                    </a:blip>
                    <a:srcRect/>
                    <a:stretch>
                      <a:fillRect/>
                    </a:stretch>
                  </pic:blipFill>
                  <pic:spPr bwMode="auto">
                    <a:xfrm>
                      <a:off x="0" y="0"/>
                      <a:ext cx="20320" cy="12700"/>
                    </a:xfrm>
                    <a:prstGeom prst="rect">
                      <a:avLst/>
                    </a:prstGeom>
                    <a:noFill/>
                  </pic:spPr>
                </pic:pic>
              </a:graphicData>
            </a:graphic>
          </wp:anchor>
        </w:drawing>
        <w:drawing>
          <wp:anchor simplePos="0" relativeHeight="251657728" behindDoc="1" locked="0" layoutInCell="0" allowOverlap="1">
            <wp:simplePos x="0" y="0"/>
            <wp:positionH relativeFrom="page">
              <wp:posOffset>187325</wp:posOffset>
            </wp:positionH>
            <wp:positionV relativeFrom="page">
              <wp:posOffset>736600</wp:posOffset>
            </wp:positionV>
            <wp:extent cx="2168525" cy="323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8">
                      <a:extLst>
                        <a:ext uri="{28A0092B-C50C-407E-A947-70E740481C1C}"/>
                      </a:extLst>
                    </a:blip>
                    <a:srcRect/>
                    <a:stretch>
                      <a:fillRect/>
                    </a:stretch>
                  </pic:blipFill>
                  <pic:spPr bwMode="auto">
                    <a:xfrm>
                      <a:off x="0" y="0"/>
                      <a:ext cx="2168525" cy="323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-1891665</wp:posOffset>
            </wp:positionV>
            <wp:extent cx="2154555" cy="323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9">
                      <a:extLst>
                        <a:ext uri="{28A0092B-C50C-407E-A947-70E740481C1C}"/>
                      </a:extLst>
                    </a:blip>
                    <a:srcRect/>
                    <a:stretch>
                      <a:fillRect/>
                    </a:stretch>
                  </pic:blipFill>
                  <pic:spPr bwMode="auto">
                    <a:xfrm>
                      <a:off x="0" y="0"/>
                      <a:ext cx="2154555" cy="32385"/>
                    </a:xfrm>
                    <a:prstGeom prst="rect">
                      <a:avLst/>
                    </a:prstGeom>
                    <a:noFill/>
                  </pic:spPr>
                </pic:pic>
              </a:graphicData>
            </a:graphic>
          </wp:anchor>
        </w:drawing>
        <w:drawing>
          <wp:anchor simplePos="0" relativeHeight="251657728" behindDoc="1" locked="0" layoutInCell="0" allowOverlap="1">
            <wp:simplePos x="0" y="0"/>
            <wp:positionH relativeFrom="column">
              <wp:posOffset>2185670</wp:posOffset>
            </wp:positionH>
            <wp:positionV relativeFrom="paragraph">
              <wp:posOffset>-2330450</wp:posOffset>
            </wp:positionV>
            <wp:extent cx="2032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0">
                      <a:extLst>
                        <a:ext uri="{28A0092B-C50C-407E-A947-70E740481C1C}"/>
                      </a:extLst>
                    </a:blip>
                    <a:srcRect/>
                    <a:stretch>
                      <a:fillRect/>
                    </a:stretch>
                  </pic:blipFill>
                  <pic:spPr bwMode="auto">
                    <a:xfrm>
                      <a:off x="0" y="0"/>
                      <a:ext cx="203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color w:val="auto"/>
        </w:rPr>
        <w:t>-</w:t>
      </w:r>
      <w:r>
        <w:rPr>
          <w:rFonts w:ascii="Times New Roman" w:cs="Times New Roman" w:eastAsia="Times New Roman" w:hAnsi="Times New Roman"/>
          <w:sz w:val="16"/>
          <w:szCs w:val="16"/>
          <w:color w:val="auto"/>
        </w:rPr>
        <w:t>10-</w:t>
      </w:r>
    </w:p>
    <w:p>
      <w:pPr>
        <w:sectPr>
          <w:pgSz w:w="11900" w:h="16838" w:orient="portrait"/>
          <w:cols w:equalWidth="0" w:num="1">
            <w:col w:w="11300"/>
          </w:cols>
          <w:pgMar w:left="300" w:top="1174" w:right="29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7"/>
          <w:szCs w:val="17"/>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COMCAST CORPORATION</w:t>
      </w: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AWARD</w:t>
      </w:r>
    </w:p>
    <w:p>
      <w:pPr>
        <w:spacing w:after="0" w:line="126" w:lineRule="exact"/>
        <w:rPr>
          <w:sz w:val="20"/>
          <w:szCs w:val="20"/>
          <w:color w:val="auto"/>
        </w:rPr>
      </w:pPr>
    </w:p>
    <w:p>
      <w:pPr>
        <w:ind w:right="260" w:firstLine="1019"/>
        <w:spacing w:after="0" w:line="238" w:lineRule="auto"/>
        <w:rPr>
          <w:sz w:val="20"/>
          <w:szCs w:val="20"/>
          <w:color w:val="auto"/>
        </w:rPr>
      </w:pPr>
      <w:r>
        <w:rPr>
          <w:rFonts w:ascii="Times New Roman" w:cs="Times New Roman" w:eastAsia="Times New Roman" w:hAnsi="Times New Roman"/>
          <w:sz w:val="17"/>
          <w:szCs w:val="17"/>
          <w:color w:val="auto"/>
        </w:rPr>
        <w:t>This Restricted Stock Unit Award Agreement dated as of the Date of Grant (together with all schedules hereto, the “Agreement”) is entered into by and between Comcast Corporation (the “Company”) and Grantee.</w:t>
      </w:r>
    </w:p>
    <w:p>
      <w:pPr>
        <w:spacing w:after="0" w:line="122" w:lineRule="exact"/>
        <w:rPr>
          <w:sz w:val="20"/>
          <w:szCs w:val="20"/>
          <w:color w:val="auto"/>
        </w:rPr>
      </w:pPr>
    </w:p>
    <w:p>
      <w:pPr>
        <w:ind w:right="340" w:firstLine="1023"/>
        <w:spacing w:after="0" w:line="238" w:lineRule="auto"/>
        <w:tabs>
          <w:tab w:leader="none" w:pos="1316"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The following terms have the meanings ascribed to them below. Capitalized terms used in this Agreement but not defined herein, have the meanings given to them in the Plan.</w:t>
      </w:r>
    </w:p>
    <w:p>
      <w:pPr>
        <w:spacing w:after="0" w:line="121" w:lineRule="exact"/>
        <w:rPr>
          <w:rFonts w:ascii="Times New Roman" w:cs="Times New Roman" w:eastAsia="Times New Roman" w:hAnsi="Times New Roman"/>
          <w:sz w:val="17"/>
          <w:szCs w:val="17"/>
          <w:color w:val="auto"/>
        </w:rPr>
      </w:pPr>
    </w:p>
    <w:p>
      <w:pPr>
        <w:jc w:val="both"/>
        <w:ind w:right="360" w:firstLine="1533"/>
        <w:spacing w:after="0" w:line="244" w:lineRule="auto"/>
        <w:tabs>
          <w:tab w:leader="none" w:pos="1886"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Account</w:t>
      </w:r>
      <w:r>
        <w:rPr>
          <w:rFonts w:ascii="Times New Roman" w:cs="Times New Roman" w:eastAsia="Times New Roman" w:hAnsi="Times New Roman"/>
          <w:sz w:val="16"/>
          <w:szCs w:val="16"/>
          <w:color w:val="auto"/>
        </w:rPr>
        <w:t>” means an unfunded bookkeeping account established pursuant to Paragraph 6(d) and maintained by the Committee in the name of Grantee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DC Plan.</w:t>
      </w:r>
    </w:p>
    <w:p>
      <w:pPr>
        <w:spacing w:after="0" w:line="117" w:lineRule="exact"/>
        <w:rPr>
          <w:rFonts w:ascii="Times New Roman" w:cs="Times New Roman" w:eastAsia="Times New Roman" w:hAnsi="Times New Roman"/>
          <w:sz w:val="16"/>
          <w:szCs w:val="16"/>
          <w:color w:val="auto"/>
        </w:rPr>
      </w:pPr>
    </w:p>
    <w:p>
      <w:pPr>
        <w:ind w:left="1900" w:hanging="367"/>
        <w:spacing w:after="0"/>
        <w:tabs>
          <w:tab w:leader="none" w:pos="190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means the award of Restricted Stock Units granted pursuant to this Agreement.</w:t>
      </w:r>
    </w:p>
    <w:p>
      <w:pPr>
        <w:spacing w:after="0" w:line="144"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144" w:lineRule="exact"/>
        <w:rPr>
          <w:rFonts w:ascii="Times New Roman" w:cs="Times New Roman" w:eastAsia="Times New Roman" w:hAnsi="Times New Roman"/>
          <w:sz w:val="17"/>
          <w:szCs w:val="17"/>
          <w:color w:val="auto"/>
        </w:rPr>
      </w:pPr>
    </w:p>
    <w:p>
      <w:pPr>
        <w:ind w:right="340" w:firstLine="1533"/>
        <w:spacing w:after="0" w:line="238" w:lineRule="auto"/>
        <w:tabs>
          <w:tab w:leader="none" w:pos="1896"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has the meaning set forth in the Grantee’s employment agreement with the Company, or, if no such agreement exists or such agreement has expired prior to such time, then “Cause” has the meaning set forth in the Plan.</w:t>
      </w:r>
    </w:p>
    <w:p>
      <w:pPr>
        <w:spacing w:after="0" w:line="121"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w:t>
      </w:r>
    </w:p>
    <w:p>
      <w:pPr>
        <w:spacing w:after="0" w:line="144" w:lineRule="exact"/>
        <w:rPr>
          <w:rFonts w:ascii="Times New Roman" w:cs="Times New Roman" w:eastAsia="Times New Roman" w:hAnsi="Times New Roman"/>
          <w:sz w:val="17"/>
          <w:szCs w:val="17"/>
          <w:color w:val="auto"/>
        </w:rPr>
      </w:pPr>
    </w:p>
    <w:p>
      <w:pPr>
        <w:ind w:right="500" w:firstLine="1533"/>
        <w:spacing w:after="0" w:line="238" w:lineRule="auto"/>
        <w:tabs>
          <w:tab w:leader="none" w:pos="1867"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Date of Grant</w:t>
      </w:r>
      <w:r>
        <w:rPr>
          <w:rFonts w:ascii="Times New Roman" w:cs="Times New Roman" w:eastAsia="Times New Roman" w:hAnsi="Times New Roman"/>
          <w:sz w:val="17"/>
          <w:szCs w:val="17"/>
          <w:color w:val="auto"/>
        </w:rPr>
        <w:t>” means the grant date [identified on the attached Long-Term Incentive Awards Summary Schedule][as indicated for Grantee on the website of the third party administrator for the Plan].</w:t>
      </w:r>
    </w:p>
    <w:p>
      <w:pPr>
        <w:spacing w:after="0" w:line="121"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DC Plan</w:t>
      </w:r>
      <w:r>
        <w:rPr>
          <w:rFonts w:ascii="Times New Roman" w:cs="Times New Roman" w:eastAsia="Times New Roman" w:hAnsi="Times New Roman"/>
          <w:sz w:val="17"/>
          <w:szCs w:val="17"/>
          <w:color w:val="auto"/>
        </w:rPr>
        <w:t>” means the Comcast Corporation 2005 Deferred Compensation Plan (as amended from time to time).</w:t>
      </w:r>
    </w:p>
    <w:p>
      <w:pPr>
        <w:spacing w:after="0" w:line="144"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Deferred Stock Units</w:t>
      </w:r>
      <w:r>
        <w:rPr>
          <w:rFonts w:ascii="Times New Roman" w:cs="Times New Roman" w:eastAsia="Times New Roman" w:hAnsi="Times New Roman"/>
          <w:sz w:val="17"/>
          <w:szCs w:val="17"/>
          <w:color w:val="auto"/>
        </w:rPr>
        <w:t>” means the number of hypothetical Shares subject to an Election.</w:t>
      </w:r>
    </w:p>
    <w:p>
      <w:pPr>
        <w:spacing w:after="0" w:line="144" w:lineRule="exact"/>
        <w:rPr>
          <w:rFonts w:ascii="Times New Roman" w:cs="Times New Roman" w:eastAsia="Times New Roman" w:hAnsi="Times New Roman"/>
          <w:sz w:val="17"/>
          <w:szCs w:val="17"/>
          <w:color w:val="auto"/>
        </w:rPr>
      </w:pPr>
    </w:p>
    <w:p>
      <w:pPr>
        <w:ind w:left="1860" w:hanging="327"/>
        <w:spacing w:after="0"/>
        <w:tabs>
          <w:tab w:leader="none" w:pos="186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Diversification Election</w:t>
      </w:r>
      <w:r>
        <w:rPr>
          <w:rFonts w:ascii="Times New Roman" w:cs="Times New Roman" w:eastAsia="Times New Roman" w:hAnsi="Times New Roman"/>
          <w:sz w:val="17"/>
          <w:szCs w:val="17"/>
          <w:color w:val="auto"/>
        </w:rPr>
        <w:t>” has the meaning set forth in the DC Plan.</w:t>
      </w:r>
    </w:p>
    <w:p>
      <w:pPr>
        <w:spacing w:after="0" w:line="144" w:lineRule="exact"/>
        <w:rPr>
          <w:rFonts w:ascii="Times New Roman" w:cs="Times New Roman" w:eastAsia="Times New Roman" w:hAnsi="Times New Roman"/>
          <w:sz w:val="17"/>
          <w:szCs w:val="17"/>
          <w:color w:val="auto"/>
        </w:rPr>
      </w:pPr>
    </w:p>
    <w:p>
      <w:pPr>
        <w:ind w:left="1860" w:hanging="327"/>
        <w:spacing w:after="0"/>
        <w:tabs>
          <w:tab w:leader="none" w:pos="186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Election</w:t>
      </w:r>
      <w:r>
        <w:rPr>
          <w:rFonts w:ascii="Times New Roman" w:cs="Times New Roman" w:eastAsia="Times New Roman" w:hAnsi="Times New Roman"/>
          <w:sz w:val="17"/>
          <w:szCs w:val="17"/>
          <w:color w:val="auto"/>
        </w:rPr>
        <w:t>” means a Regular Deferral Election or a Subsequent Deferral Election.</w:t>
      </w:r>
    </w:p>
    <w:p>
      <w:pPr>
        <w:spacing w:after="0" w:line="144"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Employer</w:t>
      </w:r>
      <w:r>
        <w:rPr>
          <w:rFonts w:ascii="Times New Roman" w:cs="Times New Roman" w:eastAsia="Times New Roman" w:hAnsi="Times New Roman"/>
          <w:sz w:val="16"/>
          <w:szCs w:val="16"/>
          <w:color w:val="auto"/>
        </w:rPr>
        <w:t>” means the Company, a Subsidiary Company, or any of their respective Affiliates for which Grantee is performing services on</w:t>
      </w:r>
    </w:p>
    <w:p>
      <w:pPr>
        <w:spacing w:after="0" w:line="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Vesting Date.</w:t>
      </w:r>
    </w:p>
    <w:p>
      <w:pPr>
        <w:spacing w:after="0" w:line="126" w:lineRule="exact"/>
        <w:rPr>
          <w:rFonts w:ascii="Times New Roman" w:cs="Times New Roman" w:eastAsia="Times New Roman" w:hAnsi="Times New Roman"/>
          <w:sz w:val="16"/>
          <w:szCs w:val="16"/>
          <w:color w:val="auto"/>
        </w:rPr>
      </w:pPr>
    </w:p>
    <w:p>
      <w:pPr>
        <w:ind w:right="620" w:firstLine="1533"/>
        <w:spacing w:after="0" w:line="238" w:lineRule="auto"/>
        <w:tabs>
          <w:tab w:leader="none" w:pos="1858"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Grantee</w:t>
      </w:r>
      <w:r>
        <w:rPr>
          <w:rFonts w:ascii="Times New Roman" w:cs="Times New Roman" w:eastAsia="Times New Roman" w:hAnsi="Times New Roman"/>
          <w:sz w:val="17"/>
          <w:szCs w:val="17"/>
          <w:color w:val="auto"/>
        </w:rPr>
        <w:t>” means the individual to whom this Award has been granted as identified on the [attached Long-Term Incentive Awards Summary Schedule][website for the third party administrator for the Plan].</w:t>
      </w:r>
    </w:p>
    <w:p>
      <w:pPr>
        <w:spacing w:after="0" w:line="121" w:lineRule="exact"/>
        <w:rPr>
          <w:rFonts w:ascii="Times New Roman" w:cs="Times New Roman" w:eastAsia="Times New Roman" w:hAnsi="Times New Roman"/>
          <w:sz w:val="17"/>
          <w:szCs w:val="17"/>
          <w:color w:val="auto"/>
        </w:rPr>
      </w:pPr>
    </w:p>
    <w:p>
      <w:pPr>
        <w:ind w:left="1940" w:hanging="407"/>
        <w:spacing w:after="0"/>
        <w:tabs>
          <w:tab w:leader="none" w:pos="194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HSR Act</w:t>
      </w:r>
      <w:r>
        <w:rPr>
          <w:rFonts w:ascii="Times New Roman" w:cs="Times New Roman" w:eastAsia="Times New Roman" w:hAnsi="Times New Roman"/>
          <w:sz w:val="17"/>
          <w:szCs w:val="17"/>
          <w:color w:val="auto"/>
        </w:rPr>
        <w:t>” means the Hart-Scott-Rodino Antitrust Improvements Act of 1976, as amended.</w:t>
      </w:r>
    </w:p>
    <w:p>
      <w:pPr>
        <w:sectPr>
          <w:pgSz w:w="11900" w:h="16838" w:orient="portrait"/>
          <w:cols w:equalWidth="0" w:num="1">
            <w:col w:w="11280"/>
          </w:cols>
          <w:pgMar w:left="300" w:top="104" w:right="319" w:bottom="1440" w:gutter="0" w:footer="0" w:header="0"/>
        </w:sectPr>
      </w:pPr>
    </w:p>
    <w:bookmarkStart w:id="198" w:name="page199"/>
    <w:bookmarkEnd w:id="198"/>
    <w:p>
      <w:pPr>
        <w:ind w:left="1900" w:hanging="367"/>
        <w:spacing w:after="0"/>
        <w:tabs>
          <w:tab w:leader="none" w:pos="190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Income Fund</w:t>
      </w:r>
      <w:r>
        <w:rPr>
          <w:rFonts w:ascii="Times New Roman" w:cs="Times New Roman" w:eastAsia="Times New Roman" w:hAnsi="Times New Roman"/>
          <w:sz w:val="17"/>
          <w:szCs w:val="17"/>
          <w:color w:val="auto"/>
        </w:rPr>
        <w:t>” has the meaning set forth in the DC Plan.</w:t>
      </w:r>
    </w:p>
    <w:p>
      <w:pPr>
        <w:spacing w:after="0" w:line="144" w:lineRule="exact"/>
        <w:rPr>
          <w:rFonts w:ascii="Times New Roman" w:cs="Times New Roman" w:eastAsia="Times New Roman" w:hAnsi="Times New Roman"/>
          <w:sz w:val="17"/>
          <w:szCs w:val="17"/>
          <w:color w:val="auto"/>
        </w:rPr>
      </w:pPr>
    </w:p>
    <w:p>
      <w:pPr>
        <w:ind w:right="60" w:firstLine="1533"/>
        <w:spacing w:after="0" w:line="238" w:lineRule="auto"/>
        <w:tabs>
          <w:tab w:leader="none" w:pos="1896"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Long-Term Incentive Awards Summary Schedule</w:t>
      </w:r>
      <w:r>
        <w:rPr>
          <w:rFonts w:ascii="Times New Roman" w:cs="Times New Roman" w:eastAsia="Times New Roman" w:hAnsi="Times New Roman"/>
          <w:sz w:val="17"/>
          <w:szCs w:val="17"/>
          <w:color w:val="auto"/>
        </w:rPr>
        <w:t>” means the schedule attached hereto, which sets forth specific information relating to the grant and vesting of this Award (including the Service Condition applicable to this Award).</w:t>
      </w:r>
    </w:p>
    <w:p>
      <w:pPr>
        <w:spacing w:after="0" w:line="121" w:lineRule="exact"/>
        <w:rPr>
          <w:rFonts w:ascii="Times New Roman" w:cs="Times New Roman" w:eastAsia="Times New Roman" w:hAnsi="Times New Roman"/>
          <w:sz w:val="17"/>
          <w:szCs w:val="17"/>
          <w:color w:val="auto"/>
        </w:rPr>
      </w:pPr>
    </w:p>
    <w:p>
      <w:pPr>
        <w:ind w:right="200" w:firstLine="1533"/>
        <w:spacing w:after="0" w:line="238" w:lineRule="auto"/>
        <w:tabs>
          <w:tab w:leader="none" w:pos="1896"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the Comcast Corporation [2002 Restricted Stock Plan] [2023 Omnibus Equity Incentive Plan] (as amended from time to time and including any successor plan thereto), which is incorporated herein by reference.</w:t>
      </w:r>
    </w:p>
    <w:p>
      <w:pPr>
        <w:spacing w:after="0" w:line="121"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Regular Deferral Election</w:t>
      </w:r>
      <w:r>
        <w:rPr>
          <w:rFonts w:ascii="Times New Roman" w:cs="Times New Roman" w:eastAsia="Times New Roman" w:hAnsi="Times New Roman"/>
          <w:sz w:val="17"/>
          <w:szCs w:val="17"/>
          <w:color w:val="auto"/>
        </w:rPr>
        <w:t>” has the meaning set forth in the DC Plan.</w:t>
      </w:r>
    </w:p>
    <w:p>
      <w:pPr>
        <w:spacing w:after="0" w:line="136" w:lineRule="exact"/>
        <w:rPr>
          <w:rFonts w:ascii="Times New Roman" w:cs="Times New Roman" w:eastAsia="Times New Roman" w:hAnsi="Times New Roman"/>
          <w:sz w:val="17"/>
          <w:szCs w:val="17"/>
          <w:color w:val="auto"/>
        </w:rPr>
      </w:pPr>
    </w:p>
    <w:p>
      <w:pPr>
        <w:ind w:left="1880" w:hanging="347"/>
        <w:spacing w:after="0"/>
        <w:tabs>
          <w:tab w:leader="none" w:pos="188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means, with respect to each Restricted Stock Unit, the period beginning on the Date of Grant and ending on the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Vesting Date.</w:t>
      </w:r>
    </w:p>
    <w:p>
      <w:pPr>
        <w:spacing w:after="0" w:line="126" w:lineRule="exact"/>
        <w:rPr>
          <w:rFonts w:ascii="Times New Roman" w:cs="Times New Roman" w:eastAsia="Times New Roman" w:hAnsi="Times New Roman"/>
          <w:sz w:val="17"/>
          <w:szCs w:val="17"/>
          <w:color w:val="auto"/>
        </w:rPr>
      </w:pPr>
    </w:p>
    <w:p>
      <w:pPr>
        <w:jc w:val="both"/>
        <w:ind w:right="120" w:firstLine="1533"/>
        <w:spacing w:after="0" w:line="228" w:lineRule="auto"/>
        <w:tabs>
          <w:tab w:leader="none" w:pos="1877"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Units</w:t>
      </w:r>
      <w:r>
        <w:rPr>
          <w:rFonts w:ascii="Times New Roman" w:cs="Times New Roman" w:eastAsia="Times New Roman" w:hAnsi="Times New Roman"/>
          <w:sz w:val="17"/>
          <w:szCs w:val="17"/>
          <w:color w:val="auto"/>
        </w:rPr>
        <w:t>” means the Restricted Stock Units subject to Service Conditions granted to Grantee pursuant to this Agreement, [as set forth in the Long-Term Incentive Awards Summary Schedule attached hereto][as indicated for Grantee on the website of the third party administrator for the Plan].</w:t>
      </w:r>
    </w:p>
    <w:p>
      <w:pPr>
        <w:spacing w:after="0" w:line="121" w:lineRule="exact"/>
        <w:rPr>
          <w:rFonts w:ascii="Times New Roman" w:cs="Times New Roman" w:eastAsia="Times New Roman" w:hAnsi="Times New Roman"/>
          <w:sz w:val="17"/>
          <w:szCs w:val="17"/>
          <w:color w:val="auto"/>
        </w:rPr>
      </w:pPr>
    </w:p>
    <w:p>
      <w:pPr>
        <w:ind w:right="60" w:firstLine="1533"/>
        <w:spacing w:after="0" w:line="238" w:lineRule="auto"/>
        <w:tabs>
          <w:tab w:leader="none" w:pos="185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Retirement Termination</w:t>
      </w:r>
      <w:r>
        <w:rPr>
          <w:rFonts w:ascii="Times New Roman" w:cs="Times New Roman" w:eastAsia="Times New Roman" w:hAnsi="Times New Roman"/>
          <w:sz w:val="17"/>
          <w:szCs w:val="17"/>
          <w:color w:val="auto"/>
        </w:rPr>
        <w:t>” means Grantee’s Termination of Employment after having reached age 62 and completed 10 or more Years of Service, for any reason other than (i) due to Grantee’s death or Disability or (ii) by the applicable Participating Company for Cause.]</w:t>
      </w:r>
    </w:p>
    <w:p>
      <w:pPr>
        <w:spacing w:after="0" w:line="113" w:lineRule="exact"/>
        <w:rPr>
          <w:rFonts w:ascii="Times New Roman" w:cs="Times New Roman" w:eastAsia="Times New Roman" w:hAnsi="Times New Roman"/>
          <w:sz w:val="17"/>
          <w:szCs w:val="17"/>
          <w:color w:val="auto"/>
        </w:rPr>
      </w:pPr>
    </w:p>
    <w:p>
      <w:pPr>
        <w:ind w:left="1940" w:hanging="407"/>
        <w:spacing w:after="0"/>
        <w:tabs>
          <w:tab w:leader="none" w:pos="194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Retirement Vesting Date</w:t>
      </w:r>
      <w:r>
        <w:rPr>
          <w:rFonts w:ascii="Times New Roman" w:cs="Times New Roman" w:eastAsia="Times New Roman" w:hAnsi="Times New Roman"/>
          <w:sz w:val="17"/>
          <w:szCs w:val="17"/>
          <w:color w:val="auto"/>
        </w:rPr>
        <w:t>” means a date on which Grantee is scheduled to satisfy the age and service conditions of Paragraph 4(c)(1),</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4(c)(2) or 4(c)(3).]</w:t>
      </w:r>
    </w:p>
    <w:p>
      <w:pPr>
        <w:spacing w:after="0" w:line="126"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16b-3</w:t>
      </w:r>
      <w:r>
        <w:rPr>
          <w:rFonts w:ascii="Times New Roman" w:cs="Times New Roman" w:eastAsia="Times New Roman" w:hAnsi="Times New Roman"/>
          <w:sz w:val="17"/>
          <w:szCs w:val="17"/>
          <w:color w:val="auto"/>
        </w:rPr>
        <w:t>” means Rule 16b-3 promulgated under the 1934 Act, as in effect from time to time.</w:t>
      </w:r>
    </w:p>
    <w:p>
      <w:pPr>
        <w:spacing w:after="0" w:line="144" w:lineRule="exact"/>
        <w:rPr>
          <w:rFonts w:ascii="Times New Roman" w:cs="Times New Roman" w:eastAsia="Times New Roman" w:hAnsi="Times New Roman"/>
          <w:sz w:val="17"/>
          <w:szCs w:val="17"/>
          <w:color w:val="auto"/>
        </w:rPr>
      </w:pPr>
    </w:p>
    <w:p>
      <w:pPr>
        <w:ind w:left="1940" w:hanging="407"/>
        <w:spacing w:after="0"/>
        <w:tabs>
          <w:tab w:leader="none" w:pos="194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 Condition</w:t>
      </w:r>
      <w:r>
        <w:rPr>
          <w:rFonts w:ascii="Times New Roman" w:cs="Times New Roman" w:eastAsia="Times New Roman" w:hAnsi="Times New Roman"/>
          <w:sz w:val="17"/>
          <w:szCs w:val="17"/>
          <w:color w:val="auto"/>
        </w:rPr>
        <w:t>” has the meaning set forth on the attached Long-Term Incentive Awards Summary Schedule.</w:t>
      </w:r>
    </w:p>
    <w:p>
      <w:pPr>
        <w:spacing w:after="0" w:line="144"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 Vesting Date</w:t>
      </w:r>
      <w:r>
        <w:rPr>
          <w:rFonts w:ascii="Times New Roman" w:cs="Times New Roman" w:eastAsia="Times New Roman" w:hAnsi="Times New Roman"/>
          <w:sz w:val="17"/>
          <w:szCs w:val="17"/>
          <w:color w:val="auto"/>
        </w:rPr>
        <w:t>” has the meaning set forth on the attached Long-Term Incentive Awards Summary Schedule.</w:t>
      </w:r>
    </w:p>
    <w:p>
      <w:pPr>
        <w:spacing w:after="0" w:line="144"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mean shares of the Company’s Class A Common Stock, par value $.01 per share.</w:t>
      </w:r>
    </w:p>
    <w:p>
      <w:pPr>
        <w:spacing w:after="0" w:line="144"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Subsequent Deferral Election</w:t>
      </w:r>
      <w:r>
        <w:rPr>
          <w:rFonts w:ascii="Times New Roman" w:cs="Times New Roman" w:eastAsia="Times New Roman" w:hAnsi="Times New Roman"/>
          <w:sz w:val="17"/>
          <w:szCs w:val="17"/>
          <w:color w:val="auto"/>
        </w:rPr>
        <w:t>” has the meaning set forth in the DC Plan.</w:t>
      </w:r>
    </w:p>
    <w:p>
      <w:pPr>
        <w:spacing w:after="0" w:line="144" w:lineRule="exact"/>
        <w:rPr>
          <w:sz w:val="20"/>
          <w:szCs w:val="20"/>
          <w:color w:val="auto"/>
        </w:rPr>
      </w:pPr>
    </w:p>
    <w:p>
      <w:pPr>
        <w:ind w:firstLine="1533"/>
        <w:spacing w:after="0" w:line="218" w:lineRule="auto"/>
        <w:tabs>
          <w:tab w:leader="none" w:pos="1961"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of Employment</w:t>
      </w:r>
      <w:r>
        <w:rPr>
          <w:rFonts w:ascii="Times New Roman" w:cs="Times New Roman" w:eastAsia="Times New Roman" w:hAnsi="Times New Roman"/>
          <w:sz w:val="17"/>
          <w:szCs w:val="17"/>
          <w:color w:val="auto"/>
        </w:rPr>
        <w:t>” means Grantee’s termination of employment with the Participating Companies. For purposes of the Plan and this Award, Grantee’s Termination of Employment occurs on the date Grantee ceases to have a regular obligation to perform services for the Participating Companies, without regard to whether (i) Grantee continues on the payroll of any Participating Company for regular, severance or other pay or (ii) Grantee continues to participate in one or more health and welfare plans maintained by any Participating Company on the same basis as active employees. Whether Grantee ceases to have a regular obligation to perform services for the Participating Companies shall be determined by the Committee in its sole discretion. Notwithstanding the foregoing, if Grantee is a party to an employment agreement or severance agreement with any Participating Company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00" w:top="1127" w:right="3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color w:val="auto"/>
        </w:rPr>
        <w:t>establishes the effective date of Grantee’s termination of employment for purposes of this Award, that date shall apply.</w:t>
      </w:r>
    </w:p>
    <w:p>
      <w:pPr>
        <w:spacing w:after="0" w:line="144" w:lineRule="exact"/>
        <w:rPr>
          <w:sz w:val="20"/>
          <w:szCs w:val="20"/>
          <w:color w:val="auto"/>
        </w:rPr>
      </w:pPr>
    </w:p>
    <w:p>
      <w:pPr>
        <w:ind w:right="500" w:firstLine="1533"/>
        <w:spacing w:after="0" w:line="238" w:lineRule="auto"/>
        <w:tabs>
          <w:tab w:leader="none" w:pos="1980"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Vesting Date</w:t>
      </w:r>
      <w:r>
        <w:rPr>
          <w:rFonts w:ascii="Times New Roman" w:cs="Times New Roman" w:eastAsia="Times New Roman" w:hAnsi="Times New Roman"/>
          <w:sz w:val="17"/>
          <w:szCs w:val="17"/>
          <w:color w:val="auto"/>
        </w:rPr>
        <w:t>” means the date(s) on which the Service Condition applicable to any Restricted Stock Units is satisfied (or deemed satisfied) pursuant to the terms of this Agreement (including the Long-Term Incentive Awards Summary Schedule).</w:t>
      </w:r>
    </w:p>
    <w:p>
      <w:pPr>
        <w:spacing w:after="0" w:line="113" w:lineRule="exact"/>
        <w:rPr>
          <w:rFonts w:ascii="Times New Roman" w:cs="Times New Roman" w:eastAsia="Times New Roman" w:hAnsi="Times New Roman"/>
          <w:sz w:val="17"/>
          <w:szCs w:val="17"/>
          <w:color w:val="auto"/>
        </w:rPr>
      </w:pPr>
    </w:p>
    <w:p>
      <w:pPr>
        <w:ind w:left="2000" w:hanging="467"/>
        <w:spacing w:after="0"/>
        <w:tabs>
          <w:tab w:leader="none" w:pos="2000"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Years of Service</w:t>
      </w:r>
      <w:r>
        <w:rPr>
          <w:rFonts w:ascii="Times New Roman" w:cs="Times New Roman" w:eastAsia="Times New Roman" w:hAnsi="Times New Roman"/>
          <w:sz w:val="17"/>
          <w:szCs w:val="17"/>
          <w:color w:val="auto"/>
        </w:rPr>
        <w:t>” means completed continuous years of service as reflected in the personnel records of the Company and the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Subsidiaries.]</w:t>
      </w:r>
    </w:p>
    <w:p>
      <w:pPr>
        <w:spacing w:after="0" w:line="126" w:lineRule="exact"/>
        <w:rPr>
          <w:rFonts w:ascii="Times New Roman" w:cs="Times New Roman" w:eastAsia="Times New Roman" w:hAnsi="Times New Roman"/>
          <w:sz w:val="17"/>
          <w:szCs w:val="17"/>
          <w:color w:val="auto"/>
        </w:rPr>
      </w:pPr>
    </w:p>
    <w:p>
      <w:pPr>
        <w:ind w:left="2020" w:hanging="487"/>
        <w:spacing w:after="0"/>
        <w:tabs>
          <w:tab w:leader="none" w:pos="2020"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1934 Act</w:t>
      </w:r>
      <w:r>
        <w:rPr>
          <w:rFonts w:ascii="Times New Roman" w:cs="Times New Roman" w:eastAsia="Times New Roman" w:hAnsi="Times New Roman"/>
          <w:sz w:val="17"/>
          <w:szCs w:val="17"/>
          <w:color w:val="auto"/>
        </w:rPr>
        <w:t>” means the Securities Exchange Act of 1934, as amended.</w:t>
      </w:r>
    </w:p>
    <w:p>
      <w:pPr>
        <w:spacing w:after="0" w:line="144" w:lineRule="exact"/>
        <w:rPr>
          <w:rFonts w:ascii="Times New Roman" w:cs="Times New Roman" w:eastAsia="Times New Roman" w:hAnsi="Times New Roman"/>
          <w:sz w:val="17"/>
          <w:szCs w:val="17"/>
          <w:color w:val="auto"/>
        </w:rPr>
      </w:pPr>
    </w:p>
    <w:p>
      <w:pPr>
        <w:ind w:left="1320" w:hanging="297"/>
        <w:spacing w:after="0"/>
        <w:tabs>
          <w:tab w:leader="none" w:pos="132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Restricted Stock Units</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firstLine="1533"/>
        <w:spacing w:after="0" w:line="228" w:lineRule="auto"/>
        <w:tabs>
          <w:tab w:leader="none" w:pos="1883"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grants to Grantee the Restricted Stock Units. Each Restricted Stock Unit represents the right to receive one Share as set forth in the Long-Term Incentive Awards Summary Schedule, subject to the terms and conditions set forth herein and in the Plan, including the satisfaction of the applicable Service Condition.</w:t>
      </w:r>
    </w:p>
    <w:p>
      <w:pPr>
        <w:spacing w:after="0" w:line="121" w:lineRule="exact"/>
        <w:rPr>
          <w:rFonts w:ascii="Times New Roman" w:cs="Times New Roman" w:eastAsia="Times New Roman" w:hAnsi="Times New Roman"/>
          <w:sz w:val="17"/>
          <w:szCs w:val="17"/>
          <w:color w:val="auto"/>
        </w:rPr>
      </w:pPr>
    </w:p>
    <w:p>
      <w:pPr>
        <w:ind w:right="20" w:firstLine="1533"/>
        <w:spacing w:after="0" w:line="223" w:lineRule="auto"/>
        <w:tabs>
          <w:tab w:leader="none" w:pos="1896"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409A of the Code, to the extent applicable, the Company reserves the right to replace the Restricted Stock Units, to the extent not yet vested, with other compensation of comparable value, terms and conditions if, before the Vesting Date [or Retirement Vesting Date], the Company determines that in connection with Grantee’s transfer to a location different from Grantee’s principal place of business on the Date of Grant, local regulatory requirements render Grantee’s continued holding of unvested Restricted Stock Units impracticable.</w:t>
      </w:r>
    </w:p>
    <w:p>
      <w:pPr>
        <w:spacing w:after="0" w:line="122" w:lineRule="exact"/>
        <w:rPr>
          <w:rFonts w:ascii="Times New Roman" w:cs="Times New Roman" w:eastAsia="Times New Roman" w:hAnsi="Times New Roman"/>
          <w:sz w:val="17"/>
          <w:szCs w:val="17"/>
          <w:color w:val="auto"/>
        </w:rPr>
      </w:pPr>
    </w:p>
    <w:p>
      <w:pPr>
        <w:ind w:left="1320" w:hanging="297"/>
        <w:spacing w:after="0"/>
        <w:tabs>
          <w:tab w:leader="none" w:pos="132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firstLine="1533"/>
        <w:spacing w:after="0" w:line="228" w:lineRule="auto"/>
        <w:tabs>
          <w:tab w:leader="none" w:pos="1883"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Units are granted with dividend equivalent rights. If the Company declares a cash dividend on the Shares, an amount equivalent to such dividend will be credited to an unfunded bookkeeping account on the dividend payment date with respect to each Restricted Stock Unit that is outstanding and unvested as of the record date of such dividend (the “</w:t>
      </w:r>
      <w:r>
        <w:rPr>
          <w:rFonts w:ascii="Times New Roman" w:cs="Times New Roman" w:eastAsia="Times New Roman" w:hAnsi="Times New Roman"/>
          <w:sz w:val="17"/>
          <w:szCs w:val="17"/>
          <w:u w:val="single" w:color="auto"/>
          <w:color w:val="auto"/>
        </w:rPr>
        <w:t>Dividend Equivalent Amount</w:t>
      </w:r>
      <w:r>
        <w:rPr>
          <w:rFonts w:ascii="Times New Roman" w:cs="Times New Roman" w:eastAsia="Times New Roman" w:hAnsi="Times New Roman"/>
          <w:sz w:val="17"/>
          <w:szCs w:val="17"/>
          <w:color w:val="auto"/>
        </w:rPr>
        <w:t>”).</w:t>
      </w:r>
    </w:p>
    <w:p>
      <w:pPr>
        <w:spacing w:after="0" w:line="121" w:lineRule="exact"/>
        <w:rPr>
          <w:rFonts w:ascii="Times New Roman" w:cs="Times New Roman" w:eastAsia="Times New Roman" w:hAnsi="Times New Roman"/>
          <w:sz w:val="17"/>
          <w:szCs w:val="17"/>
          <w:color w:val="auto"/>
        </w:rPr>
      </w:pPr>
    </w:p>
    <w:p>
      <w:pPr>
        <w:ind w:right="20" w:firstLine="1533"/>
        <w:spacing w:after="0" w:line="223" w:lineRule="auto"/>
        <w:tabs>
          <w:tab w:leader="none" w:pos="1893"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Equivalent Amount will be credited as cash, without interest, and will not be converted to Shares. The Dividend Equivalent Amount will be payable in cash, but subject to and only upon the applicable Vesting Date(s) of the underlying Restricted Stock Units as determined in accordance with Paragraph 4 below, and will be cancelled and forfeited if the underlying Restricted Stock Units are cancelled or forfeited (including as a result of failing to satisfy the applicable Service Condition), determined in accordance with Paragraph 5 below.</w:t>
      </w:r>
    </w:p>
    <w:p>
      <w:pPr>
        <w:spacing w:after="0" w:line="122" w:lineRule="exact"/>
        <w:rPr>
          <w:rFonts w:ascii="Times New Roman" w:cs="Times New Roman" w:eastAsia="Times New Roman" w:hAnsi="Times New Roman"/>
          <w:sz w:val="17"/>
          <w:szCs w:val="17"/>
          <w:color w:val="auto"/>
        </w:rPr>
      </w:pPr>
    </w:p>
    <w:p>
      <w:pPr>
        <w:ind w:left="1320" w:hanging="297"/>
        <w:spacing w:after="0"/>
        <w:tabs>
          <w:tab w:leader="none" w:pos="132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Restricted Stock Units</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right="80" w:firstLine="1533"/>
        <w:spacing w:after="0" w:line="220" w:lineRule="auto"/>
        <w:tabs>
          <w:tab w:leader="none" w:pos="1886"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and conditions set forth in this Agreement and in the Plan, the Restricted Stock Units shall vest in accordance with the terms and conditions set forth on the attached Long-Term Incentive Awards Summary Schedule;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on the Vesting Date, Grantee is, and has from the Date of Grant continuously been, an employee of a Participating Company during the Restricted Period. As of the applicable Vesting Date, Grantee shall be entitled to the delivery of Shares with respect to the applicable Restricted Stock Units;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Grantee has complied with all applicable provisions of the HSR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27" w:right="319" w:bottom="1440" w:gutter="0" w:footer="0" w:header="0"/>
        </w:sectPr>
      </w:pPr>
    </w:p>
    <w:bookmarkStart w:id="200" w:name="page201"/>
    <w:bookmarkEnd w:id="200"/>
    <w:p>
      <w:pPr>
        <w:jc w:val="both"/>
        <w:ind w:left="-20" w:right="440" w:firstLine="1533"/>
        <w:spacing w:after="0" w:line="228" w:lineRule="auto"/>
        <w:tabs>
          <w:tab w:leader="none" w:pos="1876"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Agreement, the Service Condition applicable to the Restricted Stock Units shall be deemed fully satisfied upon Grantee’s Termination of Employment due to Grantee’s death or Disability;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Grantee has complied with all applicable provisions of the HSR Act.</w:t>
      </w:r>
    </w:p>
    <w:p>
      <w:pPr>
        <w:spacing w:after="0" w:line="121" w:lineRule="exact"/>
        <w:rPr>
          <w:rFonts w:ascii="Times New Roman" w:cs="Times New Roman" w:eastAsia="Times New Roman" w:hAnsi="Times New Roman"/>
          <w:sz w:val="17"/>
          <w:szCs w:val="17"/>
          <w:color w:val="auto"/>
        </w:rPr>
      </w:pPr>
    </w:p>
    <w:p>
      <w:pPr>
        <w:ind w:left="-20" w:right="180" w:firstLine="1533"/>
        <w:spacing w:after="0" w:line="238" w:lineRule="auto"/>
        <w:tabs>
          <w:tab w:leader="none" w:pos="1866"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Paragraph 4(a) to the contrary, and subject to the obligations described in Paragraph 4(d), if, Grantee has a Retirement Termination, and, at the time of such Retirement Termination:</w:t>
      </w:r>
    </w:p>
    <w:p>
      <w:pPr>
        <w:spacing w:after="0" w:line="121" w:lineRule="exact"/>
        <w:rPr>
          <w:rFonts w:ascii="Times New Roman" w:cs="Times New Roman" w:eastAsia="Times New Roman" w:hAnsi="Times New Roman"/>
          <w:sz w:val="17"/>
          <w:szCs w:val="17"/>
          <w:color w:val="auto"/>
        </w:rPr>
      </w:pPr>
    </w:p>
    <w:p>
      <w:pPr>
        <w:ind w:left="-20" w:right="160" w:firstLine="2042"/>
        <w:spacing w:after="0" w:line="208" w:lineRule="auto"/>
        <w:tabs>
          <w:tab w:leader="none" w:pos="2597"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Grantee has completed at least ten (10) but less than fifteen (15) Years of Service, any Service Vesting Date applicable to the Restricted Stock Units that would have occurred on or prior to the date that is the third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xml:space="preserve">) anniversary of such Retirement Termination shall continue to occur in accordance with the terms of the Long-Term Incentive Awards Summary Schedule, the Restricted Stock Units will remain outstanding and as of each such Vesting Date, Grantee shall be entitled to the delivery of Shares with respect to such Restricted Stock Units;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Grantee has complied with all applicable provisions of the HSR Act;</w:t>
      </w:r>
    </w:p>
    <w:p>
      <w:pPr>
        <w:spacing w:after="0" w:line="121" w:lineRule="exact"/>
        <w:rPr>
          <w:rFonts w:ascii="Times New Roman" w:cs="Times New Roman" w:eastAsia="Times New Roman" w:hAnsi="Times New Roman"/>
          <w:sz w:val="17"/>
          <w:szCs w:val="17"/>
          <w:color w:val="auto"/>
        </w:rPr>
      </w:pPr>
    </w:p>
    <w:p>
      <w:pPr>
        <w:ind w:left="-20" w:right="20" w:firstLine="2042"/>
        <w:spacing w:after="0" w:line="208" w:lineRule="auto"/>
        <w:tabs>
          <w:tab w:leader="none" w:pos="2597"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Grantee has completed at least fifteen (15) but less than twenty (20) Years of Service, any Service Vesting Date applicable to the Restricted Stock Units that would have occurred on or prior to the date that is the fourth (4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anniversary of such Retirement Termination shall continue to occur in accordance with the terms of the Long-Term Incentive Awards Summary Schedule, the Restricted Stock Units will remain outstanding and as of each such Vesting Date, Grantee shall be entitled to the delivery of Shares with respect to such Restricted Stock Units;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Grantee has complied with all applicable provisions of the HSR Act; or</w:t>
      </w:r>
    </w:p>
    <w:p>
      <w:pPr>
        <w:spacing w:after="0" w:line="121" w:lineRule="exact"/>
        <w:rPr>
          <w:rFonts w:ascii="Times New Roman" w:cs="Times New Roman" w:eastAsia="Times New Roman" w:hAnsi="Times New Roman"/>
          <w:sz w:val="17"/>
          <w:szCs w:val="17"/>
          <w:color w:val="auto"/>
        </w:rPr>
      </w:pPr>
    </w:p>
    <w:p>
      <w:pPr>
        <w:ind w:left="-20" w:firstLine="2042"/>
        <w:spacing w:after="0" w:line="220" w:lineRule="auto"/>
        <w:tabs>
          <w:tab w:leader="none" w:pos="2597"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Grantee has completed twenty (20) or more Years of Service, any Service Vesting Date applicable to the Restricted Stock Units that would have occurred on or prior to the date that is the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anniversary of such Retirement Termination shall continue to occur in accordance with the terms of the Long-Term Incentive Awards Summary Schedule, the Restricted Stock Units will remain outstanding and as of each such Vesting Date, Grantee shall be entitled to the delivery of Shares with respect to such Restricted Stock Units;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Grantee has complied with all applicable provisions of the HSR Act.</w:t>
      </w:r>
    </w:p>
    <w:p>
      <w:pPr>
        <w:spacing w:after="0" w:line="121" w:lineRule="exact"/>
        <w:rPr>
          <w:rFonts w:ascii="Times New Roman" w:cs="Times New Roman" w:eastAsia="Times New Roman" w:hAnsi="Times New Roman"/>
          <w:sz w:val="16"/>
          <w:szCs w:val="16"/>
          <w:color w:val="auto"/>
        </w:rPr>
      </w:pPr>
    </w:p>
    <w:p>
      <w:pPr>
        <w:ind w:left="-20" w:right="80" w:firstLine="1533"/>
        <w:spacing w:after="0" w:line="228" w:lineRule="auto"/>
        <w:tabs>
          <w:tab w:leader="none" w:pos="1876"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Paragraph 4(b) or Paragraph 4(c), the Restricted Stock Units will be subject to forfeiture by the Committee, in its sole discretion, if Grantee breaches either of the following non-solicitation or non-competition obligations during the period following a Termination of Employment and before the applicable Vesting Date:</w:t>
      </w:r>
    </w:p>
    <w:p>
      <w:pPr>
        <w:spacing w:after="0" w:line="121" w:lineRule="exact"/>
        <w:rPr>
          <w:rFonts w:ascii="Times New Roman" w:cs="Times New Roman" w:eastAsia="Times New Roman" w:hAnsi="Times New Roman"/>
          <w:sz w:val="17"/>
          <w:szCs w:val="17"/>
          <w:color w:val="auto"/>
        </w:rPr>
      </w:pPr>
    </w:p>
    <w:p>
      <w:pPr>
        <w:jc w:val="both"/>
        <w:ind w:left="-20" w:right="100" w:firstLine="2042"/>
        <w:spacing w:after="0" w:line="267" w:lineRule="auto"/>
        <w:tabs>
          <w:tab w:leader="none" w:pos="2597"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99" w:lineRule="exact"/>
        <w:rPr>
          <w:rFonts w:ascii="Times New Roman" w:cs="Times New Roman" w:eastAsia="Times New Roman" w:hAnsi="Times New Roman"/>
          <w:sz w:val="16"/>
          <w:szCs w:val="16"/>
          <w:color w:val="auto"/>
        </w:rPr>
      </w:pPr>
    </w:p>
    <w:p>
      <w:pPr>
        <w:ind w:left="-20" w:right="200" w:firstLine="2042"/>
        <w:spacing w:after="0" w:line="218" w:lineRule="auto"/>
        <w:tabs>
          <w:tab w:leader="none" w:pos="2597"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127" w:right="339" w:bottom="1440" w:gutter="0" w:footer="0" w:header="0"/>
        </w:sectPr>
      </w:pPr>
    </w:p>
    <w:bookmarkStart w:id="201" w:name="page202"/>
    <w:bookmarkEnd w:id="201"/>
    <w:p>
      <w:pPr>
        <w:ind w:right="100"/>
        <w:spacing w:after="0" w:line="238" w:lineRule="auto"/>
        <w:rPr>
          <w:sz w:val="20"/>
          <w:szCs w:val="20"/>
          <w:color w:val="auto"/>
        </w:rPr>
      </w:pPr>
      <w:r>
        <w:rPr>
          <w:rFonts w:ascii="Times New Roman" w:cs="Times New Roman" w:eastAsia="Times New Roman" w:hAnsi="Times New Roman"/>
          <w:sz w:val="17"/>
          <w:szCs w:val="17"/>
          <w:color w:val="auto"/>
        </w:rPr>
        <w:t>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122" w:lineRule="exact"/>
        <w:rPr>
          <w:sz w:val="20"/>
          <w:szCs w:val="20"/>
          <w:color w:val="auto"/>
        </w:rPr>
      </w:pPr>
    </w:p>
    <w:p>
      <w:pPr>
        <w:ind w:right="120" w:firstLine="1533"/>
        <w:spacing w:after="0" w:line="220" w:lineRule="auto"/>
        <w:tabs>
          <w:tab w:leader="none" w:pos="1886"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Restricted Stock Units would have vested pursuant to the Long-Term Incentive Awards Summary Schedule or Paragraph 4(b) or 4(c), but did not vest solely because Grantee was not in compliance with all applicable provisions of the HSR Act, then, notwithstanding anything to the contrary in this Agreement, the Vesting Date for such Restricted Stock Units shall occur on the first date following the date on which they would have been earned and become vested pursuant to the Long-Term Incentive Awards Summary Schedule or Paragraph 4(b) or 4(c) on which Grantee has complied with all applicable provisions of the HSR Act. ]</w:t>
      </w:r>
    </w:p>
    <w:p>
      <w:pPr>
        <w:spacing w:after="0" w:line="123" w:lineRule="exact"/>
        <w:rPr>
          <w:sz w:val="20"/>
          <w:szCs w:val="20"/>
          <w:color w:val="auto"/>
        </w:rPr>
      </w:pPr>
    </w:p>
    <w:p>
      <w:pPr>
        <w:ind w:firstLine="1533"/>
        <w:spacing w:after="0" w:line="228" w:lineRule="auto"/>
        <w:tabs>
          <w:tab w:leader="none" w:pos="1886"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and conditions set forth herein and in the Plan, Grantee shall vest in the Restricted Stock Units on the Vesting Dates, and as of each Vesting Date shall be entitled to the delivery of Shares with respect to such Restricted Stock Units;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on the Vesting Date, Grantee is, and has from the Date of Grant continuously been, an employee of a Participating Company during the Restricted Period.</w:t>
      </w:r>
    </w:p>
    <w:p>
      <w:pPr>
        <w:spacing w:after="0" w:line="121" w:lineRule="exact"/>
        <w:rPr>
          <w:rFonts w:ascii="Times New Roman" w:cs="Times New Roman" w:eastAsia="Times New Roman" w:hAnsi="Times New Roman"/>
          <w:sz w:val="17"/>
          <w:szCs w:val="17"/>
          <w:color w:val="auto"/>
        </w:rPr>
      </w:pPr>
    </w:p>
    <w:p>
      <w:pPr>
        <w:ind w:left="1900" w:hanging="367"/>
        <w:spacing w:after="0"/>
        <w:tabs>
          <w:tab w:leader="none" w:pos="1900"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Paragraph 4(a), if:</w:t>
      </w:r>
    </w:p>
    <w:p>
      <w:pPr>
        <w:spacing w:after="0" w:line="144" w:lineRule="exact"/>
        <w:rPr>
          <w:rFonts w:ascii="Times New Roman" w:cs="Times New Roman" w:eastAsia="Times New Roman" w:hAnsi="Times New Roman"/>
          <w:sz w:val="17"/>
          <w:szCs w:val="17"/>
          <w:color w:val="auto"/>
        </w:rPr>
      </w:pPr>
    </w:p>
    <w:p>
      <w:pPr>
        <w:ind w:firstLine="1851"/>
        <w:spacing w:after="0" w:line="228" w:lineRule="auto"/>
        <w:tabs>
          <w:tab w:leader="none" w:pos="2214" w:val="left"/>
        </w:tabs>
        <w:numPr>
          <w:ilvl w:val="2"/>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Grantee experiences a Termination of Employment due to Grantee’s death or Disability, any Vesting Date for the Restricted Stock Units shall be accelerated so that such Vesting Date will be deemed to occur on the date of such Termination of Employment with respect to the number of Restricted Stock Units that would have otherwise vested on such Vesting Date; or</w:t>
      </w:r>
    </w:p>
    <w:p>
      <w:pPr>
        <w:spacing w:after="0" w:line="121" w:lineRule="exact"/>
        <w:rPr>
          <w:rFonts w:ascii="Times New Roman" w:cs="Times New Roman" w:eastAsia="Times New Roman" w:hAnsi="Times New Roman"/>
          <w:sz w:val="17"/>
          <w:szCs w:val="17"/>
          <w:color w:val="auto"/>
        </w:rPr>
      </w:pPr>
    </w:p>
    <w:p>
      <w:pPr>
        <w:ind w:right="20" w:firstLine="1915"/>
        <w:spacing w:after="0" w:line="232" w:lineRule="auto"/>
        <w:tabs>
          <w:tab w:leader="none" w:pos="2278" w:val="left"/>
        </w:tabs>
        <w:numPr>
          <w:ilvl w:val="3"/>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Grantee experiences a Termination of Employment by reason of redundancy (within the meaning of the law applicable to Grantee’s employment), or due to Grantee’s retirement with the agreement of the Company, or otherwise at the discretion of the Sky Group Chief Executive Officer, the Restricted Stock Units granted pursuant to this Award that are scheduled to vest on the next scheduled Vesting Date following Grantee’s Termination of Employment shall not be forfeited and shall continue to vest in accordance with the Long-Term Incentive Awards Summary, and as of such Vesting Date, Grantee shall be entitled to the delivery of Shares with respect to such number of Restricted Stock Units. Restricted Stock Units granted pursuant to this Award that are scheduled to vest later than the next scheduled Vesting Date following Grantee’s termination of employment, if any, shall be forfeited as provided in Paragraph 5(a).]</w:t>
      </w:r>
    </w:p>
    <w:p>
      <w:pPr>
        <w:spacing w:after="0" w:line="121" w:lineRule="exact"/>
        <w:rPr>
          <w:rFonts w:ascii="Times New Roman" w:cs="Times New Roman" w:eastAsia="Times New Roman" w:hAnsi="Times New Roman"/>
          <w:sz w:val="16"/>
          <w:szCs w:val="16"/>
          <w:color w:val="auto"/>
        </w:rPr>
      </w:pPr>
    </w:p>
    <w:p>
      <w:pPr>
        <w:ind w:left="1320" w:hanging="297"/>
        <w:spacing w:after="0"/>
        <w:tabs>
          <w:tab w:leader="none" w:pos="132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of Restricted Stock Units.</w:t>
      </w:r>
    </w:p>
    <w:p>
      <w:pPr>
        <w:spacing w:after="0" w:line="144" w:lineRule="exact"/>
        <w:rPr>
          <w:rFonts w:ascii="Times New Roman" w:cs="Times New Roman" w:eastAsia="Times New Roman" w:hAnsi="Times New Roman"/>
          <w:sz w:val="17"/>
          <w:szCs w:val="17"/>
          <w:color w:val="auto"/>
        </w:rPr>
      </w:pPr>
    </w:p>
    <w:p>
      <w:pPr>
        <w:ind w:right="200" w:firstLine="1533"/>
        <w:spacing w:after="0" w:line="244" w:lineRule="auto"/>
        <w:tabs>
          <w:tab w:leader="none" w:pos="1886" w:val="left"/>
        </w:tabs>
        <w:numPr>
          <w:ilvl w:val="1"/>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set forth in this Agreement and in the Plan, in the event of Grantee’s Termination of Employment during the Restricted Period, except as otherwise specifically set forth in Paragraph 4, Grantee shall forfeit the Restricted Stock Units effective as of such Termination of Employment. Upon a forfeiture of the Restricted Stock Units as provided in this Paragraph 5, the Restricted Stock Units shall be deemed canceled.</w:t>
      </w:r>
    </w:p>
    <w:p>
      <w:pPr>
        <w:spacing w:after="0" w:line="110" w:lineRule="exact"/>
        <w:rPr>
          <w:rFonts w:ascii="Times New Roman" w:cs="Times New Roman" w:eastAsia="Times New Roman" w:hAnsi="Times New Roman"/>
          <w:sz w:val="16"/>
          <w:szCs w:val="16"/>
          <w:color w:val="auto"/>
        </w:rPr>
      </w:pPr>
    </w:p>
    <w:p>
      <w:pPr>
        <w:ind w:left="1900" w:hanging="367"/>
        <w:spacing w:after="0"/>
        <w:tabs>
          <w:tab w:leader="none" w:pos="1900"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Paragraph 5(a) shall not apply to Shares issued in respect of the Restricted Stock Units as to which a Vesting Date has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occurred.</w:t>
      </w:r>
    </w:p>
    <w:p>
      <w:pPr>
        <w:spacing w:after="0" w:line="118" w:lineRule="exact"/>
        <w:rPr>
          <w:rFonts w:ascii="Times New Roman" w:cs="Times New Roman" w:eastAsia="Times New Roman" w:hAnsi="Times New Roman"/>
          <w:sz w:val="17"/>
          <w:szCs w:val="17"/>
          <w:color w:val="auto"/>
        </w:rPr>
      </w:pPr>
    </w:p>
    <w:p>
      <w:pPr>
        <w:ind w:left="1320" w:hanging="297"/>
        <w:spacing w:after="0"/>
        <w:tabs>
          <w:tab w:leader="none" w:pos="132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Deferral Elections</w:t>
      </w:r>
      <w:r>
        <w:rPr>
          <w:rFonts w:ascii="Times New Roman" w:cs="Times New Roman" w:eastAsia="Times New Roman" w:hAnsi="Times New Roman"/>
          <w:sz w:val="17"/>
          <w:szCs w:val="17"/>
          <w:color w:val="auto"/>
        </w:rPr>
        <w:t>. Grantee may elect to defer the receipt of Shares issuable with respect to Restricted Stock Units, consistent, however, with the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00" w:top="1127" w:right="359" w:bottom="1440" w:gutter="0" w:footer="0" w:header="0"/>
        </w:sectPr>
      </w:pPr>
    </w:p>
    <w:bookmarkStart w:id="202" w:name="page203"/>
    <w:bookmarkEnd w:id="202"/>
    <w:p>
      <w:pPr>
        <w:jc w:val="both"/>
        <w:ind w:left="-20" w:firstLine="1533"/>
        <w:spacing w:after="0" w:line="223" w:lineRule="auto"/>
        <w:tabs>
          <w:tab w:leader="none" w:pos="1866"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Regular Deferral Elections</w:t>
      </w:r>
      <w:r>
        <w:rPr>
          <w:rFonts w:ascii="Times New Roman" w:cs="Times New Roman" w:eastAsia="Times New Roman" w:hAnsi="Times New Roman"/>
          <w:sz w:val="17"/>
          <w:szCs w:val="17"/>
          <w:color w:val="auto"/>
        </w:rPr>
        <w:t>. No Regular Deferral Election shall be effective until 12 months after the date on which a Regular Deferral Election is filed with the Committee. Grantee shall have the right to make a Regular Deferral Election to defer the receipt of all or a portion of the Shares issuable with respect to Restricted Stock Units hereby granted by filing a Regular Deferral Election to defer the receipt of such Shares on the form provided by the Committee for this purpose.</w:t>
      </w:r>
    </w:p>
    <w:p>
      <w:pPr>
        <w:spacing w:after="0" w:line="122" w:lineRule="exact"/>
        <w:rPr>
          <w:rFonts w:ascii="Times New Roman" w:cs="Times New Roman" w:eastAsia="Times New Roman" w:hAnsi="Times New Roman"/>
          <w:sz w:val="17"/>
          <w:szCs w:val="17"/>
          <w:color w:val="auto"/>
        </w:rPr>
      </w:pPr>
    </w:p>
    <w:p>
      <w:pPr>
        <w:ind w:left="-20" w:right="360" w:firstLine="2042"/>
        <w:spacing w:after="0" w:line="238" w:lineRule="auto"/>
        <w:tabs>
          <w:tab w:leader="none" w:pos="2597"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Deadline for Regular Deferral Election</w:t>
      </w:r>
      <w:r>
        <w:rPr>
          <w:rFonts w:ascii="Times New Roman" w:cs="Times New Roman" w:eastAsia="Times New Roman" w:hAnsi="Times New Roman"/>
          <w:sz w:val="17"/>
          <w:szCs w:val="17"/>
          <w:color w:val="auto"/>
        </w:rPr>
        <w:t>. A Regular Deferral Election to defer the receipt of Shares issuable with respect to Restricted Stock Units hereby granted shall not be effective unless it is filed with the Committee:</w:t>
      </w:r>
    </w:p>
    <w:p>
      <w:pPr>
        <w:spacing w:after="0" w:line="121" w:lineRule="exact"/>
        <w:rPr>
          <w:rFonts w:ascii="Times New Roman" w:cs="Times New Roman" w:eastAsia="Times New Roman" w:hAnsi="Times New Roman"/>
          <w:sz w:val="17"/>
          <w:szCs w:val="17"/>
          <w:color w:val="auto"/>
        </w:rPr>
      </w:pPr>
    </w:p>
    <w:p>
      <w:pPr>
        <w:ind w:left="-20" w:right="180" w:firstLine="2551"/>
        <w:spacing w:after="0" w:line="246" w:lineRule="auto"/>
        <w:tabs>
          <w:tab w:leader="none" w:pos="3054" w:val="left"/>
        </w:tabs>
        <w:numPr>
          <w:ilvl w:val="3"/>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Restricted Stock Units with a Service Vesting Date on the 13-month anniversary of the Date of Grant, the close of business on the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following the Date of Grant.</w:t>
      </w:r>
    </w:p>
    <w:p>
      <w:pPr>
        <w:spacing w:after="0" w:line="49" w:lineRule="exact"/>
        <w:rPr>
          <w:rFonts w:ascii="Times New Roman" w:cs="Times New Roman" w:eastAsia="Times New Roman" w:hAnsi="Times New Roman"/>
          <w:sz w:val="17"/>
          <w:szCs w:val="17"/>
          <w:color w:val="auto"/>
        </w:rPr>
      </w:pPr>
    </w:p>
    <w:p>
      <w:pPr>
        <w:ind w:left="-20" w:right="300" w:firstLine="2551"/>
        <w:spacing w:after="0" w:line="238" w:lineRule="auto"/>
        <w:tabs>
          <w:tab w:leader="none" w:pos="3106" w:val="left"/>
        </w:tabs>
        <w:numPr>
          <w:ilvl w:val="3"/>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Restricted Stock Units with a Service Vesting Date on the second anniversary of the Date of Grant, the close of business on the first anniversary of the Date of Grant;</w:t>
      </w:r>
    </w:p>
    <w:p>
      <w:pPr>
        <w:spacing w:after="0" w:line="121" w:lineRule="exact"/>
        <w:rPr>
          <w:rFonts w:ascii="Times New Roman" w:cs="Times New Roman" w:eastAsia="Times New Roman" w:hAnsi="Times New Roman"/>
          <w:sz w:val="17"/>
          <w:szCs w:val="17"/>
          <w:color w:val="auto"/>
        </w:rPr>
      </w:pPr>
    </w:p>
    <w:p>
      <w:pPr>
        <w:ind w:left="-20" w:right="460" w:firstLine="2551"/>
        <w:spacing w:after="0" w:line="238" w:lineRule="auto"/>
        <w:tabs>
          <w:tab w:leader="none" w:pos="3097" w:val="left"/>
        </w:tabs>
        <w:numPr>
          <w:ilvl w:val="3"/>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Restricted Stock Units with a Service Vesting Date on the third anniversary of the Date of Grant, the close of business on the second anniversary of the Date of Grant;</w:t>
      </w:r>
    </w:p>
    <w:p>
      <w:pPr>
        <w:spacing w:after="0" w:line="121" w:lineRule="exact"/>
        <w:rPr>
          <w:rFonts w:ascii="Times New Roman" w:cs="Times New Roman" w:eastAsia="Times New Roman" w:hAnsi="Times New Roman"/>
          <w:sz w:val="17"/>
          <w:szCs w:val="17"/>
          <w:color w:val="auto"/>
        </w:rPr>
      </w:pPr>
    </w:p>
    <w:p>
      <w:pPr>
        <w:ind w:left="-20" w:right="360" w:firstLine="2551"/>
        <w:spacing w:after="0" w:line="238" w:lineRule="auto"/>
        <w:tabs>
          <w:tab w:leader="none" w:pos="3106" w:val="left"/>
        </w:tabs>
        <w:numPr>
          <w:ilvl w:val="3"/>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Restricted Stock Units with a Service Vesting Date on the fourth anniversary of the Date of Grant, the close of business on the third anniversary of the Date of Grant;</w:t>
      </w:r>
    </w:p>
    <w:p>
      <w:pPr>
        <w:spacing w:after="0" w:line="121" w:lineRule="exact"/>
        <w:rPr>
          <w:rFonts w:ascii="Times New Roman" w:cs="Times New Roman" w:eastAsia="Times New Roman" w:hAnsi="Times New Roman"/>
          <w:sz w:val="17"/>
          <w:szCs w:val="17"/>
          <w:color w:val="auto"/>
        </w:rPr>
      </w:pPr>
    </w:p>
    <w:p>
      <w:pPr>
        <w:ind w:left="-20" w:right="180" w:firstLine="2212"/>
        <w:spacing w:after="0" w:line="238" w:lineRule="auto"/>
        <w:tabs>
          <w:tab w:leader="none" w:pos="2588" w:val="left"/>
        </w:tabs>
        <w:numPr>
          <w:ilvl w:val="2"/>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Restricted Stock Units with a Service Vesting Date on the fifth anniversary of the Date of Grant, the close of business on the fourth anniversary of the Date of Grant.</w:t>
      </w:r>
    </w:p>
    <w:p>
      <w:pPr>
        <w:spacing w:after="0" w:line="121" w:lineRule="exact"/>
        <w:rPr>
          <w:rFonts w:ascii="Times New Roman" w:cs="Times New Roman" w:eastAsia="Times New Roman" w:hAnsi="Times New Roman"/>
          <w:sz w:val="17"/>
          <w:szCs w:val="17"/>
          <w:color w:val="auto"/>
        </w:rPr>
      </w:pPr>
    </w:p>
    <w:p>
      <w:pPr>
        <w:ind w:left="-20" w:right="300" w:firstLine="2042"/>
        <w:spacing w:after="0" w:line="228" w:lineRule="auto"/>
        <w:tabs>
          <w:tab w:leader="none" w:pos="2385"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Deferral Period</w:t>
      </w:r>
      <w:r>
        <w:rPr>
          <w:rFonts w:ascii="Times New Roman" w:cs="Times New Roman" w:eastAsia="Times New Roman" w:hAnsi="Times New Roman"/>
          <w:sz w:val="17"/>
          <w:szCs w:val="17"/>
          <w:color w:val="auto"/>
        </w:rPr>
        <w:t>. If Grantee makes a Regular Deferral Election to defer the distribution date for Shares issuable with respect to some or all of the Restricted Stock Units hereby granted, Grantee may elect to defer the distribution date for a minimum of five years and a maximum of seven additional years from the Service Vesting Date.</w:t>
      </w:r>
    </w:p>
    <w:p>
      <w:pPr>
        <w:spacing w:after="0" w:line="121" w:lineRule="exact"/>
        <w:rPr>
          <w:rFonts w:ascii="Times New Roman" w:cs="Times New Roman" w:eastAsia="Times New Roman" w:hAnsi="Times New Roman"/>
          <w:sz w:val="17"/>
          <w:szCs w:val="17"/>
          <w:color w:val="auto"/>
        </w:rPr>
      </w:pPr>
    </w:p>
    <w:p>
      <w:pPr>
        <w:ind w:left="-20" w:right="80" w:firstLine="2042"/>
        <w:spacing w:after="0" w:line="238" w:lineRule="auto"/>
        <w:tabs>
          <w:tab w:leader="none" w:pos="2597"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Failure of Vesting Date to Occur</w:t>
      </w:r>
      <w:r>
        <w:rPr>
          <w:rFonts w:ascii="Times New Roman" w:cs="Times New Roman" w:eastAsia="Times New Roman" w:hAnsi="Times New Roman"/>
          <w:sz w:val="17"/>
          <w:szCs w:val="17"/>
          <w:color w:val="auto"/>
        </w:rPr>
        <w:t>. A Regular Deferral Election shall be null and void if a Vesting Date does not occur with respect to Restricted Stock Units identified in such Regular Deferral Election.</w:t>
      </w:r>
    </w:p>
    <w:p>
      <w:pPr>
        <w:spacing w:after="0" w:line="121" w:lineRule="exact"/>
        <w:rPr>
          <w:rFonts w:ascii="Times New Roman" w:cs="Times New Roman" w:eastAsia="Times New Roman" w:hAnsi="Times New Roman"/>
          <w:sz w:val="17"/>
          <w:szCs w:val="17"/>
          <w:color w:val="auto"/>
        </w:rPr>
      </w:pPr>
    </w:p>
    <w:p>
      <w:pPr>
        <w:ind w:left="-20" w:right="120" w:firstLine="1533"/>
        <w:spacing w:after="0" w:line="238" w:lineRule="auto"/>
        <w:tabs>
          <w:tab w:leader="none" w:pos="1876"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Deferral Elections</w:t>
      </w:r>
      <w:r>
        <w:rPr>
          <w:rFonts w:ascii="Times New Roman" w:cs="Times New Roman" w:eastAsia="Times New Roman" w:hAnsi="Times New Roman"/>
          <w:sz w:val="17"/>
          <w:szCs w:val="17"/>
          <w:color w:val="auto"/>
        </w:rPr>
        <w:t>. No Subsequent Deferral Election shall be effective until 12 months after the date on which a Subsequent Deferral Election is filed with the Committee.</w:t>
      </w:r>
    </w:p>
    <w:p>
      <w:pPr>
        <w:spacing w:after="0" w:line="121" w:lineRule="exact"/>
        <w:rPr>
          <w:rFonts w:ascii="Times New Roman" w:cs="Times New Roman" w:eastAsia="Times New Roman" w:hAnsi="Times New Roman"/>
          <w:sz w:val="17"/>
          <w:szCs w:val="17"/>
          <w:color w:val="auto"/>
        </w:rPr>
      </w:pPr>
    </w:p>
    <w:p>
      <w:pPr>
        <w:ind w:left="-20" w:right="20" w:firstLine="2042"/>
        <w:spacing w:after="0" w:line="220" w:lineRule="auto"/>
        <w:tabs>
          <w:tab w:leader="none" w:pos="2597"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Grantee makes a Regular Deferral Election, or pursuant to this Paragraph 6(b)(1) makes a Subsequent Deferral Election to defer the distribution date for Shares issuable with respect to some or all of the Restricted Stock Units hereby granted for which a Regular Deferral Election had previously been made, Grantee may elect to defer the distribution date for a minimum of five years and a maximum of seven additional years from the previously-elected distribution date by filing a Subsequent Deferral Election with the Committee on or before the close of business at least one year before the date on which the distribution would otherwise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127" w:right="339" w:bottom="1440" w:gutter="0" w:footer="0" w:header="0"/>
        </w:sectPr>
      </w:pPr>
    </w:p>
    <w:bookmarkStart w:id="203" w:name="page204"/>
    <w:bookmarkEnd w:id="203"/>
    <w:p>
      <w:pPr>
        <w:ind w:right="240" w:firstLine="2042"/>
        <w:spacing w:after="0" w:line="223" w:lineRule="auto"/>
        <w:tabs>
          <w:tab w:leader="none" w:pos="2617" w:val="left"/>
        </w:tabs>
        <w:numPr>
          <w:ilvl w:val="2"/>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Grantee dies before Shares subject to a Regular Deferral Election under Paragraph 6(a) are to be delivered, the estate or beneficiary to whom the right to delivery of such Shares shall have passed may make a Subsequent Deferral Election to defer receipt of all or any portion of such Shares for five additional years from the date delivery of Shares would otherwise be made, provided that such Subsequent Deferral Election must be filed with the Committee at least one year before the date on which the distribution would otherwise be made, as reflected on Grantee’s last Election.</w:t>
      </w:r>
    </w:p>
    <w:p>
      <w:pPr>
        <w:spacing w:after="0" w:line="122" w:lineRule="exact"/>
        <w:rPr>
          <w:rFonts w:ascii="Times New Roman" w:cs="Times New Roman" w:eastAsia="Times New Roman" w:hAnsi="Times New Roman"/>
          <w:sz w:val="17"/>
          <w:szCs w:val="17"/>
          <w:color w:val="auto"/>
        </w:rPr>
      </w:pPr>
    </w:p>
    <w:p>
      <w:pPr>
        <w:ind w:firstLine="2042"/>
        <w:spacing w:after="0" w:line="223" w:lineRule="auto"/>
        <w:tabs>
          <w:tab w:leader="none" w:pos="2617" w:val="left"/>
        </w:tabs>
        <w:numPr>
          <w:ilvl w:val="2"/>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Grantee has a Termination of Employment before Shares subject to a Regular Deferral Election or a Subsequent Deferral Election are required to be delivered under this Award, Grantee may make a Subsequent Deferral Election to defer all or any portion of such Shares for a minimum of five years and a maximum of seven additional years from the previously-elected distribution date. Such a Subsequent Deferral Election must be filed with the Committee at least one year before the date on which the distribution would otherwise be made.</w:t>
      </w:r>
    </w:p>
    <w:p>
      <w:pPr>
        <w:spacing w:after="0" w:line="122" w:lineRule="exact"/>
        <w:rPr>
          <w:rFonts w:ascii="Times New Roman" w:cs="Times New Roman" w:eastAsia="Times New Roman" w:hAnsi="Times New Roman"/>
          <w:sz w:val="17"/>
          <w:szCs w:val="17"/>
          <w:color w:val="auto"/>
        </w:rPr>
      </w:pPr>
    </w:p>
    <w:p>
      <w:pPr>
        <w:ind w:right="80" w:firstLine="1533"/>
        <w:spacing w:after="0" w:line="238" w:lineRule="auto"/>
        <w:tabs>
          <w:tab w:leader="none" w:pos="1886"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Diversification Election</w:t>
      </w:r>
      <w:r>
        <w:rPr>
          <w:rFonts w:ascii="Times New Roman" w:cs="Times New Roman" w:eastAsia="Times New Roman" w:hAnsi="Times New Roman"/>
          <w:sz w:val="17"/>
          <w:szCs w:val="17"/>
          <w:color w:val="auto"/>
        </w:rPr>
        <w:t>. As provided in the DC Plan and as described in the prospectus for the DC Plan, a Grantee with an Account may be eligible to make a Diversification Election on an election form supplied by the Committee for this purpose.</w:t>
      </w:r>
    </w:p>
    <w:p>
      <w:pPr>
        <w:spacing w:after="0" w:line="121" w:lineRule="exact"/>
        <w:rPr>
          <w:rFonts w:ascii="Times New Roman" w:cs="Times New Roman" w:eastAsia="Times New Roman" w:hAnsi="Times New Roman"/>
          <w:sz w:val="17"/>
          <w:szCs w:val="17"/>
          <w:color w:val="auto"/>
        </w:rPr>
      </w:pPr>
    </w:p>
    <w:p>
      <w:pPr>
        <w:ind w:right="40" w:firstLine="1533"/>
        <w:spacing w:after="0" w:line="220" w:lineRule="auto"/>
        <w:tabs>
          <w:tab w:leader="none" w:pos="1896"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Book Accounts</w:t>
      </w:r>
      <w:r>
        <w:rPr>
          <w:rFonts w:ascii="Times New Roman" w:cs="Times New Roman" w:eastAsia="Times New Roman" w:hAnsi="Times New Roman"/>
          <w:sz w:val="17"/>
          <w:szCs w:val="17"/>
          <w:color w:val="auto"/>
        </w:rPr>
        <w:t>. An Account shall be established for each Grantee who makes a Regular Deferral Election. Deferred Stock Units shall be credited to the Account as of the date a Regular Deferral Election becomes effective. Each Deferred Stock Unit will represent a hypothetical Share credited to the Account in lieu of delivery of the Shares to which a Regular Deferral Election or Subsequent Deferral Election applies. If an eligible Grantee makes a Diversification Election, then to the extent an Account is deemed invested in the Income Fund or Other Investment Fund, the Committee shall credit earnings with respect to such Account in accordance with the terms of the DC Plan.</w:t>
      </w:r>
    </w:p>
    <w:p>
      <w:pPr>
        <w:spacing w:after="0" w:line="122" w:lineRule="exact"/>
        <w:rPr>
          <w:rFonts w:ascii="Times New Roman" w:cs="Times New Roman" w:eastAsia="Times New Roman" w:hAnsi="Times New Roman"/>
          <w:sz w:val="17"/>
          <w:szCs w:val="17"/>
          <w:color w:val="auto"/>
        </w:rPr>
      </w:pPr>
    </w:p>
    <w:p>
      <w:pPr>
        <w:jc w:val="both"/>
        <w:ind w:right="20" w:firstLine="1533"/>
        <w:spacing w:after="0" w:line="227" w:lineRule="auto"/>
        <w:tabs>
          <w:tab w:leader="none" w:pos="1886"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Status of Deferred Amounts</w:t>
      </w:r>
      <w:r>
        <w:rPr>
          <w:rFonts w:ascii="Times New Roman" w:cs="Times New Roman" w:eastAsia="Times New Roman" w:hAnsi="Times New Roman"/>
          <w:sz w:val="16"/>
          <w:szCs w:val="16"/>
          <w:color w:val="auto"/>
        </w:rPr>
        <w:t>. Grantee’s right to delivery of Shares subject to a Regular Deferral Election or Subsequent Deferral Election, or to amounts deemed invested in the Income Fund or Other Investment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DC Plan or an Award shall be deemed to create an escrow, trust, custodial account or fiduciary relationship of any kind.</w:t>
      </w:r>
    </w:p>
    <w:p>
      <w:pPr>
        <w:ind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Nothing contained in the DC Plan or an Award shall be construed to eliminate any priority or preferred position of Grantee in a bankruptcy matter with respect to claims for wages.</w:t>
      </w:r>
    </w:p>
    <w:p>
      <w:pPr>
        <w:spacing w:after="0" w:line="121" w:lineRule="exact"/>
        <w:rPr>
          <w:rFonts w:ascii="Times New Roman" w:cs="Times New Roman" w:eastAsia="Times New Roman" w:hAnsi="Times New Roman"/>
          <w:sz w:val="16"/>
          <w:szCs w:val="16"/>
          <w:color w:val="auto"/>
        </w:rPr>
      </w:pPr>
    </w:p>
    <w:p>
      <w:pPr>
        <w:ind w:right="80" w:firstLine="1533"/>
        <w:spacing w:after="0" w:line="244" w:lineRule="auto"/>
        <w:tabs>
          <w:tab w:leader="none" w:pos="1867"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Non-Assignability, Etc.</w:t>
      </w:r>
      <w:r>
        <w:rPr>
          <w:rFonts w:ascii="Times New Roman" w:cs="Times New Roman" w:eastAsia="Times New Roman" w:hAnsi="Times New Roman"/>
          <w:sz w:val="16"/>
          <w:szCs w:val="16"/>
          <w:color w:val="auto"/>
        </w:rPr>
        <w:t xml:space="preserve"> The right of Grantee to receive Shares subject to an Election under this Paragraph 6, or to amounts deemed invested in the Income Fund or Other Investment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17" w:lineRule="exact"/>
        <w:rPr>
          <w:rFonts w:ascii="Times New Roman" w:cs="Times New Roman" w:eastAsia="Times New Roman" w:hAnsi="Times New Roman"/>
          <w:sz w:val="16"/>
          <w:szCs w:val="16"/>
          <w:color w:val="auto"/>
        </w:rPr>
      </w:pPr>
    </w:p>
    <w:p>
      <w:pPr>
        <w:ind w:right="80" w:firstLine="1023"/>
        <w:spacing w:after="0" w:line="223" w:lineRule="auto"/>
        <w:tabs>
          <w:tab w:leader="none" w:pos="1316"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 of Award</w:t>
      </w:r>
      <w:r>
        <w:rPr>
          <w:rFonts w:ascii="Times New Roman" w:cs="Times New Roman" w:eastAsia="Times New Roman" w:hAnsi="Times New Roman"/>
          <w:sz w:val="17"/>
          <w:szCs w:val="17"/>
          <w:color w:val="auto"/>
        </w:rPr>
        <w:t>. The Award and any Restricted Stock Units hereunder may not be transferred or assigned by Grantee other than by will or the laws of descent and distribution or be exercised during his life other than by Grantee or for his benefit by his attorney-in-fact or guardian. Any attempt at assignment, transfer, pledge or disposition of any Restricted Stock Units contrary to the provisions hereof or the levy of any execution, attachment or similar process upon the Restricted Stock Units shall be null and void and without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27" w:right="319" w:bottom="1440" w:gutter="0" w:footer="0" w:header="0"/>
        </w:sectPr>
      </w:pPr>
    </w:p>
    <w:bookmarkStart w:id="204" w:name="page205"/>
    <w:bookmarkEnd w:id="204"/>
    <w:p>
      <w:pPr>
        <w:ind w:right="40" w:firstLine="1023"/>
        <w:spacing w:after="0" w:line="228" w:lineRule="auto"/>
        <w:tabs>
          <w:tab w:leader="none" w:pos="1316"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to the Company under this Agreement shall be made in care of the Committee at the Company’s main office in Philadelphia, Pennsylvania. The address for Grantee to which notice, demands and other communications to be given or delivered under or by reason of the provisions hereof shall be Grantee’s address as reflected in the Employer’s personnel records.</w:t>
      </w:r>
    </w:p>
    <w:p>
      <w:pPr>
        <w:spacing w:after="0" w:line="121" w:lineRule="exact"/>
        <w:rPr>
          <w:rFonts w:ascii="Times New Roman" w:cs="Times New Roman" w:eastAsia="Times New Roman" w:hAnsi="Times New Roman"/>
          <w:sz w:val="17"/>
          <w:szCs w:val="17"/>
          <w:color w:val="auto"/>
        </w:rPr>
      </w:pPr>
    </w:p>
    <w:p>
      <w:pPr>
        <w:jc w:val="both"/>
        <w:ind w:right="120" w:firstLine="1023"/>
        <w:spacing w:after="0" w:line="228" w:lineRule="auto"/>
        <w:tabs>
          <w:tab w:leader="none" w:pos="1316"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 Laws</w:t>
      </w:r>
      <w:r>
        <w:rPr>
          <w:rFonts w:ascii="Times New Roman" w:cs="Times New Roman" w:eastAsia="Times New Roman" w:hAnsi="Times New Roman"/>
          <w:sz w:val="17"/>
          <w:szCs w:val="17"/>
          <w:color w:val="auto"/>
        </w:rPr>
        <w:t>. The Committee may from time to time impose any conditions on the Shares issuable with respect to Restricted Stock Units as it deems necessary or advisable to ensure that the Plan and this Award satisfies the conditions of Rule 16b-3, and that Shares are issued and resold in compliance with the Securities Act of 1933, as amended.</w:t>
      </w:r>
    </w:p>
    <w:p>
      <w:pPr>
        <w:spacing w:after="0" w:line="121" w:lineRule="exact"/>
        <w:rPr>
          <w:rFonts w:ascii="Times New Roman" w:cs="Times New Roman" w:eastAsia="Times New Roman" w:hAnsi="Times New Roman"/>
          <w:sz w:val="17"/>
          <w:szCs w:val="17"/>
          <w:color w:val="auto"/>
        </w:rPr>
      </w:pPr>
    </w:p>
    <w:p>
      <w:pPr>
        <w:ind w:right="20" w:firstLine="1023"/>
        <w:spacing w:after="0" w:line="216" w:lineRule="auto"/>
        <w:tabs>
          <w:tab w:leader="none" w:pos="1401"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Shares</w:t>
      </w:r>
      <w:r>
        <w:rPr>
          <w:rFonts w:ascii="Times New Roman" w:cs="Times New Roman" w:eastAsia="Times New Roman" w:hAnsi="Times New Roman"/>
          <w:sz w:val="17"/>
          <w:szCs w:val="17"/>
          <w:color w:val="auto"/>
        </w:rPr>
        <w:t xml:space="preserve">. Except as otherwise provided in Paragraph 6, within ten (10) business days of a Vesting Date, the Company shall, without payment from Grantee, satisfy its obligations to (1) pay the Dividend Equivalent Amount (if any) and (2) deliver Shares underlying the applicable Restricted Stock Units by arranging for the recording of Grantee’s ownership of Shares issuable under the Plan on a book entry recordkeeping system maintained on behalf of the Company, without any legend or restrictions, except for such restrictions as may be imposed by the Committee, in its sole judgment, under Paragraph 9;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w:t>
      </w:r>
    </w:p>
    <w:p>
      <w:pPr>
        <w:spacing w:after="0" w:line="120" w:lineRule="exact"/>
        <w:rPr>
          <w:rFonts w:ascii="Times New Roman" w:cs="Times New Roman" w:eastAsia="Times New Roman" w:hAnsi="Times New Roman"/>
          <w:sz w:val="17"/>
          <w:szCs w:val="17"/>
          <w:color w:val="auto"/>
        </w:rPr>
      </w:pPr>
    </w:p>
    <w:p>
      <w:pPr>
        <w:jc w:val="both"/>
        <w:ind w:firstLine="1023"/>
        <w:spacing w:after="0" w:line="267" w:lineRule="auto"/>
        <w:tabs>
          <w:tab w:leader="none" w:pos="1394"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Rights Prior to Settlement</w:t>
      </w:r>
      <w:r>
        <w:rPr>
          <w:rFonts w:ascii="Times New Roman" w:cs="Times New Roman" w:eastAsia="Times New Roman" w:hAnsi="Times New Roman"/>
          <w:sz w:val="16"/>
          <w:szCs w:val="16"/>
          <w:color w:val="auto"/>
        </w:rPr>
        <w:t>. Grantee shall not have any right as a shareholder with respect to any Shares subject to his or her Restricted Stock Unit until the Restricted Stock Unit shall have been settled in accordance with the terms of the Plan and this Agreement, and the Company shall have delivered the Shares.</w:t>
      </w:r>
    </w:p>
    <w:p>
      <w:pPr>
        <w:spacing w:after="0" w:line="99" w:lineRule="exact"/>
        <w:rPr>
          <w:rFonts w:ascii="Times New Roman" w:cs="Times New Roman" w:eastAsia="Times New Roman" w:hAnsi="Times New Roman"/>
          <w:sz w:val="16"/>
          <w:szCs w:val="16"/>
          <w:color w:val="auto"/>
        </w:rPr>
      </w:pPr>
    </w:p>
    <w:p>
      <w:pPr>
        <w:ind w:firstLine="1023"/>
        <w:spacing w:after="0" w:line="212" w:lineRule="auto"/>
        <w:tabs>
          <w:tab w:leader="none" w:pos="1401"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Grantee understands and agrees that this Award and all payments with respect thereto are intended to comply with and/or be exempt from Section 409A of the Code (together with its implement regulations and guidance,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This Agreement shall be interpreted in a manner that is consistent with such intent and the Award shall be operated accordingly. If any provision of the Plan or any term or condition of this Award would otherwise frustrate or conflict with this intent, the provision, term or condition shall be interpreted an deemed amended so as to avoid this conflict. Notwithstanding anything in the Plan of this Agreement to the contrary, if the Board considers Grantee to be a “specified employee” under Section 409A at the time of Grantee’s “separation from service” (as defined in Section 409A), and any amount hereunder is “deferred compensation” subject to Section 409A, any distribution of such amount that otherwise would be made to Grantee with respect to the Award as a result of such “separation from service” shall not be made until the date that is six months after such “separation from service,” except to the extent that earlier distribution would not result in Grantee incurring interest or additional tax under Section 409A. If the Award includes a “series of installment payments” (within the meaning of Treasury Regulations § 1.409A-2(b)(2)(iii)), Grantee’s right to such series of installment payments shall be treated as a right to a series of separate payments and not as a right to a single payment, and if the Award includes “dividend equivalents” (within the meaning of Treasury Regulations § 1.409A-3(e)), Grantee’s right to such dividend equivalents shall be treated separately from the right to other amounts under the Award. Notwithstanding the foregoing, the tax treatment of the benefits provided under the Plan or this Agreement is not warranted or guaranteed, and in no event shall the Company be liable for all or any portion of any taxes, penalties, interest or other expenses that may be incurred by Grantee on account of non-compliance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26" w:right="319" w:bottom="1440" w:gutter="0" w:footer="0" w:header="0"/>
        </w:sectPr>
      </w:pPr>
    </w:p>
    <w:bookmarkStart w:id="205" w:name="page206"/>
    <w:bookmarkEnd w:id="205"/>
    <w:p>
      <w:pPr>
        <w:ind w:left="-120" w:right="100" w:firstLine="1023"/>
        <w:spacing w:after="0" w:line="238" w:lineRule="auto"/>
        <w:tabs>
          <w:tab w:leader="none" w:pos="1281"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Not to Affect Employment</w:t>
      </w:r>
      <w:r>
        <w:rPr>
          <w:rFonts w:ascii="Times New Roman" w:cs="Times New Roman" w:eastAsia="Times New Roman" w:hAnsi="Times New Roman"/>
          <w:sz w:val="17"/>
          <w:szCs w:val="17"/>
          <w:color w:val="auto"/>
        </w:rPr>
        <w:t>. The Award granted hereunder shall not confer upon Grantee any right to continue in the employment of the Company or any Subsidiary Company or Affiliate of the Company.</w:t>
      </w:r>
    </w:p>
    <w:p>
      <w:pPr>
        <w:spacing w:after="0" w:line="121" w:lineRule="exact"/>
        <w:rPr>
          <w:rFonts w:ascii="Times New Roman" w:cs="Times New Roman" w:eastAsia="Times New Roman" w:hAnsi="Times New Roman"/>
          <w:sz w:val="17"/>
          <w:szCs w:val="17"/>
          <w:color w:val="auto"/>
        </w:rPr>
      </w:pPr>
    </w:p>
    <w:p>
      <w:pPr>
        <w:ind w:left="-120" w:right="460" w:firstLine="1023"/>
        <w:spacing w:after="0" w:line="238" w:lineRule="auto"/>
        <w:tabs>
          <w:tab w:leader="none" w:pos="1281"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validity, performance, construction and effect of this Award shall be governed by the laws of the Commonwealth of Pennsylvania, without giving effect to principles of conflicts of law.</w:t>
      </w:r>
    </w:p>
    <w:p>
      <w:pPr>
        <w:spacing w:after="0" w:line="121" w:lineRule="exact"/>
        <w:rPr>
          <w:rFonts w:ascii="Times New Roman" w:cs="Times New Roman" w:eastAsia="Times New Roman" w:hAnsi="Times New Roman"/>
          <w:sz w:val="17"/>
          <w:szCs w:val="17"/>
          <w:color w:val="auto"/>
        </w:rPr>
      </w:pPr>
    </w:p>
    <w:p>
      <w:pPr>
        <w:ind w:left="-120" w:right="400" w:firstLine="1023"/>
        <w:spacing w:after="0" w:line="238" w:lineRule="auto"/>
        <w:tabs>
          <w:tab w:leader="none" w:pos="1281"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Protection</w:t>
      </w:r>
      <w:r>
        <w:rPr>
          <w:rFonts w:ascii="Times New Roman" w:cs="Times New Roman" w:eastAsia="Times New Roman" w:hAnsi="Times New Roman"/>
          <w:sz w:val="17"/>
          <w:szCs w:val="17"/>
          <w:color w:val="auto"/>
        </w:rPr>
        <w:t>. Grantee acknowledges that their personal data will be processed in accordance with the data privacy policy, notice and/or agreement that is applicable to them in connection with their employment.</w:t>
      </w:r>
    </w:p>
    <w:p>
      <w:pPr>
        <w:spacing w:after="0" w:line="132" w:lineRule="exact"/>
        <w:rPr>
          <w:rFonts w:ascii="Times New Roman" w:cs="Times New Roman" w:eastAsia="Times New Roman" w:hAnsi="Times New Roman"/>
          <w:sz w:val="17"/>
          <w:szCs w:val="17"/>
          <w:color w:val="auto"/>
        </w:rPr>
      </w:pPr>
    </w:p>
    <w:p>
      <w:pPr>
        <w:ind w:left="-120" w:right="320" w:firstLine="1023"/>
        <w:spacing w:after="0" w:line="263" w:lineRule="auto"/>
        <w:tabs>
          <w:tab w:leader="none" w:pos="1281"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Terms</w:t>
      </w:r>
      <w:r>
        <w:rPr>
          <w:rFonts w:ascii="Times New Roman" w:cs="Times New Roman" w:eastAsia="Times New Roman" w:hAnsi="Times New Roman"/>
          <w:sz w:val="17"/>
          <w:szCs w:val="17"/>
          <w:color w:val="auto"/>
        </w:rPr>
        <w:t>. This Award is subject to all applicable provisions set out in APPENDIX A to this Agreement, titled ‘Global Appendix’, including any provisions that are specific to Grantee’s jurisdiction, if any.][Reserved]</w:t>
      </w:r>
    </w:p>
    <w:p>
      <w:pPr>
        <w:spacing w:after="0" w:line="133" w:lineRule="exact"/>
        <w:rPr>
          <w:rFonts w:ascii="Times New Roman" w:cs="Times New Roman" w:eastAsia="Times New Roman" w:hAnsi="Times New Roman"/>
          <w:sz w:val="17"/>
          <w:szCs w:val="17"/>
          <w:color w:val="auto"/>
        </w:rPr>
      </w:pPr>
    </w:p>
    <w:p>
      <w:pPr>
        <w:ind w:left="-120" w:firstLine="1023"/>
        <w:spacing w:after="0" w:line="238" w:lineRule="auto"/>
        <w:tabs>
          <w:tab w:leader="none" w:pos="1281"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Cancellation/Clawback</w:t>
      </w:r>
      <w:r>
        <w:rPr>
          <w:rFonts w:ascii="Times New Roman" w:cs="Times New Roman" w:eastAsia="Times New Roman" w:hAnsi="Times New Roman"/>
          <w:sz w:val="17"/>
          <w:szCs w:val="17"/>
          <w:color w:val="auto"/>
        </w:rPr>
        <w:t>. Grantee hereby acknowledges and agrees that Grantee and the Award are subject to the terms and conditions of Section 14 (Recoupment) of the Plan.</w:t>
      </w:r>
    </w:p>
    <w:p>
      <w:pPr>
        <w:spacing w:after="0" w:line="121" w:lineRule="exact"/>
        <w:rPr>
          <w:rFonts w:ascii="Times New Roman" w:cs="Times New Roman" w:eastAsia="Times New Roman" w:hAnsi="Times New Roman"/>
          <w:sz w:val="17"/>
          <w:szCs w:val="17"/>
          <w:color w:val="auto"/>
        </w:rPr>
      </w:pPr>
    </w:p>
    <w:p>
      <w:pPr>
        <w:ind w:left="-120" w:right="180" w:firstLine="1023"/>
        <w:spacing w:after="0" w:line="223" w:lineRule="auto"/>
        <w:tabs>
          <w:tab w:leader="none" w:pos="1281"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Provisions of Plan Control</w:t>
      </w:r>
      <w:r>
        <w:rPr>
          <w:rFonts w:ascii="Times New Roman" w:cs="Times New Roman" w:eastAsia="Times New Roman" w:hAnsi="Times New Roman"/>
          <w:sz w:val="17"/>
          <w:szCs w:val="17"/>
          <w:color w:val="auto"/>
        </w:rPr>
        <w:t>. This Agreement is subject to all the terms, conditions and provisions of the Plan, including the amendment provisions thereof, and to such rules, regulations and interpretations relating to the Plan as may be adopted by the Committee and as may be in effect from time to time. The terms of the Plan are incorporated herein by reference. If and to the extent that this Agreement conflicts with the Plan, the Plan shall control, and this Agreement shall be deemed to be modified accordingly.</w:t>
      </w:r>
    </w:p>
    <w:p>
      <w:pPr>
        <w:spacing w:after="0" w:line="122" w:lineRule="exact"/>
        <w:rPr>
          <w:rFonts w:ascii="Times New Roman" w:cs="Times New Roman" w:eastAsia="Times New Roman" w:hAnsi="Times New Roman"/>
          <w:sz w:val="17"/>
          <w:szCs w:val="17"/>
          <w:color w:val="auto"/>
        </w:rPr>
      </w:pPr>
    </w:p>
    <w:p>
      <w:pPr>
        <w:ind w:left="-120" w:right="220" w:firstLine="1023"/>
        <w:spacing w:after="0" w:line="223" w:lineRule="auto"/>
        <w:tabs>
          <w:tab w:leader="none" w:pos="1281"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the Plan and any other agreements, schedules, exhibits and other 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w:t>
      </w:r>
    </w:p>
    <w:p>
      <w:pPr>
        <w:spacing w:after="0" w:line="122" w:lineRule="exact"/>
        <w:rPr>
          <w:rFonts w:ascii="Times New Roman" w:cs="Times New Roman" w:eastAsia="Times New Roman" w:hAnsi="Times New Roman"/>
          <w:sz w:val="17"/>
          <w:szCs w:val="17"/>
          <w:color w:val="auto"/>
        </w:rPr>
      </w:pPr>
    </w:p>
    <w:p>
      <w:pPr>
        <w:ind w:left="-120" w:right="40" w:firstLine="1023"/>
        <w:spacing w:after="0" w:line="223" w:lineRule="auto"/>
        <w:tabs>
          <w:tab w:leader="none" w:pos="1281"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is or becomes or is deemed to be invalid, illegal or unenforceable in any jurisdiction, or would disqualify the Plan or this Agreement under any law deemed applicable by the Committee, such provision shall be construed or deemed amended to conform to applicable laws, or if it cannot be so construed or deemed amended without, in the determination of the Committee, materially altering the intent of this Agreement, such provision shall be stricken as to such jurisdiction, and the remainder of this Agreement shall remain in full force and effect.</w:t>
      </w:r>
    </w:p>
    <w:p>
      <w:pPr>
        <w:spacing w:after="0" w:line="122" w:lineRule="exact"/>
        <w:rPr>
          <w:rFonts w:ascii="Times New Roman" w:cs="Times New Roman" w:eastAsia="Times New Roman" w:hAnsi="Times New Roman"/>
          <w:sz w:val="17"/>
          <w:szCs w:val="17"/>
          <w:color w:val="auto"/>
        </w:rPr>
      </w:pPr>
    </w:p>
    <w:p>
      <w:pPr>
        <w:ind w:left="-120" w:firstLine="1023"/>
        <w:spacing w:after="0" w:line="223" w:lineRule="auto"/>
        <w:tabs>
          <w:tab w:leader="none" w:pos="1281"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 No Third-Party Beneficiaries</w:t>
      </w:r>
      <w:r>
        <w:rPr>
          <w:rFonts w:ascii="Times New Roman" w:cs="Times New Roman" w:eastAsia="Times New Roman" w:hAnsi="Times New Roman"/>
          <w:sz w:val="17"/>
          <w:szCs w:val="17"/>
          <w:color w:val="auto"/>
        </w:rPr>
        <w:t>. This Agreement shall inure to the benefit of and be binding upon the Company and Grantee and their respective heirs, successors, legal representatives and permitted assigns. Nothing in this Agreement, express or implied, is intended to confer on any Person other than the Company and Grantee, and their respective heirs, successors, legal representatives and permitted assigns, any rights, remedies, obligations or liabilities under or by reason of this Agreement.</w:t>
      </w:r>
    </w:p>
    <w:p>
      <w:pPr>
        <w:spacing w:after="0" w:line="122" w:lineRule="exact"/>
        <w:rPr>
          <w:rFonts w:ascii="Times New Roman" w:cs="Times New Roman" w:eastAsia="Times New Roman" w:hAnsi="Times New Roman"/>
          <w:sz w:val="17"/>
          <w:szCs w:val="17"/>
          <w:color w:val="auto"/>
        </w:rPr>
      </w:pPr>
    </w:p>
    <w:p>
      <w:pPr>
        <w:jc w:val="both"/>
        <w:ind w:left="-120" w:right="20" w:firstLine="1023"/>
        <w:spacing w:after="0" w:line="244" w:lineRule="auto"/>
        <w:tabs>
          <w:tab w:leader="none" w:pos="1281"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Imposition of other Requirements and Grantee Undertaking</w:t>
      </w:r>
      <w:r>
        <w:rPr>
          <w:rFonts w:ascii="Times New Roman" w:cs="Times New Roman" w:eastAsia="Times New Roman" w:hAnsi="Times New Roman"/>
          <w:sz w:val="16"/>
          <w:szCs w:val="16"/>
          <w:color w:val="auto"/>
        </w:rPr>
        <w:t>. The Company reserves the right to impose other requirements on Grantee’s participation in the Plan, on the Award and on any Shares to be issued upon settlement of the Award, to the extent the Company determines it is necessary or advisable for legal or administrative reasons. Grantee agrees to take whatever additional action and execute whatever additional documents the Company may deem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060"/>
          </w:cols>
          <w:pgMar w:left="420" w:top="1127" w:right="419" w:bottom="1440" w:gutter="0" w:footer="0" w:header="0"/>
        </w:sectPr>
      </w:pPr>
    </w:p>
    <w:bookmarkStart w:id="206" w:name="page207"/>
    <w:bookmarkEnd w:id="206"/>
    <w:p>
      <w:pPr>
        <w:ind w:right="40"/>
        <w:spacing w:after="0" w:line="238" w:lineRule="auto"/>
        <w:rPr>
          <w:sz w:val="20"/>
          <w:szCs w:val="20"/>
          <w:color w:val="auto"/>
        </w:rPr>
      </w:pPr>
      <w:r>
        <w:rPr>
          <w:rFonts w:ascii="Times New Roman" w:cs="Times New Roman" w:eastAsia="Times New Roman" w:hAnsi="Times New Roman"/>
          <w:sz w:val="17"/>
          <w:szCs w:val="17"/>
          <w:color w:val="auto"/>
        </w:rPr>
        <w:t>necessary or advisable to accomplish the foregoing or to carry out or give effect to any of the obligations or restrictions imposed on either Grantee or the Award pursuant to this Agreement.</w:t>
      </w:r>
    </w:p>
    <w:p>
      <w:pPr>
        <w:spacing w:after="0" w:line="122" w:lineRule="exact"/>
        <w:rPr>
          <w:sz w:val="20"/>
          <w:szCs w:val="20"/>
          <w:color w:val="auto"/>
        </w:rPr>
      </w:pPr>
    </w:p>
    <w:p>
      <w:pPr>
        <w:ind w:firstLine="1023"/>
        <w:spacing w:after="0" w:line="238" w:lineRule="auto"/>
        <w:tabs>
          <w:tab w:leader="none" w:pos="1401"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References</w:t>
      </w:r>
      <w:r>
        <w:rPr>
          <w:rFonts w:ascii="Times New Roman" w:cs="Times New Roman" w:eastAsia="Times New Roman" w:hAnsi="Times New Roman"/>
          <w:sz w:val="17"/>
          <w:szCs w:val="17"/>
          <w:color w:val="auto"/>
        </w:rPr>
        <w:t>. References herein to rights and obligations of Grantee shall apply, where appropriate, to Grantee’s legal representative or estate without regard to whether specific reference to such legal representative or estate is contained in a particular provision of this Agreement.</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WITNESS WHEREOF, the Company has granted this Award on the Date of Grant.</w:t>
      </w:r>
    </w:p>
    <w:p>
      <w:pPr>
        <w:spacing w:after="0" w:line="200" w:lineRule="exact"/>
        <w:rPr>
          <w:sz w:val="20"/>
          <w:szCs w:val="20"/>
          <w:color w:val="auto"/>
        </w:rPr>
      </w:pP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COMCAST CORPORATION</w:t>
      </w: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Name: [ ]</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Title: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900"/>
          </w:cols>
          <w:pgMar w:left="300" w:top="1127" w:right="699"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LONG-TERM INCENTIVE AWARDS SUMMARY SCHEDULE</w:t>
      </w:r>
    </w:p>
    <w:p>
      <w:pPr>
        <w:spacing w:after="0" w:line="148"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color w:val="auto"/>
        </w:rPr>
        <w:t xml:space="preserve">This Long-Term Incentive Awards Summary Schedule (this “Schedule”) provides certain information related to the Restricted Stock Units you were granted by Comcast Corporation on the Date of Grant (as described below). </w:t>
      </w:r>
      <w:r>
        <w:rPr>
          <w:rFonts w:ascii="Times New Roman" w:cs="Times New Roman" w:eastAsia="Times New Roman" w:hAnsi="Times New Roman"/>
          <w:sz w:val="17"/>
          <w:szCs w:val="17"/>
          <w:b w:val="1"/>
          <w:bCs w:val="1"/>
          <w:color w:val="auto"/>
        </w:rPr>
        <w:t>This Schedule is intended to be, and shall at all times be interpreted as, a part of your Comcast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Corporation Restricted Stock Unit Award document.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 Award</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4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Grantee:</w:t>
            </w:r>
          </w:p>
        </w:tc>
        <w:tc>
          <w:tcPr>
            <w:tcW w:w="73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Date of Grant:</w:t>
            </w:r>
          </w:p>
        </w:tc>
        <w:tc>
          <w:tcPr>
            <w:tcW w:w="7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Common Stock:</w:t>
            </w:r>
          </w:p>
        </w:tc>
        <w:tc>
          <w:tcPr>
            <w:tcW w:w="7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Comcast Corporation Class A Common Stock</w:t>
            </w: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Service Vesting Dates of Restricted Stock Units:</w:t>
            </w:r>
          </w:p>
        </w:tc>
        <w:tc>
          <w:tcPr>
            <w:tcW w:w="73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82"/>
        </w:trPr>
        <w:tc>
          <w:tcPr>
            <w:tcW w:w="3420" w:type="dxa"/>
            <w:vAlign w:val="bottom"/>
            <w:tcBorders>
              <w:left w:val="single" w:sz="8" w:color="auto"/>
              <w:right w:val="single" w:sz="8" w:color="auto"/>
            </w:tcBorders>
          </w:tcPr>
          <w:p>
            <w:pPr>
              <w:spacing w:after="0"/>
              <w:rPr>
                <w:sz w:val="15"/>
                <w:szCs w:val="15"/>
                <w:color w:val="auto"/>
              </w:rPr>
            </w:pPr>
          </w:p>
        </w:tc>
        <w:tc>
          <w:tcPr>
            <w:tcW w:w="730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Except as otherwise provided in Paragraph 4 of the Restricted Stock Unit Award Agreement, Grantee</w:t>
            </w:r>
          </w:p>
        </w:tc>
        <w:tc>
          <w:tcPr>
            <w:tcW w:w="0" w:type="dxa"/>
            <w:vAlign w:val="bottom"/>
          </w:tcPr>
          <w:p>
            <w:pPr>
              <w:spacing w:after="0"/>
              <w:rPr>
                <w:sz w:val="1"/>
                <w:szCs w:val="1"/>
                <w:color w:val="auto"/>
              </w:rPr>
            </w:pPr>
          </w:p>
        </w:tc>
      </w:tr>
      <w:tr>
        <w:trPr>
          <w:trHeight w:val="170"/>
        </w:trPr>
        <w:tc>
          <w:tcPr>
            <w:tcW w:w="342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Service Condition:</w:t>
            </w:r>
          </w:p>
        </w:tc>
        <w:tc>
          <w:tcPr>
            <w:tcW w:w="7300" w:type="dxa"/>
            <w:vAlign w:val="bottom"/>
            <w:tcBorders>
              <w:right w:val="single" w:sz="8" w:color="auto"/>
            </w:tcBorders>
          </w:tcPr>
          <w:p>
            <w:pPr>
              <w:ind w:left="40"/>
              <w:spacing w:after="0" w:line="171" w:lineRule="exact"/>
              <w:rPr>
                <w:sz w:val="20"/>
                <w:szCs w:val="20"/>
                <w:color w:val="auto"/>
              </w:rPr>
            </w:pPr>
            <w:r>
              <w:rPr>
                <w:rFonts w:ascii="Times New Roman" w:cs="Times New Roman" w:eastAsia="Times New Roman" w:hAnsi="Times New Roman"/>
                <w:sz w:val="17"/>
                <w:szCs w:val="17"/>
                <w:color w:val="auto"/>
              </w:rPr>
              <w:t>will satisfy the “</w:t>
            </w:r>
            <w:r>
              <w:rPr>
                <w:rFonts w:ascii="Times New Roman" w:cs="Times New Roman" w:eastAsia="Times New Roman" w:hAnsi="Times New Roman"/>
                <w:sz w:val="17"/>
                <w:szCs w:val="17"/>
                <w:b w:val="1"/>
                <w:bCs w:val="1"/>
                <w:color w:val="auto"/>
              </w:rPr>
              <w:t>Service Condition</w:t>
            </w:r>
            <w:r>
              <w:rPr>
                <w:rFonts w:ascii="Times New Roman" w:cs="Times New Roman" w:eastAsia="Times New Roman" w:hAnsi="Times New Roman"/>
                <w:sz w:val="17"/>
                <w:szCs w:val="17"/>
                <w:color w:val="auto"/>
              </w:rPr>
              <w:t>” applicable to the Restricted Stock Units on the Service Vesting</w:t>
            </w:r>
          </w:p>
        </w:tc>
        <w:tc>
          <w:tcPr>
            <w:tcW w:w="0" w:type="dxa"/>
            <w:vAlign w:val="bottom"/>
          </w:tcPr>
          <w:p>
            <w:pPr>
              <w:spacing w:after="0"/>
              <w:rPr>
                <w:sz w:val="1"/>
                <w:szCs w:val="1"/>
                <w:color w:val="auto"/>
              </w:rPr>
            </w:pPr>
          </w:p>
        </w:tc>
      </w:tr>
      <w:tr>
        <w:trPr>
          <w:trHeight w:val="124"/>
        </w:trPr>
        <w:tc>
          <w:tcPr>
            <w:tcW w:w="3420" w:type="dxa"/>
            <w:vAlign w:val="bottom"/>
            <w:tcBorders>
              <w:left w:val="single" w:sz="8" w:color="auto"/>
              <w:right w:val="single" w:sz="8" w:color="auto"/>
            </w:tcBorders>
            <w:vMerge w:val="continue"/>
          </w:tcPr>
          <w:p>
            <w:pPr>
              <w:spacing w:after="0"/>
              <w:rPr>
                <w:sz w:val="10"/>
                <w:szCs w:val="10"/>
                <w:color w:val="auto"/>
              </w:rPr>
            </w:pPr>
          </w:p>
        </w:tc>
        <w:tc>
          <w:tcPr>
            <w:tcW w:w="7300" w:type="dxa"/>
            <w:vAlign w:val="bottom"/>
            <w:tcBorders>
              <w:right w:val="single" w:sz="8" w:color="auto"/>
            </w:tcBorders>
            <w:vMerge w:val="restart"/>
          </w:tcPr>
          <w:p>
            <w:pPr>
              <w:ind w:left="40"/>
              <w:spacing w:after="0" w:line="170" w:lineRule="exact"/>
              <w:rPr>
                <w:sz w:val="20"/>
                <w:szCs w:val="20"/>
                <w:color w:val="auto"/>
              </w:rPr>
            </w:pPr>
            <w:r>
              <w:rPr>
                <w:rFonts w:ascii="Times New Roman" w:cs="Times New Roman" w:eastAsia="Times New Roman" w:hAnsi="Times New Roman"/>
                <w:sz w:val="17"/>
                <w:szCs w:val="17"/>
                <w:color w:val="auto"/>
              </w:rPr>
              <w:t>Dates as set forth above, subject to Grantee’s continued employment through the applicable Service</w:t>
            </w:r>
          </w:p>
        </w:tc>
        <w:tc>
          <w:tcPr>
            <w:tcW w:w="0" w:type="dxa"/>
            <w:vAlign w:val="bottom"/>
          </w:tcPr>
          <w:p>
            <w:pPr>
              <w:spacing w:after="0"/>
              <w:rPr>
                <w:sz w:val="1"/>
                <w:szCs w:val="1"/>
                <w:color w:val="auto"/>
              </w:rPr>
            </w:pPr>
          </w:p>
        </w:tc>
      </w:tr>
      <w:tr>
        <w:trPr>
          <w:trHeight w:val="46"/>
        </w:trPr>
        <w:tc>
          <w:tcPr>
            <w:tcW w:w="3420" w:type="dxa"/>
            <w:vAlign w:val="bottom"/>
            <w:tcBorders>
              <w:left w:val="single" w:sz="8" w:color="auto"/>
              <w:right w:val="single" w:sz="8" w:color="auto"/>
            </w:tcBorders>
          </w:tcPr>
          <w:p>
            <w:pPr>
              <w:spacing w:after="0"/>
              <w:rPr>
                <w:sz w:val="3"/>
                <w:szCs w:val="3"/>
                <w:color w:val="auto"/>
              </w:rPr>
            </w:pPr>
          </w:p>
        </w:tc>
        <w:tc>
          <w:tcPr>
            <w:tcW w:w="730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3420" w:type="dxa"/>
            <w:vAlign w:val="bottom"/>
            <w:tcBorders>
              <w:left w:val="single" w:sz="8" w:color="auto"/>
              <w:right w:val="single" w:sz="8" w:color="auto"/>
            </w:tcBorders>
          </w:tcPr>
          <w:p>
            <w:pPr>
              <w:spacing w:after="0"/>
              <w:rPr>
                <w:sz w:val="19"/>
                <w:szCs w:val="19"/>
                <w:color w:val="auto"/>
              </w:rPr>
            </w:pPr>
          </w:p>
        </w:tc>
        <w:tc>
          <w:tcPr>
            <w:tcW w:w="73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Vesting Date.</w:t>
            </w:r>
          </w:p>
        </w:tc>
        <w:tc>
          <w:tcPr>
            <w:tcW w:w="0" w:type="dxa"/>
            <w:vAlign w:val="bottom"/>
          </w:tcPr>
          <w:p>
            <w:pPr>
              <w:spacing w:after="0"/>
              <w:rPr>
                <w:sz w:val="1"/>
                <w:szCs w:val="1"/>
                <w:color w:val="auto"/>
              </w:rPr>
            </w:pPr>
          </w:p>
        </w:tc>
      </w:tr>
      <w:tr>
        <w:trPr>
          <w:trHeight w:val="24"/>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123" w:right="31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6"/>
          <w:szCs w:val="16"/>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FIRST AMENDMENT TO FOURTH AMENDED AND RESTATED SHAREHOLDERS AGREEMENT OF THE ATAIROS GROUP, INC.</w:t>
      </w:r>
    </w:p>
    <w:p>
      <w:pPr>
        <w:spacing w:after="0" w:line="165" w:lineRule="exact"/>
        <w:rPr>
          <w:sz w:val="20"/>
          <w:szCs w:val="20"/>
          <w:color w:val="auto"/>
        </w:rPr>
      </w:pPr>
    </w:p>
    <w:p>
      <w:pPr>
        <w:ind w:right="180" w:firstLine="509"/>
        <w:spacing w:after="0" w:line="220" w:lineRule="auto"/>
        <w:rPr>
          <w:sz w:val="20"/>
          <w:szCs w:val="20"/>
          <w:color w:val="auto"/>
        </w:rPr>
      </w:pPr>
      <w:r>
        <w:rPr>
          <w:rFonts w:ascii="Times New Roman" w:cs="Times New Roman" w:eastAsia="Times New Roman" w:hAnsi="Times New Roman"/>
          <w:sz w:val="17"/>
          <w:szCs w:val="17"/>
          <w:color w:val="auto"/>
        </w:rPr>
        <w:t>This First Amendment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to the Fourth Amended and Restated Shareholders Agreement of Atairos Group, Inc. dated as of April 15, 2022 with effect from December 15, 2021 (the “</w:t>
      </w:r>
      <w:r>
        <w:rPr>
          <w:rFonts w:ascii="Times New Roman" w:cs="Times New Roman" w:eastAsia="Times New Roman" w:hAnsi="Times New Roman"/>
          <w:sz w:val="17"/>
          <w:szCs w:val="17"/>
          <w:u w:val="single" w:color="auto"/>
          <w:color w:val="auto"/>
        </w:rPr>
        <w:t>Shareholders Agreement</w:t>
      </w:r>
      <w:r>
        <w:rPr>
          <w:rFonts w:ascii="Times New Roman" w:cs="Times New Roman" w:eastAsia="Times New Roman" w:hAnsi="Times New Roman"/>
          <w:sz w:val="17"/>
          <w:szCs w:val="17"/>
          <w:color w:val="auto"/>
        </w:rPr>
        <w:t>”) is dated June 2, 2023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and entered into among Atairos Group, Inc., a Cayman Islands exempted company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Comcast AG Holdings, LLC, a Delaware limited liability company (“</w:t>
      </w:r>
      <w:r>
        <w:rPr>
          <w:rFonts w:ascii="Times New Roman" w:cs="Times New Roman" w:eastAsia="Times New Roman" w:hAnsi="Times New Roman"/>
          <w:sz w:val="17"/>
          <w:szCs w:val="17"/>
          <w:u w:val="single" w:color="auto"/>
          <w:color w:val="auto"/>
        </w:rPr>
        <w:t>Comcast Shareholder</w:t>
      </w:r>
      <w:r>
        <w:rPr>
          <w:rFonts w:ascii="Times New Roman" w:cs="Times New Roman" w:eastAsia="Times New Roman" w:hAnsi="Times New Roman"/>
          <w:sz w:val="17"/>
          <w:szCs w:val="17"/>
          <w:color w:val="auto"/>
        </w:rPr>
        <w:t>”); Atairos Partners, L.P., a Cayman Islands exempted limited partnership (“</w:t>
      </w:r>
      <w:r>
        <w:rPr>
          <w:rFonts w:ascii="Times New Roman" w:cs="Times New Roman" w:eastAsia="Times New Roman" w:hAnsi="Times New Roman"/>
          <w:sz w:val="17"/>
          <w:szCs w:val="17"/>
          <w:u w:val="single" w:color="auto"/>
          <w:color w:val="auto"/>
        </w:rPr>
        <w:t>ManagementCo Shareholder</w:t>
      </w:r>
      <w:r>
        <w:rPr>
          <w:rFonts w:ascii="Times New Roman" w:cs="Times New Roman" w:eastAsia="Times New Roman" w:hAnsi="Times New Roman"/>
          <w:sz w:val="17"/>
          <w:szCs w:val="17"/>
          <w:color w:val="auto"/>
        </w:rPr>
        <w:t>”); and Atairos Management, L.P., a Delaware limited partnership. Capitalized terms used but not defined herein are used with the definitions set forth in the Shareholders Agreement.</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parties hereto agree as follows:</w:t>
      </w:r>
    </w:p>
    <w:p>
      <w:pPr>
        <w:spacing w:after="0" w:line="165" w:lineRule="exact"/>
        <w:rPr>
          <w:sz w:val="20"/>
          <w:szCs w:val="20"/>
          <w:color w:val="auto"/>
        </w:rPr>
      </w:pPr>
    </w:p>
    <w:p>
      <w:pPr>
        <w:ind w:left="260" w:hanging="255"/>
        <w:spacing w:after="0" w:line="238" w:lineRule="auto"/>
        <w:tabs>
          <w:tab w:leader="none" w:pos="302"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to Shareholders Agreement</w:t>
      </w:r>
      <w:r>
        <w:rPr>
          <w:rFonts w:ascii="Times New Roman" w:cs="Times New Roman" w:eastAsia="Times New Roman" w:hAnsi="Times New Roman"/>
          <w:sz w:val="17"/>
          <w:szCs w:val="17"/>
          <w:color w:val="auto"/>
        </w:rPr>
        <w:t>. The Shareholders Agreement is hereby amended pursuant to Section 12.03(a) thereof so that a new Section 6.02(f) shall be added to Section 6.02 thereof as follows:</w:t>
      </w:r>
    </w:p>
    <w:p>
      <w:pPr>
        <w:spacing w:after="0" w:line="143" w:lineRule="exact"/>
        <w:rPr>
          <w:sz w:val="20"/>
          <w:szCs w:val="20"/>
          <w:color w:val="auto"/>
        </w:rPr>
      </w:pPr>
    </w:p>
    <w:p>
      <w:pPr>
        <w:ind w:left="520" w:right="40"/>
        <w:spacing w:after="0" w:line="216" w:lineRule="auto"/>
        <w:rPr>
          <w:sz w:val="20"/>
          <w:szCs w:val="20"/>
          <w:color w:val="auto"/>
        </w:rPr>
      </w:pPr>
      <w:r>
        <w:rPr>
          <w:rFonts w:ascii="Times New Roman" w:cs="Times New Roman" w:eastAsia="Times New Roman" w:hAnsi="Times New Roman"/>
          <w:sz w:val="17"/>
          <w:szCs w:val="17"/>
          <w:color w:val="auto"/>
        </w:rPr>
        <w:t>“(f) Notwithstanding anything else in this Agreement, at all times the proportion that the aggregate Capital Contributions made by ManagementCo Shareholder represent as a share of the Capital Commitment of ManagementCo Shareholder shall be the same as the proportion that the aggregate Capital Contributions of Comcast Shareholder (excluding any Capital Contributions made by the Comcast Shareholder to fund the Management Fee) represent as a share of the Capital Commitment of the Comcast Shareholder. For purposes of giving effect to this Section 6.02(f), the Board of the Company may require additional Capital Contributions from any Shareholder (without requiring Capital Contributions from any other Shareholder) and otherwise make adjustments in a manner similar to the adjustments made pursuant to the First Amendment to this Agreement dated as of June 2, 2023, provided that the Board of the Company shall notify and consult with Comcast Shareholder before taking any such action or making any such adjustment in accordance with this Section 6.02(f). For the avoidance of doubt, no Shareholder’s Capital Commitment shall be increased without such Shareholder’s prior written consent.”</w:t>
      </w:r>
    </w:p>
    <w:p>
      <w:pPr>
        <w:spacing w:after="0" w:line="142" w:lineRule="exact"/>
        <w:rPr>
          <w:sz w:val="20"/>
          <w:szCs w:val="20"/>
          <w:color w:val="auto"/>
        </w:rPr>
      </w:pPr>
    </w:p>
    <w:p>
      <w:pPr>
        <w:ind w:left="260" w:right="40" w:hanging="255"/>
        <w:spacing w:after="0" w:line="213" w:lineRule="auto"/>
        <w:tabs>
          <w:tab w:leader="none" w:pos="302"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One-Time Capital Contribution True-Up</w:t>
      </w:r>
      <w:r>
        <w:rPr>
          <w:rFonts w:ascii="Times New Roman" w:cs="Times New Roman" w:eastAsia="Times New Roman" w:hAnsi="Times New Roman"/>
          <w:sz w:val="17"/>
          <w:szCs w:val="17"/>
          <w:color w:val="auto"/>
        </w:rPr>
        <w:t>. On or immediately following the Effective Date of this Amendment, ManagementCo Shareholder shall make a Capital Contribution of $895,667 to the Company (the “</w:t>
      </w:r>
      <w:r>
        <w:rPr>
          <w:rFonts w:ascii="Times New Roman" w:cs="Times New Roman" w:eastAsia="Times New Roman" w:hAnsi="Times New Roman"/>
          <w:sz w:val="17"/>
          <w:szCs w:val="17"/>
          <w:u w:val="single" w:color="auto"/>
          <w:color w:val="auto"/>
        </w:rPr>
        <w:t>Capital Contribution True-Up Amount</w:t>
      </w:r>
      <w:r>
        <w:rPr>
          <w:rFonts w:ascii="Times New Roman" w:cs="Times New Roman" w:eastAsia="Times New Roman" w:hAnsi="Times New Roman"/>
          <w:sz w:val="17"/>
          <w:szCs w:val="17"/>
          <w:color w:val="auto"/>
        </w:rPr>
        <w:t>”) and the Company shall, upon receipt of such amount, pay such amount to Comcast Shareholder. Immediately following such adjustment pursuant to the first sentence of this Section 2, for all purposes of the Shareholders Agreement, as of the Effective Date, the aggregate Capital Contributions of ManagementCo Shareholder shall be deemed to be $41,587,428, the Available Capital Commitment of ManagementCo Shareholder shall be deemed to be $28,287,572, the aggregate Capital Contributions of Comcast Shareholder shall be deemed to be $2,678,260,151 and the Available Capital Commitment of Comcast Shareholder shall be deemed to be $1,821,739,849. The purpose of this adjustment is to conform the amount of the Capital Contributions of each of ManagementCo Shareholder and Comcast Shareholder to the equal proportionality requirement of Section 6.02(f) of the Shareholders Agreement (as added to the Shareholders Agreement by this Amendment). The Board of the Company is hereby authorized to allocate the Capital Contributions of ManagementCo Shareholder attributable to the Capital Contribution True-Up Amount to Company Expenses and each of then existing Investment(s) in such amount as is necessary so that the portion that the aggregate Capital Contributions made by ManagementCo Shareholder with respect to such Company Expenses and each such Investment after taking into account such allocation</w:t>
      </w:r>
    </w:p>
    <w:p>
      <w:pPr>
        <w:sectPr>
          <w:pgSz w:w="11900" w:h="16838" w:orient="portrait"/>
          <w:cols w:equalWidth="0" w:num="1">
            <w:col w:w="11280"/>
          </w:cols>
          <w:pgMar w:left="300" w:top="108" w:right="319" w:bottom="1440" w:gutter="0" w:footer="0" w:header="0"/>
        </w:sectPr>
      </w:pPr>
    </w:p>
    <w:bookmarkStart w:id="209" w:name="page210"/>
    <w:bookmarkEnd w:id="209"/>
    <w:p>
      <w:pPr>
        <w:ind w:left="255"/>
        <w:spacing w:after="0" w:line="217" w:lineRule="auto"/>
        <w:rPr>
          <w:sz w:val="20"/>
          <w:szCs w:val="20"/>
          <w:color w:val="auto"/>
        </w:rPr>
      </w:pPr>
      <w:r>
        <w:rPr>
          <w:rFonts w:ascii="Times New Roman" w:cs="Times New Roman" w:eastAsia="Times New Roman" w:hAnsi="Times New Roman"/>
          <w:sz w:val="17"/>
          <w:szCs w:val="17"/>
          <w:color w:val="auto"/>
        </w:rPr>
        <w:t>represent as a share of the Capital Commitment of ManagementCo Shareholder shall be the same as the proportion that the aggregate Capital Contributions of Comcast Shareholder (after taking into account the adjustment contemplated herein but excluding any Capital Contributions made by the Comcast Shareholder to fund the Management Fee) represent as a share of the Capital Commitment of the Comcast Shareholder. Notwithstanding anything else in the Shareholders Agreement, for all purposes of the Shareholders Agreement, the Capital Contribution True-Up Amount paid to Comcast Shareholder pursuant to the first sentence shall be considered a return of the applicable Capital Contribution(s) by the Company with respect to the applicable Investment(s) as if such amount had never been contributed to the Company by Comcast Shareholder. The Board of the Company is hereby authorized to make to take such actions, and interpret the Shareholders Agreement in such manner, as it determines to be necessary or desirable to give effect to this Section 2.</w:t>
      </w:r>
    </w:p>
    <w:p>
      <w:pPr>
        <w:spacing w:after="0" w:line="142" w:lineRule="exact"/>
        <w:rPr>
          <w:sz w:val="20"/>
          <w:szCs w:val="20"/>
          <w:color w:val="auto"/>
        </w:rPr>
      </w:pPr>
    </w:p>
    <w:p>
      <w:pPr>
        <w:ind w:left="255" w:right="240" w:hanging="255"/>
        <w:spacing w:after="0" w:line="223" w:lineRule="auto"/>
        <w:tabs>
          <w:tab w:leader="none" w:pos="298"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One-Time Profit Sharing True-Up</w:t>
      </w:r>
      <w:r>
        <w:rPr>
          <w:rFonts w:ascii="Times New Roman" w:cs="Times New Roman" w:eastAsia="Times New Roman" w:hAnsi="Times New Roman"/>
          <w:sz w:val="17"/>
          <w:szCs w:val="17"/>
          <w:color w:val="auto"/>
        </w:rPr>
        <w:t>. On or immediately following the Effective Date of this Amendment, Comcast Shareholder shall return to the Company distributions of $150,783 it has previously received pursuant to Section 8.02 of the Shareholders Agreement (the “</w:t>
      </w:r>
      <w:r>
        <w:rPr>
          <w:rFonts w:ascii="Times New Roman" w:cs="Times New Roman" w:eastAsia="Times New Roman" w:hAnsi="Times New Roman"/>
          <w:sz w:val="17"/>
          <w:szCs w:val="17"/>
          <w:u w:val="single" w:color="auto"/>
          <w:color w:val="auto"/>
        </w:rPr>
        <w:t>Profit Sharing True-Up Amount</w:t>
      </w:r>
      <w:r>
        <w:rPr>
          <w:rFonts w:ascii="Times New Roman" w:cs="Times New Roman" w:eastAsia="Times New Roman" w:hAnsi="Times New Roman"/>
          <w:sz w:val="17"/>
          <w:szCs w:val="17"/>
          <w:color w:val="auto"/>
        </w:rPr>
        <w:t>”) and the Company shall, upon receipt of such amount, pay such amount to ManagementCo Shareholder. Allocations of income and gains shall be adjusted to reflect the profit sharing true-up contemplated by this Section 3 hereof.</w:t>
      </w:r>
    </w:p>
    <w:p>
      <w:pPr>
        <w:spacing w:after="0" w:line="143" w:lineRule="exact"/>
        <w:rPr>
          <w:rFonts w:ascii="Times New Roman" w:cs="Times New Roman" w:eastAsia="Times New Roman" w:hAnsi="Times New Roman"/>
          <w:sz w:val="17"/>
          <w:szCs w:val="17"/>
          <w:color w:val="auto"/>
        </w:rPr>
      </w:pPr>
    </w:p>
    <w:p>
      <w:pPr>
        <w:ind w:left="255" w:right="80" w:hanging="255"/>
        <w:spacing w:after="0" w:line="216" w:lineRule="auto"/>
        <w:tabs>
          <w:tab w:leader="none" w:pos="298"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Offset</w:t>
      </w:r>
      <w:r>
        <w:rPr>
          <w:rFonts w:ascii="Times New Roman" w:cs="Times New Roman" w:eastAsia="Times New Roman" w:hAnsi="Times New Roman"/>
          <w:sz w:val="17"/>
          <w:szCs w:val="17"/>
          <w:color w:val="auto"/>
        </w:rPr>
        <w:t>. Notwithstanding Sections 2 and 3 hereof, the Company may in its sole discretion decide to, in lieu of requiring ManagementCo Shareholder to pay the Capital Contribution True-Up Amount under Section 2 hereof or requiring Comcast Shareholder to pay the Profit Sharing True-Up Amount under Section 3 hereof respectively, withhold such amount of distributable proceeds attributable to such Shareholder equal to such Shareholder’s payment amount pursuant to Section 2 or 3 hereof respectively, and distribute such withheld amount to the applicable Shareholder pursuant to Section 2 or 3 hereof respectively (it being understood and agreed that any such amount of distributable proceeds attributable to a Shareholder withheld and applied for the payment pursuant to this Section 4, if any, shall be deemed to have been distributed to such Shareholder for all purposes of Section 8.02 of the Shareholders Agreement), and for all purposes of this Amendment, such withholdings and payments contemplated in this Section 4 shall satisfy all of the terms and conditions, and effectuate all of the intent and purposes, in each case, as are contemplated under Sections 2 and 3 hereof.</w:t>
      </w:r>
    </w:p>
    <w:p>
      <w:pPr>
        <w:spacing w:after="0" w:line="141" w:lineRule="exact"/>
        <w:rPr>
          <w:rFonts w:ascii="Times New Roman" w:cs="Times New Roman" w:eastAsia="Times New Roman" w:hAnsi="Times New Roman"/>
          <w:sz w:val="17"/>
          <w:szCs w:val="17"/>
          <w:color w:val="auto"/>
        </w:rPr>
      </w:pPr>
    </w:p>
    <w:p>
      <w:pPr>
        <w:ind w:left="255" w:right="220" w:hanging="255"/>
        <w:spacing w:after="0" w:line="238" w:lineRule="auto"/>
        <w:tabs>
          <w:tab w:leader="none" w:pos="298"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Amendment and all claims arising under or in connection therewith, shall be governed by, and construed in accordance with, the laws of the State of New York, without regard to the conflict of laws rules of such state.</w:t>
      </w:r>
    </w:p>
    <w:p>
      <w:pPr>
        <w:spacing w:after="0" w:line="142" w:lineRule="exact"/>
        <w:rPr>
          <w:rFonts w:ascii="Times New Roman" w:cs="Times New Roman" w:eastAsia="Times New Roman" w:hAnsi="Times New Roman"/>
          <w:sz w:val="17"/>
          <w:szCs w:val="17"/>
          <w:color w:val="auto"/>
        </w:rPr>
      </w:pPr>
    </w:p>
    <w:p>
      <w:pPr>
        <w:ind w:left="255" w:right="60" w:hanging="255"/>
        <w:spacing w:after="0" w:line="223" w:lineRule="auto"/>
        <w:tabs>
          <w:tab w:leader="none" w:pos="298"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Except as provided herein, all terms and conditions of the Shareholders Agreement remain in full force and effect. In connection with any controversy or claim arising out of or relating to this Amendment: (x) the liability of each party; (y) the manner of dispute resolution; and (z) the apportionment of all costs and expenses (including attorneys fees) shall, in each instance, be determined in the same manner as if such controversy or claim had arisen under the Shareholders Agreement, as amended hereby.</w:t>
      </w:r>
    </w:p>
    <w:p>
      <w:pPr>
        <w:spacing w:after="0" w:line="277" w:lineRule="exact"/>
        <w:rPr>
          <w:sz w:val="20"/>
          <w:szCs w:val="20"/>
          <w:color w:val="auto"/>
        </w:rPr>
      </w:pPr>
    </w:p>
    <w:p>
      <w:pPr>
        <w:ind w:left="203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is intentionally blank.</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75"/>
          </w:cols>
          <w:pgMar w:left="305" w:top="1126" w:right="3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color w:val="auto"/>
        </w:rPr>
        <w:t>IN WITNESS WHEREOF, each of the undersigned has caused this Amendment to be executed and delivered as of the date first above written.</w:t>
      </w:r>
    </w:p>
    <w:p>
      <w:pPr>
        <w:sectPr>
          <w:pgSz w:w="11900" w:h="16838" w:orient="portrait"/>
          <w:cols w:equalWidth="0" w:num="1">
            <w:col w:w="10159"/>
          </w:cols>
          <w:pgMar w:left="300" w:top="1127" w:right="1440" w:bottom="1440" w:gutter="0" w:footer="0" w:header="0"/>
        </w:sectPr>
      </w:pPr>
    </w:p>
    <w:p>
      <w:pPr>
        <w:spacing w:after="0" w:line="3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COMPANY:</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ATAIROS GROUP, INC.</w:t>
      </w:r>
    </w:p>
    <w:p>
      <w:pPr>
        <w:spacing w:after="0" w:line="34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By: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-4445</wp:posOffset>
            </wp:positionV>
            <wp:extent cx="116776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1">
                      <a:extLst>
                        <a:ext uri="{28A0092B-C50C-407E-A947-70E740481C1C}"/>
                      </a:extLst>
                    </a:blip>
                    <a:srcRect/>
                    <a:stretch>
                      <a:fillRect/>
                    </a:stretch>
                  </pic:blipFill>
                  <pic:spPr bwMode="auto">
                    <a:xfrm>
                      <a:off x="0" y="0"/>
                      <a:ext cx="1167765" cy="6985"/>
                    </a:xfrm>
                    <a:prstGeom prst="rect">
                      <a:avLst/>
                    </a:prstGeom>
                    <a:noFill/>
                  </pic:spPr>
                </pic:pic>
              </a:graphicData>
            </a:graphic>
          </wp:anchor>
        </w:drawing>
      </w:r>
    </w:p>
    <w:p>
      <w:pPr>
        <w:ind w:left="1060"/>
        <w:spacing w:after="0" w:line="208" w:lineRule="auto"/>
        <w:rPr>
          <w:sz w:val="20"/>
          <w:szCs w:val="20"/>
          <w:color w:val="auto"/>
        </w:rPr>
      </w:pPr>
      <w:r>
        <w:rPr>
          <w:rFonts w:ascii="Times New Roman" w:cs="Times New Roman" w:eastAsia="Times New Roman" w:hAnsi="Times New Roman"/>
          <w:sz w:val="17"/>
          <w:szCs w:val="17"/>
          <w:color w:val="auto"/>
        </w:rPr>
        <w:t>Name: David L. Caplan</w:t>
      </w:r>
    </w:p>
    <w:p>
      <w:pPr>
        <w:ind w:left="106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3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MANAGER:</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ATAIROS MANAGEMENT, L.P.</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By: Atairos Family GP, LLC, its general</w:t>
      </w:r>
    </w:p>
    <w:p>
      <w:pPr>
        <w:ind w:left="1020"/>
        <w:spacing w:after="0"/>
        <w:rPr>
          <w:sz w:val="20"/>
          <w:szCs w:val="20"/>
          <w:color w:val="auto"/>
        </w:rPr>
      </w:pPr>
      <w:r>
        <w:rPr>
          <w:rFonts w:ascii="Times New Roman" w:cs="Times New Roman" w:eastAsia="Times New Roman" w:hAnsi="Times New Roman"/>
          <w:sz w:val="17"/>
          <w:szCs w:val="17"/>
          <w:color w:val="auto"/>
        </w:rPr>
        <w:t>partner</w:t>
      </w:r>
    </w:p>
    <w:p>
      <w:pPr>
        <w:spacing w:after="0" w:line="3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By: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-4445</wp:posOffset>
            </wp:positionV>
            <wp:extent cx="116776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2">
                      <a:extLst>
                        <a:ext uri="{28A0092B-C50C-407E-A947-70E740481C1C}"/>
                      </a:extLst>
                    </a:blip>
                    <a:srcRect/>
                    <a:stretch>
                      <a:fillRect/>
                    </a:stretch>
                  </pic:blipFill>
                  <pic:spPr bwMode="auto">
                    <a:xfrm>
                      <a:off x="0" y="0"/>
                      <a:ext cx="1167765" cy="6985"/>
                    </a:xfrm>
                    <a:prstGeom prst="rect">
                      <a:avLst/>
                    </a:prstGeom>
                    <a:noFill/>
                  </pic:spPr>
                </pic:pic>
              </a:graphicData>
            </a:graphic>
          </wp:anchor>
        </w:drawing>
      </w:r>
    </w:p>
    <w:p>
      <w:pPr>
        <w:ind w:left="1060"/>
        <w:spacing w:after="0" w:line="208" w:lineRule="auto"/>
        <w:rPr>
          <w:sz w:val="20"/>
          <w:szCs w:val="20"/>
          <w:color w:val="auto"/>
        </w:rPr>
      </w:pPr>
      <w:r>
        <w:rPr>
          <w:rFonts w:ascii="Times New Roman" w:cs="Times New Roman" w:eastAsia="Times New Roman" w:hAnsi="Times New Roman"/>
          <w:sz w:val="17"/>
          <w:szCs w:val="17"/>
          <w:color w:val="auto"/>
        </w:rPr>
        <w:t>Name: David L. Caplan</w:t>
      </w:r>
    </w:p>
    <w:p>
      <w:pPr>
        <w:ind w:left="106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3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SHAREHOLDERS:</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COMCAST AG HOLDINGS, LLC</w:t>
      </w:r>
    </w:p>
    <w:p>
      <w:pPr>
        <w:spacing w:after="0" w:line="34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By: /s/ Marc A. Rockford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-4445</wp:posOffset>
            </wp:positionV>
            <wp:extent cx="124523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3">
                      <a:extLst>
                        <a:ext uri="{28A0092B-C50C-407E-A947-70E740481C1C}"/>
                      </a:extLst>
                    </a:blip>
                    <a:srcRect/>
                    <a:stretch>
                      <a:fillRect/>
                    </a:stretch>
                  </pic:blipFill>
                  <pic:spPr bwMode="auto">
                    <a:xfrm>
                      <a:off x="0" y="0"/>
                      <a:ext cx="1245235" cy="6985"/>
                    </a:xfrm>
                    <a:prstGeom prst="rect">
                      <a:avLst/>
                    </a:prstGeom>
                    <a:noFill/>
                  </pic:spPr>
                </pic:pic>
              </a:graphicData>
            </a:graphic>
          </wp:anchor>
        </w:drawing>
      </w:r>
    </w:p>
    <w:p>
      <w:pPr>
        <w:ind w:left="1060"/>
        <w:spacing w:after="0" w:line="208" w:lineRule="auto"/>
        <w:rPr>
          <w:sz w:val="20"/>
          <w:szCs w:val="20"/>
          <w:color w:val="auto"/>
        </w:rPr>
      </w:pPr>
      <w:r>
        <w:rPr>
          <w:rFonts w:ascii="Times New Roman" w:cs="Times New Roman" w:eastAsia="Times New Roman" w:hAnsi="Times New Roman"/>
          <w:sz w:val="17"/>
          <w:szCs w:val="17"/>
          <w:color w:val="auto"/>
        </w:rPr>
        <w:t>Name: Marc A. Rockford</w:t>
      </w:r>
    </w:p>
    <w:p>
      <w:pPr>
        <w:ind w:left="106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ATAIROS PARTNERS, L.P.</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By: Atairos Partners GP, LLC, its general</w:t>
      </w:r>
    </w:p>
    <w:p>
      <w:pPr>
        <w:ind w:left="1020"/>
        <w:spacing w:after="0"/>
        <w:rPr>
          <w:sz w:val="20"/>
          <w:szCs w:val="20"/>
          <w:color w:val="auto"/>
        </w:rPr>
      </w:pPr>
      <w:r>
        <w:rPr>
          <w:rFonts w:ascii="Times New Roman" w:cs="Times New Roman" w:eastAsia="Times New Roman" w:hAnsi="Times New Roman"/>
          <w:sz w:val="17"/>
          <w:szCs w:val="17"/>
          <w:color w:val="auto"/>
        </w:rPr>
        <w:t>partner</w:t>
      </w:r>
    </w:p>
    <w:p>
      <w:pPr>
        <w:spacing w:after="0" w:line="3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By: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-4445</wp:posOffset>
            </wp:positionV>
            <wp:extent cx="116776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4">
                      <a:extLst>
                        <a:ext uri="{28A0092B-C50C-407E-A947-70E740481C1C}"/>
                      </a:extLst>
                    </a:blip>
                    <a:srcRect/>
                    <a:stretch>
                      <a:fillRect/>
                    </a:stretch>
                  </pic:blipFill>
                  <pic:spPr bwMode="auto">
                    <a:xfrm>
                      <a:off x="0" y="0"/>
                      <a:ext cx="1167765" cy="6985"/>
                    </a:xfrm>
                    <a:prstGeom prst="rect">
                      <a:avLst/>
                    </a:prstGeom>
                    <a:noFill/>
                  </pic:spPr>
                </pic:pic>
              </a:graphicData>
            </a:graphic>
          </wp:anchor>
        </w:drawing>
      </w:r>
    </w:p>
    <w:p>
      <w:pPr>
        <w:ind w:left="1060"/>
        <w:spacing w:after="0" w:line="208" w:lineRule="auto"/>
        <w:rPr>
          <w:sz w:val="20"/>
          <w:szCs w:val="20"/>
          <w:color w:val="auto"/>
        </w:rPr>
      </w:pPr>
      <w:r>
        <w:rPr>
          <w:rFonts w:ascii="Times New Roman" w:cs="Times New Roman" w:eastAsia="Times New Roman" w:hAnsi="Times New Roman"/>
          <w:sz w:val="17"/>
          <w:szCs w:val="17"/>
          <w:color w:val="auto"/>
        </w:rPr>
        <w:t>Name: David L. Caplan</w:t>
      </w:r>
    </w:p>
    <w:p>
      <w:pPr>
        <w:ind w:left="106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159"/>
          </w:cols>
          <w:pgMar w:left="300" w:top="1127" w:right="1440" w:bottom="1440" w:gutter="0" w:footer="0" w:header="0"/>
          <w:type w:val="continuous"/>
        </w:sectPr>
      </w:pPr>
    </w:p>
    <w:bookmarkStart w:id="211" w:name="page212"/>
    <w:bookmarkEnd w:id="211"/>
    <w:p>
      <w:pPr>
        <w:ind w:left="10600"/>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State/Country of Organization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&gt;NBBC,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1440 Ontario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1440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1440 Productions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1440 Quebec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1701 JFK Boulevard,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170151 DCA Investment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170151 DCA Investment,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17A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18A Hotel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18A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18th &amp; Arch Hotel,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18th &amp; Arch Street GP,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18th &amp; Arch Street Limited,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18th &amp; Arch,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19A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19th &amp; Arch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19th &amp; Arch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19th &amp; Arch,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1X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2 Baked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3BG Holdings Company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3BG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ABB RFL,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Abigail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Active Voices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Advanced IS,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AETN UK Germany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AF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Agreed Voices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Albatros Datenservice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Albatros Solutions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South Africa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All That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Alpine Hideaway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Alternate Reality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Alternative Studio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American Cablesystems Northeast, a Limited Partnership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Ancient Futures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ANF Production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Arcadia Pictures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Arcadia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Ash Dance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Asia NBC (ANBC)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Athletes Direct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Attheraces Holdings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bl>
    <w:p>
      <w:pPr>
        <w:sectPr>
          <w:pgSz w:w="11900" w:h="16838" w:orient="portrait"/>
          <w:cols w:equalWidth="0" w:num="1">
            <w:col w:w="11300"/>
          </w:cols>
          <w:pgMar w:left="300" w:top="108" w:right="299" w:bottom="1440" w:gutter="0" w:footer="0" w:header="0"/>
        </w:sectPr>
      </w:pPr>
    </w:p>
    <w:bookmarkStart w:id="212" w:name="page213"/>
    <w:bookmarkEnd w:id="2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Attheraces Limited</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Avian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AWTV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AWTV,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B5 Pictures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Bad Behaviour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Baking Show,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Barricade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Barter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Battleship Delta Investments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BD2 Productions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Beautiful Day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Beeswax.io Corporation</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Beshert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Big Dipper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Big Idea Entertainment,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Big Idea.com,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Big Minyan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CT</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Big Sky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Big Smoke Pictures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Billy National Tour General Partner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Billy National Tour II General Partner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Birmingham Broadcasting (WVTM TV)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Blast !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Blastr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Bleecker Production Services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Blue Face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Ireland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Blueface Italia S.r.l.</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Blueface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Blueface US,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Bluerace,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BluVector,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Boardwalk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Bobwell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Bone Appetite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Boomerang Media Holdings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Boomerang Media Holdings III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Bourne Again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Bourne Film Productions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Box Hill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Bravo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Bravo Media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Bravo Media Productions Game of Crowns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Bravo Media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Bravo Peacock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Bravo Platinum Hit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13" w:name="page214"/>
    <w:bookmarkEnd w:id="2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Broken Seal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BRS Golf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Ireland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Bullwinkle Studios,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Business News (Asia) LLP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Singapore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Business News (Europe) Partnership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Butterfly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C&amp;C Wireless Holding Company,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Cabin Fever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Cable Television of Gary,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Cablevision Associates of Gary Joint Venture</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Cablevision Investment of Detroit,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CACO Holding Company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Callisto Media West,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Canciones de NBC Universo,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Carnival (Charles Dickens)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Carnival (DAX)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Carnival Film &amp; Television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Carnival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Carnival Productions Two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Carnivores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Castle Pictures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Catalina Content,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CBS Holdco,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Centenary Canada Holding Company</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Central Moon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Central Moon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Century-TCI California Communications,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Century-TCI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Chimp Simple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CityWalk Hollywood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Clara Film Distribution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Class of 07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Classic Feature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Classic Media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Classic Media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Classic Media Pictures,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Classic Media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Classic Media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Classic Media,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Classic Services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Classic Services,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Cloud Wing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CNBC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CNBC Advertising (Shanghai) Co.,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CNBC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CNBC Media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14" w:name="page215"/>
    <w:bookmarkEnd w:id="2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CNBC Productions of Louisiana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CNBC Publishing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CNBC World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CNV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Colt 87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 Indiana,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 Indianapolis,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 South,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ABB Business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ABB Note Consolidation,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ABB of Georgia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AG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Amateur Sports,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Baseball Investment,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Bidco Holdings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Bidco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Broadband Security,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Business Class Security of MA,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Business Class Security,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Business Communications Canada,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Business Communications,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Business International,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Cable Communications Canada,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Cable Communications Management,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Cable Communications,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Cable EP Services,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Cable Funding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Cable of Indiana,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Cable of Indiana/Michigan/Texas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TX</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Cable of Maryland,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Cablevision of Southeast Michigan,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California Collection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Capital Corporation</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Capital International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CBRS,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CCH Subsidiary Holdings,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CCW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CHC Subsidiary Holdings,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CHC,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Children’s Network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CMCSA International Spain, S.L.U.</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Spain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Commercial Services Group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Connected Health,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Contribution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Corporate Services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CSA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15" w:name="page216"/>
    <w:bookmarkEnd w:id="2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CV GP,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CV,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DC Radio,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DW Holding,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ENG,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Financial Agency Corporation</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Funding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Garden State,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Gary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Government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Hockey Investment,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Hockey,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Holdings Corporation</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Holdings III,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Horror Entertainment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Houston Advertising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Hulu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ICCP,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In Demand Holdings,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India Engineering Center I LLP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India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India US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Interactive Media,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International Australia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International Canada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International France SAS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France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International Germany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International Holdings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International Italy S.r.l.</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International Singapore PTE.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Singapore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IP Holdings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IP Phone of Missouri,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IP Phone of Oregon,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IP Phone,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LA Holdings,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LCP,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Midcontinent,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MO Cable News,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MO Digital Radio,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MO Financial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MO of Burnsville/Eagan,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MO Real Estate,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MO SPC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MO SPC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MVNO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Navy Acquisition,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Navy Contribution,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16" w:name="page217"/>
    <w:bookmarkEnd w:id="2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Navy Holdings,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NECN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Neptune Illinois, PLLC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New Media Development,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Alabama,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Alameda,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Arizona,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Arkansas,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Arkansas/Louisiana/Minnesota/Mississippi/Tennessee,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Avalon,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Baltimore City,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Boston,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Brockton,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Bryant,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AR</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Burlington County,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 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NV</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 II,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 III,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 III,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 IV,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 IX,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 X,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 XI,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 XII,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 XIII,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 XV,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California/Colorado,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California/Colorado/Florida/Oregon,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California/Colorado/Illinois/Indiana/Michigan,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California/Connecticut/Michigan</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California/Idaho,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California/Illinois,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California/Maryland/Pennsylvania/Virginia/West Virginia,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California/Massachusetts/Michigan/Utah,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Carolina,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SC</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Central New Jersey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Central New Jersey,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Chicago,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Clinton,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Colorado IX,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Colorado/Pennsylvania/West Virginia,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Connecticut,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OK</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Connecticut/Georgia/Massachusetts/New Hampshire/New York/North Carolina/Virginia/Vermont,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Cupertino,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bl>
    <w:p>
      <w:pPr>
        <w:sectPr>
          <w:pgSz w:w="11900" w:h="16838" w:orient="portrait"/>
          <w:cols w:equalWidth="0" w:num="1">
            <w:col w:w="11300"/>
          </w:cols>
          <w:pgMar w:left="300" w:top="1159" w:right="299" w:bottom="1440" w:gutter="0" w:footer="0" w:header="0"/>
        </w:sectPr>
      </w:pPr>
    </w:p>
    <w:bookmarkStart w:id="217" w:name="page218"/>
    <w:bookmarkEnd w:id="2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Davis County, Inc.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Delmarva,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Detroit</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Detroit,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East San Fernando Valley,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Eastern Shore,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Elkton,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Flint,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Florida/Georgia</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Fort Wayne Limited Partnership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Fresno,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Garden State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Georgia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Georgia/Illinois/Michigan,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Georgia/Massachusetts,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Georgia/Michigan,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Georgia/Pennsylvania,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Georgia/South Carolina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Georgia/South Carolina,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Gloucester County,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Grosse Pointe,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Harford County,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Houston,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Howard County,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 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 II,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KS</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 III,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 IV,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 IX,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 V,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 VI,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 VII,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 VIII,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 X,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 XI,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 XII,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NJ</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 XIII,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AZ</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Illinois/Indiana,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Illinois/Indiana/Michigan,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Illinois/Indiana/Ohio,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Illinois/Ohio/Oregon,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Illinois/West Virginia,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Indiana/Kentucky/Utah,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Indiana/Michigan,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Indiana/Michigan/Pennsylvania,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Indianapolis,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18" w:name="page219"/>
    <w:bookmarkEnd w:id="2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Indianapolis,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Inkster,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Jersey City,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Kentucky/Tennessee/Virginia,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Laurel,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MS</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Lawrence,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Levittown,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Little Rock,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AR</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Lompoc,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Long Beach Island,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Louisiana/Mississippi/Texas,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Lower Merion,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Macomb,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Maine/New Hampshire,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NH</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Maryland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Maryland Limited Partnership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Maryland,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Massachusetts II,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Massachusetts III,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Massachusetts/Virginia,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Mercer County,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Meridian,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MS</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Michigan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Michigan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Michigan III,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Michigan IV,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Michigan,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Michigan/Mississippi/Tennessee,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Milton,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Minnesota,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Minnesota/Wisconsin,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Mississippi Call Center,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Missouri,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Monmouth County,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Mt. Clemens,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Muncie,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Muncie,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Muskegon</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Nashville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Nashville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Needham,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New Castle County,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New Hampshire,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New Jersey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New Jersey,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NJ</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New Mexico,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bl>
    <w:p>
      <w:pPr>
        <w:sectPr>
          <w:pgSz w:w="11900" w:h="16838" w:orient="portrait"/>
          <w:cols w:equalWidth="0" w:num="1">
            <w:col w:w="11300"/>
          </w:cols>
          <w:pgMar w:left="300" w:top="1159" w:right="299" w:bottom="1440" w:gutter="0" w:footer="0" w:header="0"/>
        </w:sectPr>
      </w:pPr>
    </w:p>
    <w:bookmarkStart w:id="219" w:name="page220"/>
    <w:bookmarkEnd w:id="2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New Mexico/Pennsylvania,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New York,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Northern California 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Northern Illinois,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Northern Indiana,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Northwest New Jersey,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Novato,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OR</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Ocean County,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Ohio,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OH</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Oregon 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Oregon II,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Pennsylvania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Pennsylvania II,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Pennsylvania II,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Pennsylvania III,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Pennsylvania,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Pennsylvania/Maryland,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Philadelphia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Philadelphia,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Plainfield,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Potomac,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Richmond,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Sacramento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Sacramento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Sacramento III,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San Joaquin,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San Leandro,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Santa Cruz,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Santa Maria,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Shelby,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Sierra Valleys,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South Chicago,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South Jersey,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Southeast Pennsylvania,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Southern California,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OR</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Southern Illinois,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Southern Mississippi,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Southern New England,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Southern Tennessee,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St. Paul,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Sterling Heights,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Taylor,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Tennessee,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the District Holdings,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the District,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DC</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the Meadowlands,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20" w:name="page221"/>
    <w:bookmarkEnd w:id="2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the South</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the South,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Tupelo,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MS</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Utah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Utah II,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Utica,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Virginia,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Warren,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Wasatch,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West Virginia,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Wildwood,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of Wisconsin,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OTR1,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Palm Beach GP,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Philadelphia Corporation IV East</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Philadelphia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Alabama,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Arizona,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Arkansas,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California,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Central Indiana,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Colorado,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Connecticut,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D.C.,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Delaware,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Florida,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Georgia,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Idaho,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Illinois,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Iowa,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Kansas,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Kentucky,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Louisiana,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Maine,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Massachusetts,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Michigan,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Minnesota,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Mississippi,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Missouri,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Montana,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Nebraska,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Nevada,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New Hampshire,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New Mexico,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New York,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North Carolina,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21" w:name="page222"/>
    <w:bookmarkEnd w:id="2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North Dakota,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Northern Maryland,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Ohio,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Oklahoma,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Oregon,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Pennsylvania,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Rhode Island,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South Carolina,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SC</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South Dakota,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Tennessee,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Texas,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Utah,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Vermont,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Virginia,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Washington,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West Virginia,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of Wisconsin,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Phone,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Programming Management,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Programming Ventures III,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Programming Ventures 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PSM Holdings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PSM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QCOM TV Partners GP,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RL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Snap Holdings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Snap Holdings,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Spectacor Events,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Spectacor Holding Company,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Spectacor Ventures,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Spectacor,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Sports Management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Sports NY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SportsNet Bay Area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SportsNet California,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SportsNet Chicago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SportsNet NE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SportsNet New England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SportsNet New England,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SportsNet Philadelphia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SportsNet Philadelphia,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Spotlight Charter Cable Advertising,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STB Software MOT,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STB Software TW,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Technology Solutions,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Technology,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22" w:name="page223"/>
    <w:bookmarkEnd w:id="2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Ventures,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Ventures,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Warranty and Home Insurance Agency,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 XSG,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Comcast/Charter Master Cable Advertising,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Community Realty,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NV</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Compound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Corpus Vivos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Cotham Hill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Covert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CP Entertainment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Crazy Hill Productions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Creative Interactive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Creative Park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Creative Screen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Creative Writing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Critical Incident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Crossover Connect,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CS DPS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CS eSports Korea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South Korea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CS Fusion Investors,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CS KJV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CS Phase Two Investors,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CS Philadelphia Lacrosse Team,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CS Philadelphia OW Team,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CS PL Investors,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CSLP Phase One GP,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CSLP Phase One Investor,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CSLP Phase One Operator,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CSNNE Partner,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CTC Concourse,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Curlew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Cymru International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DA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Daily Essentials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DailyCandy Commerce,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DailyCandy,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Dame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Dame Productions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Dark Room Pictures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Dark Universe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Deep Blue Communications,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Deer Park Pictures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Defying Gravity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Del Mar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23" w:name="page224"/>
    <w:bookmarkEnd w:id="2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Delgany Productions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Delta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Diagonal View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Diary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Digital Golf Solutions SAS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France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Direct Alternative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Directed Voices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Dirt Road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Discos Telemundo,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Discover a Star</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DM4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 3000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Animation Home Entertainment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Animation Home Entertainment,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Animation Hong Kong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Hong Kong</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Animation International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Animation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Animation Licensing,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Animation Live Theatrical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Animation Online,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Animation Publishing,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Animation Television Post-Production,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Distribution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MCN,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Post-Production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DreamWorks,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DTC Development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DW Animation Ireland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Ireland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DWA Film Productions II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DWA Film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DWA Finance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DWA Glendale Properties,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DWA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DWA III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DWA International Investments,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DWA International Television Properties,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DWA Kids,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DWA Live Stage Development,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DWA NV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Dylan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 Entertainment Servicios, S. de R.L. de C.V.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Mexico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 Digital Lab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 Distribution,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 Entertainment Audiovisual Servicos e Representacoes Ltda.</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Brazil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 Entertainment Mexico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 Entertainment Mexico,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24" w:name="page225"/>
    <w:bookmarkEnd w:id="2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 Entertainment Television International Holdings,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 Entertainment Television,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 LatAm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 Media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 Networks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Eagle Street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Earth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El Paradiso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Enterprise Corporate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Entertainment for All,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Entertainment Rights US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Entertainment Systems,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Estrella Communications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Estudios Mexicanos Telemundo, S.A. de C.V.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Mexico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ETV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Evelyn Bay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Evergreen Pictures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Exclamation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Exhibition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Exmont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Explorer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Exposure Studios,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EZLinks Golf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EZLinks Golf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F10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Fab 5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Factual Voices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Family Insight,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Fandango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Fandango Loyalty Solutions,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Fandango Marketing,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Fandango Media,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Fandango Merchandising,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Fantail Funding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Far North Entertainment Holdings,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Faraway Connections,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Farraday Films Investments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Fast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FeiWeiMeiDi Information Technology (Beijing) Co.,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Feline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FF5 Productions Canada,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FF8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FF9 Pictures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FF9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FFSO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bl>
    <w:p>
      <w:pPr>
        <w:sectPr>
          <w:pgSz w:w="11900" w:h="16838" w:orient="portrait"/>
          <w:cols w:equalWidth="0" w:num="1">
            <w:col w:w="11300"/>
          </w:cols>
          <w:pgMar w:left="300" w:top="1159" w:right="299" w:bottom="1440" w:gutter="0" w:footer="0" w:header="0"/>
        </w:sectPr>
      </w:pPr>
    </w:p>
    <w:bookmarkStart w:id="225" w:name="page226"/>
    <w:bookmarkEnd w:id="2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FFSO Productions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Filmmaker Production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Filmmaker Studio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Fireball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First Alternative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First Man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First Podcast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Fitness Video Ventures,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Flagship Development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Flock of Peacocks Music JV/ASCAP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Fluency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Fly Town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Flyers Skate Zone,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FM Production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FNV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Focus Features International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Focus Features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Focus Features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For Games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Forecast Fund Investments,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Forecast Labs,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FPS Rink,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FPS Rink,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FPS Urban Renewal,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NJ</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FreeWheel Advertisers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FreeWheel Advertisers,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FreeWheel Media,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Friedgold Talent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Front Page News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FTNV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Future Platform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G4 Media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G4 Media,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G4 Studio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Gadget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Gamut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Gatto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Genacast Ventures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Genacast Ventures,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Adam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Amalgamation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Away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BC Effects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Blockbuster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Bumper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Cherry Flavor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bl>
    <w:p>
      <w:pPr>
        <w:sectPr>
          <w:pgSz w:w="11900" w:h="16838" w:orient="portrait"/>
          <w:cols w:equalWidth="0" w:num="1">
            <w:col w:w="11300"/>
          </w:cols>
          <w:pgMar w:left="300" w:top="1159" w:right="299" w:bottom="1440" w:gutter="0" w:footer="0" w:header="0"/>
        </w:sectPr>
      </w:pPr>
    </w:p>
    <w:bookmarkStart w:id="226" w:name="page227"/>
    <w:bookmarkEnd w:id="2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Chucky Inc.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Crime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CZ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Guilt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Hatch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Impulse C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Innocence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Irrational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Issues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La Brea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MBTB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Monk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Nye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One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Ontario Effects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Podcast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Productions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Psych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Puddin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Quantum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Quebec Effects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Resident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Scott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Umbrella 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GEP Umbrella B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Getting Away Productions,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GIGA Television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Gilmore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Global Ad Sales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Global Advertising (Guangzhou) Co.,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Global Fiction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Global Post Workers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Gloss Mountain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Gold Key Home Video,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Gold Medal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Golfcolorado.com,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GolfNow Enterprises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Golfnow,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Good Machine International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Good Machine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GOTJ Distribution,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Gramercy Film Productions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Gramercy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Grunewald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GTCR/Boomerang Holdings/B,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27" w:name="page228"/>
    <w:bookmarkEnd w:id="2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Harlan Films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Here We Go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Heyday Television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High Tea Pictures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Hilltop Coffee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Hilltop Hot Dogs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Hilltop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Hood 3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House of Gods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Housing for Tomorrow Corp.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Houston SportsNet Finance,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Houston SportsNet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HTVP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Husdawg Communications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Hutch Productions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iControl Networks,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IFH-U Holding B.V.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Netherlands</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Illumination Entertainment Marketing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Illumination Studios Paris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France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Imagine Films Entertainment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IMG-LA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Impossibly Simple,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Incuborn Solutions,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AZ</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Independent Fibre Retail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Indigo Development and Entertainment Arts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Infobonn Text-, Informations- und Pressebüro Verwaltungsgesellschaft 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Inittowinit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Insect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International Channel Pack Distribution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International Journeys,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International Media Distribution,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Irreverent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It Had To Be Murder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JB5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JE Production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Jet Tracks,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Joint Films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Jupiter Entertainment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Jupiter Entertainment North,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Jupiter Entertainment,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K25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Karaoke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Kempston Hardwick Developments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Kidsprog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Kingsley Film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28" w:name="page229"/>
    <w:bookmarkEnd w:id="2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Knightly Film Productions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KNSD Granite Ridge,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KNTV License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KNTV Television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Kvinde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LA to UK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LAB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Lassie Distribution,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Latitude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Laurel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Lauren Film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Lava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Lenfest Jersey,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License Holdings 17A,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License Holdings 18A,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Little Lotta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Logoring,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Lone Star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Long Branch Productions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Love American Journeys,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Love Bugs Film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Love Minky Television Development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Love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Love Productions USA,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Low Voices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LSS Football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LX Networks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 Brothers Film 2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 Brothers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Magic Carpet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Mammoth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Marital Assets,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Mark III Funding,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MarketLink Indianapolis Cable Advertising,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MAS Group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MAS Intermediate 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MAS Intermediate II,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Masergy Cloud Communications,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Masergy Cloud UC Corporation</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Masergy Communications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Masergy Communications,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Masergy Comunicaciones S. de R.L. de C.V.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Mexico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Masergy Holdings,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Masergy Philippines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Philippines</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Matchbox Eureka One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Matchbox New Zealand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New Zealand</w:t>
            </w:r>
          </w:p>
        </w:tc>
      </w:tr>
    </w:tbl>
    <w:p>
      <w:pPr>
        <w:sectPr>
          <w:pgSz w:w="11900" w:h="16838" w:orient="portrait"/>
          <w:cols w:equalWidth="0" w:num="1">
            <w:col w:w="11300"/>
          </w:cols>
          <w:pgMar w:left="300" w:top="1159" w:right="299" w:bottom="1440" w:gutter="0" w:footer="0" w:header="0"/>
        </w:sectPr>
      </w:pPr>
    </w:p>
    <w:bookmarkStart w:id="229" w:name="page230"/>
    <w:bookmarkEnd w:id="2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Matchbox Pictures Pty Ltd</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Matchbox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Mathgamain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MB2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MCA Toys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MCA Toys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MD Films PR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MDOA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Media Core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MediaNaviCo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Memory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Merchandising Company of America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Metrological Group B.V.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Netherlands</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Metrological Media Innovations B.V.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Netherlands</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Metrological Widgets B.V.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Netherlands</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Michael Film Distribution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Migration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Minaret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Mins 2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Mins3 Production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MM2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Monkey Business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Monkey Kids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Monkey Kingdom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Monkey Kingdom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Monkey Television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Moon Spin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MovieTickets.com Promotions,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MovieTickets.com,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MSNBC Cable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MSNBC Canada Distribution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MSNBC Music Publishing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MSNBC Super Desk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MTC Acquisition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Munchkinland Productions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Music of Syfy Channel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Music of USA Cable Entertainment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Music of USA Network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Musica Telemundo,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Must See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MW Sports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National Center for Safety Initiatives,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(UK) Holdings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Enterprises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NV</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Facilities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Interactive Media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30" w:name="page231"/>
    <w:bookmarkEnd w:id="2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Investments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Network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News Archives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News Bureaus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News Channel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News Digital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News Worldwide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Olympics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Olympics Planning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Pageants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Palm Beach Investment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Palm Beach Investment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Program Ventures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Records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Shop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Sports Gold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Sports Mobile Apps,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Sports Network,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Sports Next,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Sports Ventures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Stations Management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Stations Management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Storage Management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Sub (WCMH),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Subsidiary (KNBC-TV)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Subsidiary (WCAU-TV),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Subsidiary (WMAQ-TV)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Subsidiary (WRC-TV)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Subsidiary (WTVJ-TV)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Syndication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Telemundo License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Telemundo License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Telemundo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TV Stations Sales &amp; Marketing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(Singapore) Holdings I Pte.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Singapore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(Singapore) Holdings II Pte.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Singapore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Digital Solutions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Global Networks Deutschland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Global Networks España, S.L.U.</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Spain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Global Networks France SAS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France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Global Networks Latin America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Global Networks Management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Global Networks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International Television Distribution Germany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International Television Distribution Singapore Pte.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Singapore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Networks International Brasil Ltda.</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Brazil</w:t>
            </w:r>
          </w:p>
        </w:tc>
      </w:tr>
    </w:tbl>
    <w:p>
      <w:pPr>
        <w:sectPr>
          <w:pgSz w:w="11900" w:h="16838" w:orient="portrait"/>
          <w:cols w:equalWidth="0" w:num="1">
            <w:col w:w="11300"/>
          </w:cols>
          <w:pgMar w:left="300" w:top="1159" w:right="299" w:bottom="1440" w:gutter="0" w:footer="0" w:header="0"/>
        </w:sectPr>
      </w:pPr>
    </w:p>
    <w:bookmarkStart w:id="231" w:name="page232"/>
    <w:bookmarkEnd w:id="2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Television Japan, Ltd.</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Japan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Universal Television Studio Digital Development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Universo Music Publishing,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 West,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NBC/Hearst-Argyle Syndication,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NBC/IJV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NBC-A&amp;E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NBCBoston Real Estate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NBC-NPN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NBCP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NBC-Rainbow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 Acquisition Sub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 Cable Entertainment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 Corporate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 Digital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 Dutch Holding (US)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 Emerging Networks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 Global Networks Asia Pte.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Singapore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 International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 New LLC I</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 New LLC II</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 New Site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 Television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Ad Sales and Marketing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Asia,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Atlas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Cahuenga,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Content Commerce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Digital Enterprises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Digital Enterprises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Digital Entertainment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Digital Lab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Enterprise,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Entertainment Japan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Japan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Fandango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Funding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Government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International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International Networks Acquisitions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International Networks Australia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International Networks Holdings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International Networks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International Networks US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International Operations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bl>
    <w:p>
      <w:pPr>
        <w:sectPr>
          <w:pgSz w:w="11900" w:h="16838" w:orient="portrait"/>
          <w:cols w:equalWidth="0" w:num="1">
            <w:col w:w="11300"/>
          </w:cols>
          <w:pgMar w:left="300" w:top="1159" w:right="299" w:bottom="1440" w:gutter="0" w:footer="0" w:header="0"/>
        </w:sectPr>
      </w:pPr>
    </w:p>
    <w:bookmarkStart w:id="232" w:name="page233"/>
    <w:bookmarkEnd w:id="2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International Television Distribution South Africa (Proprietary) Limited</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South Africa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Media Distribution Services Private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India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Media,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Networks International Argentina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Networks International Argentina S.R.L.</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Argentina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Networks International Brasil Programadora S.A.</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Brazil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Networks International Colombia S.A.S.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Colombia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Networks International Guatemala, Limitada</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Guatemala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Networks International Mexico, S. de R.L. de C.V.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Mexico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Networks International Panama, S. de R.L.</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Panama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Networks International Spanish Latin America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Production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Production Support NY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Real Estate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Shared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NBCUniversal,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NBC-VVTV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NBC-VVTV2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NBC-West Coast Holding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NBC-West Coast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NBC-XFL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NCL Co,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Neos Ventures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New England Cable News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New Media,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New Mexico Lighting &amp; Grip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NewCo Cable,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Newco OTS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News Worthy Pictures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Newsvine,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New-U Pictures Facilities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New-U Studios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Next Pursuit,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NF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Night Fury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 Other Way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Nobody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North American Television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NV</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Northbridge Programming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Northern Entertainment of Louisiana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Northern Entertainment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Not-4-Not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Novel Pictures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Now A Warning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Nueva Granada Investments,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33" w:name="page234"/>
    <w:bookmarkEnd w:id="2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Nuevo Mundo Music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NVU - Texas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NVU – Vegas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NVUL Corp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O2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O2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Obscure Pictures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Octave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October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OFI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One Belmont Insurance Company</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VT</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One NZ Television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New Zealand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One-Horned Wonder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Opaque Show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Open 4 Business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Original Content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Orsa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Outlet Broadcasting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Outlet Communications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Owl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Oxygen Cable,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Oxygen Media Interactive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Oxygen Media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Oxygen Media,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P-1 Acquisition Sub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Pacific Data Images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Pacific Data Images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Pacific Regional Programming Partners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Palm Beach Group Cable Joint Venture</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Pants On Fire Productions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Papaya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Para Siempre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Parks Holdings Acquisition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Parks Holdings Acquisition Sub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Parthenon Media Group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Partially Baked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Pattison Development,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Pattison Realty,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PCA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Peacock Media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Peacock Productions (UK)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Peacock TV EMEA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Peacock TV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Peacock TV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Pennebaker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34" w:name="page235"/>
    <w:bookmarkEnd w:id="2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PG Filmed Entertainment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PG Television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Philadelphia Flyers Enterprises Company</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Philadelphia Flyers,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Philadelphia Flyers,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PhotoOps,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Plaxo,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Playhouse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Podcast 2 Series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Pop Pop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Portland Hockey,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PowerCloud Systems,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Priority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Production Voices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PSC SA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QCOM TV Partners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Rachel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Realand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Red Alert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Redemption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Regional Film Distributors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Regional Pacific Holdings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Regional Pacific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Remoter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Retechorators,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Rider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Right Alternative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Ring Me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Rising Voices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River Delta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Rosey Film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Roving,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Rubin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RW2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New Zealand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S.A.T.V. Publishing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Saga Features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Saigon Broadcasting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Salt Snake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Sarcophagus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Satellite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Savannah Beast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Savoy Pictures,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SC Collection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Sci Fi Lab Development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Sci-Fi Channel Europe,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Scope Communications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bl>
    <w:p>
      <w:pPr>
        <w:sectPr>
          <w:pgSz w:w="11900" w:h="16838" w:orient="portrait"/>
          <w:cols w:equalWidth="0" w:num="1">
            <w:col w:w="11300"/>
          </w:cols>
          <w:pgMar w:left="300" w:top="1159" w:right="299" w:bottom="1440" w:gutter="0" w:footer="0" w:header="0"/>
        </w:sectPr>
      </w:pPr>
    </w:p>
    <w:bookmarkStart w:id="235" w:name="page236"/>
    <w:bookmarkEnd w:id="2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Scream Squad Films Inc.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Scream Squad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Scripted Voices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Second Alternative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Second Podcast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Servicios de Produccion Reforma, S.A. de C.V.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Mexico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S-F Channel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Shaftesbury Avenue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Silver Tower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Sing 2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Six Feathers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Channel SA</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Belgium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Comedy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Corporate Secretary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CP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Deutschland Customer Center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Deutschland Fernsehen GmbH &amp; Co KG</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Deutschland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Deutschland Interaction Center I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Deutschland Interaction Center II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Deutschland Service Center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Deutschland Verwaltungs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Finance Europe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German Holdings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Group Finance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Healthcare Scheme 2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History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In-Home Service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International AG</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Switzerland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International Operations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IP International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IQ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Ireland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Ireland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Italia Network Service S.r.l.</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Italia S.r.l.</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Italian Holdings S.p.A.</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Labs Aalborg A/S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Denmark</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Manufacturing Services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Hong Kong</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Media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Ocean Ventures Partner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Operational Finance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Österreich Fernsehen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Österreich Verwaltung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Pension Plan Trustees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Retail Stores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bl>
    <w:p>
      <w:pPr>
        <w:sectPr>
          <w:pgSz w:w="11900" w:h="16838" w:orient="portrait"/>
          <w:cols w:equalWidth="0" w:num="1">
            <w:col w:w="11300"/>
          </w:cols>
          <w:pgMar w:left="300" w:top="1159" w:right="299" w:bottom="1440" w:gutter="0" w:footer="0" w:header="0"/>
        </w:sectPr>
      </w:pPr>
    </w:p>
    <w:bookmarkStart w:id="236" w:name="page237"/>
    <w:bookmarkEnd w:id="2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SNA Limited</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SNI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SNI Operations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Studios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Studios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Subscribers Services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Supply Chain Services Poland sp. z o.o.</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Poland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Switzerland SA</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Switzerland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Telecommunications Services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Television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UK Investments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 Ventures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SkyShowtime CE Europe Kft</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Hungary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SkyShowtime Iberia S.R.L.</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Spain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SkyShowtime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SkyShowtime Nordics AB</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Sweden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SkyShowtime Poland sp. z o.o.</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Poland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Smiley Face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Snapped TV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SNL Entertainment Holdings Sub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SNL Entertainment Holdings,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SNL Entertainment,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 Globe Production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Someone’s Favorite Show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Spanish-Language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Spectacor Adjoining Real Estate New Arena,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Spectrum Arena Limited Partnership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Speex,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Spooky Files 2 Production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Spooky Files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Sports Cards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Sports Ventures Sub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SportsChannel New England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CT</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SportsChannel Pacific Associates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SportsEngine Canada,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SportsEngine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SportsEngine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Ireland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SportsEngine,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Sprout Michigan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Sprout Network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 Giles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 Louis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Stamford Media Center &amp;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Stamford Studios Digital Factory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StarPlay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bl>
    <w:p>
      <w:pPr>
        <w:sectPr>
          <w:pgSz w:w="11900" w:h="16838" w:orient="portrait"/>
          <w:cols w:equalWidth="0" w:num="1">
            <w:col w:w="11300"/>
          </w:cols>
          <w:pgMar w:left="300" w:top="1159" w:right="299" w:bottom="1440" w:gutter="0" w:footer="0" w:header="0"/>
        </w:sectPr>
      </w:pPr>
    </w:p>
    <w:bookmarkStart w:id="237" w:name="page238"/>
    <w:bookmarkEnd w:id="2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Static Films Limited</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Station Operations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Station Venture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Station Venture Operations,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Stiletto Cinema Partners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Stiletto Pictures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Stuart Street Digital Studios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Studio Distribution Services Canada Corporation</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Studio Distribution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SUB I - USA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Sugar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Sunny Days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Surehouse,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Syfy Channel Publishing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Syfy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Syfy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Syfy Media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Tale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Talk Video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TCI California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TCI IL-Holdings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TCI IL-Holdings,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TCI Pacific Communications,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TCP Security Company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TX</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TeamUnify,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OR</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Ted Production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10370 Montana Ave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2400 Monroe Street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314 Redwood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500 Media Place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6380 Polaris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Global Publishing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Group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Internacional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International Studios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Las Vegas License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Las Vegas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Media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Mid-Atlantic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Music Publishing,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Network Group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of Arizona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of Chicago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of Denver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of Florida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of Fresno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38" w:name="page239"/>
    <w:bookmarkEnd w:id="2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of New England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of New Mexico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of North Carolina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of Northern California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of Puerto Rico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Puerto Rico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of San Diego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of Texas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of Utah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Rio Grande Valley,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Telemundo Television Studios,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Terra Properties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Terrace Studios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TGC,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That Technology,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Bros Movie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Cloud Networks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Comcast Network,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Connor Project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Praise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Production Hive,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Resort TLMD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Puerto Rico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Worst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Third Alternative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Third Wish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This Technology (Beijing) Software Co.,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Three Act Pictures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Three Belmont Insurance Company</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Tier One Subsidiary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Tony Ayres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Toothless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Top Alternative Studio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Transatlantic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Transistor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Treasure LTR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Tribune-United Cable of Oakland County</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Trio Entertainment Network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Trip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Truck 44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True Blue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True North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True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TTP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Turn Up The Volume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Tuxedo Terrace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Two Plus Voices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TyJade Ranch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39" w:name="page240"/>
    <w:bookmarkEnd w:id="2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TZGZ Productions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UCF Hotel Venture II</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UCF Hotel Venture III</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UCF Hotel Venture IV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UCF Hotel Venture 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UCF Hotel Venture VI</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UCF Hotel Venture VII</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UCS Project 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UCTC of Los Angeles County,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UIP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Umbrella NZ Television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New Zealand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UMSI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Underground Producciones S.A.</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Argentina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United Cable Television of Los Angeles,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United Cable Television of Oakland County,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United International Pictures of Panama,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United of Oakland,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(Beijing) Consulting Company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 U-Drive Joint Venture</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13th Street.com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1440 Entertainment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Access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Animation Studios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Arenas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Beijing Development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Beijing Owner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Beijing Servicer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Beijing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Beijing WFOE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Briggs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Cable Productions Development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City Development Partners,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City Florida Holding Co. I</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City Florida Holding Co. II</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City Property Management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City Restaurant Venture,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City Studios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City Studios Productions LLLP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City Travel Partners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Consumer Products France SAS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France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Consumer Products Germany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Consumer Products Iberia, S.L.U.</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Spain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Consumer Products Italy S.r.l.</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Content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Creative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Film Exchanges Holdings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40" w:name="page241"/>
    <w:bookmarkEnd w:id="2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Film Exchanges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First-Run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First-Run Television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HD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Home Entertainment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International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International Studios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Kids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Kids Media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Kids’ Network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Network Programming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Orlando Foundation,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Orlando Online Merchandise Store</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(Australasia)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(Beijing) Consulting Company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(Hong Kong)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Hong Kong</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(Shanghai) Trading Company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China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(Singapore) Holdings Pte.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Singapore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Canadian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Company of Puerto Rico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Corporation of China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Entertainment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Germany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Group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Home Entertainment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Australasia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Austria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Brazil Ltda.</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Brazil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Entertainment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France SAS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France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Germany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Italy S.R.L.</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Korea Company</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South Korea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Russia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New Zealand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New Zealand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Spain, S.L.U.</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Spain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Switzerland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Switzerland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International UK &amp; EIRE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México S. de R.L. de C.V.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Mexico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México Services S. de R.L. de C.V.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Mexico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Productions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Rus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Russia</w:t>
            </w:r>
          </w:p>
        </w:tc>
      </w:tr>
    </w:tbl>
    <w:p>
      <w:pPr>
        <w:sectPr>
          <w:pgSz w:w="11900" w:h="16838" w:orient="portrait"/>
          <w:cols w:equalWidth="0" w:num="1">
            <w:col w:w="11300"/>
          </w:cols>
          <w:pgMar w:left="300" w:top="1159" w:right="299" w:bottom="1440" w:gutter="0" w:footer="0" w:header="0"/>
        </w:sectPr>
      </w:pPr>
    </w:p>
    <w:bookmarkStart w:id="241" w:name="page242"/>
    <w:bookmarkEnd w:id="2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Subscription Television Limited</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Switzerland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Switzerland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Vidéo (France) SAS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France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Pictures Visual Programming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Rank Hotel Partners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Set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Shared Billing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Stage Productions Development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Stage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Stage Productions UK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 Group (Australia)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 Group Animation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 Group IP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Canada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Carousel Post Production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Channel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Child Care Center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China Investment LLLP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Company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Corner Store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Development Venture Five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Development Venture Seven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Development Venture Six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Development Venture Two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Digital Cinema Ventures,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Enterprises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Film Production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Fitness Center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Home Entertainment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Home Entertainment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Hotel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Hotel III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Hotel IV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Hotel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Hotel V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Hotel VI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Hotel VII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Interactive Entertainment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International B.V.</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Netherlands</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International Television Do Brasil Ltda.</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Brazil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Korea Planning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Licensing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Music LLLP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Network Programming</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bl>
    <w:p>
      <w:pPr>
        <w:sectPr>
          <w:pgSz w:w="11900" w:h="16838" w:orient="portrait"/>
          <w:cols w:equalWidth="0" w:num="1">
            <w:col w:w="11300"/>
          </w:cols>
          <w:pgMar w:left="300" w:top="1159" w:right="299" w:bottom="1440" w:gutter="0" w:footer="0" w:header="0"/>
        </w:sectPr>
      </w:pPr>
    </w:p>
    <w:bookmarkStart w:id="242" w:name="page243"/>
    <w:bookmarkEnd w:id="2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NewCanada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Pacific Partners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Pay Television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Pay TV Latin America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Pay-Per-View Development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Recreation China Planning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Recreation Japan Planning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Satellite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Singapore Planning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Store Hollywood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Store Orlando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Television Distribution Spain, S.L.U.</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Spain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Studios TV Channel Poland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Subscription Television Americas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Syndicated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Television Emerald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Television Emerald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Television Enterprises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Television Group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Television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Television Music Publishing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Television Networks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Television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Theatrical Group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TV Australia Pty.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TV Canada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TV France SNC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France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TV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TV Music Publishing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TV NewCo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TV Pictures Development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TV Pictures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TV Talk Video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VOD Venture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Universal Worldwide Television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UPD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UPI Development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UPI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UPI Pictures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UPI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UPR International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USA Brasil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USA Cable Entertainment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USA Cable Entertainment Publishing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USA Love Development,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USA Network Media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43" w:name="page244"/>
    <w:bookmarkEnd w:id="2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USA Network Publishing LLC</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USA Networks Partner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USANi Holding Company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USG Development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USG UK Production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USG(A) Virtual Production Infrastructure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USI - USA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USI Asset Transfer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USI Entertainment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USI Interim LP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USI Music Publishing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USIE - USA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USI-New Bren Holdco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USJ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Japan</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U-Talk Enterprises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 - USA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Valet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Valor Film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VeggieTales Tour,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Verona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Versus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Video 44</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Video 44 Acquisition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IL</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Video Technology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VIEW Quebec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Vision Distribution S.p.A.</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Visual Australia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Visual BC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Visual Productions FF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New Zealand</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Visual Quebec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vMOTE,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VN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Voyage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Vudu,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VUE Holding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VUE NewCo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Watch What You Play Music,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WatchBack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WBTS Television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WCAU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Welcome To Hollywood,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WellUp,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Western Sky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WestMarc Development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Asia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Australia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44" w:name="page245"/>
    <w:bookmarkEnd w:id="2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Australia Production Pty Ltd</w:t>
            </w:r>
          </w:p>
        </w:tc>
        <w:tc>
          <w:tcPr>
            <w:tcW w:w="38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Broadway Inc.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California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London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London Production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Oz Investment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Oz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Pacific Rim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Tour Canada Corp.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Tour Managing Partner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Tour Productions LP</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UK Production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Wicked UK Tour Production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Wider Voices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WiFi Funding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WKAQ Holdings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WNJU-TV Broadcasting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NJ</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Working Title Films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Working Title Group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Working Title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Working Title Television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Film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WTTV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WTTV Productions Limited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WWP Productions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WWP2 Films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XF Wireless Investment II,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Xfinity Managed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Xidio,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Xumo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Xumo Services,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YR Production Pty Ltd</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ZAP Television Beteiligungs GmbH</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ZAP Television GmbH &amp; Co. KG</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Znak &amp; Co.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Zoms Productions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r>
        <w:trPr>
          <w:trHeight w:val="171"/>
        </w:trPr>
        <w:tc>
          <w:tcPr>
            <w:tcW w:w="7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Zupp, LLC</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w:t>
            </w:r>
          </w:p>
        </w:tc>
      </w:tr>
    </w:tbl>
    <w:p>
      <w:pPr>
        <w:sectPr>
          <w:pgSz w:w="11900" w:h="16838" w:orient="portrait"/>
          <w:cols w:equalWidth="0" w:num="1">
            <w:col w:w="11300"/>
          </w:cols>
          <w:pgMar w:left="300" w:top="1159" w:right="299" w:bottom="1440" w:gutter="0" w:footer="0" w:header="0"/>
        </w:sectPr>
      </w:pPr>
    </w:p>
    <w:bookmarkStart w:id="245" w:name="page246"/>
    <w:bookmarkEnd w:id="2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7540" w:type="dxa"/>
            <w:vAlign w:val="bottom"/>
          </w:tcPr>
          <w:p>
            <w:pPr>
              <w:spacing w:after="0"/>
              <w:rPr>
                <w:sz w:val="17"/>
                <w:szCs w:val="17"/>
                <w:color w:val="auto"/>
              </w:rPr>
            </w:pPr>
          </w:p>
        </w:tc>
        <w:tc>
          <w:tcPr>
            <w:tcW w:w="3760" w:type="dxa"/>
            <w:vAlign w:val="bottom"/>
          </w:tcPr>
          <w:p>
            <w:pPr>
              <w:ind w:left="3060"/>
              <w:spacing w:after="0"/>
              <w:rPr>
                <w:sz w:val="20"/>
                <w:szCs w:val="20"/>
                <w:color w:val="auto"/>
              </w:rPr>
            </w:pPr>
            <w:r>
              <w:rPr>
                <w:rFonts w:ascii="Times New Roman" w:cs="Times New Roman" w:eastAsia="Times New Roman" w:hAnsi="Times New Roman"/>
                <w:sz w:val="16"/>
                <w:szCs w:val="16"/>
                <w:b w:val="1"/>
                <w:bCs w:val="1"/>
                <w:color w:val="auto"/>
                <w:w w:val="93"/>
              </w:rPr>
              <w:t>Exhibit 22</w:t>
            </w:r>
          </w:p>
        </w:tc>
      </w:tr>
      <w:tr>
        <w:trPr>
          <w:trHeight w:val="265"/>
        </w:trPr>
        <w:tc>
          <w:tcPr>
            <w:tcW w:w="11300" w:type="dxa"/>
            <w:vAlign w:val="bottom"/>
            <w:gridSpan w:val="2"/>
          </w:tcPr>
          <w:p>
            <w:pPr>
              <w:ind w:left="1400"/>
              <w:spacing w:after="0"/>
              <w:rPr>
                <w:sz w:val="20"/>
                <w:szCs w:val="20"/>
                <w:color w:val="auto"/>
              </w:rPr>
            </w:pPr>
            <w:r>
              <w:rPr>
                <w:rFonts w:ascii="Times New Roman" w:cs="Times New Roman" w:eastAsia="Times New Roman" w:hAnsi="Times New Roman"/>
                <w:sz w:val="16"/>
                <w:szCs w:val="16"/>
                <w:b w:val="1"/>
                <w:bCs w:val="1"/>
                <w:color w:val="auto"/>
              </w:rPr>
              <w:t>Subsidiary guarantors and issuers of guaranteed securities and affiliates whose securities collateralize securities of the registrant</w:t>
            </w:r>
          </w:p>
        </w:tc>
      </w:tr>
      <w:tr>
        <w:trPr>
          <w:trHeight w:val="113"/>
        </w:trPr>
        <w:tc>
          <w:tcPr>
            <w:tcW w:w="754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r>
      <w:tr>
        <w:trPr>
          <w:trHeight w:val="215"/>
        </w:trPr>
        <w:tc>
          <w:tcPr>
            <w:tcW w:w="7540" w:type="dxa"/>
            <w:vAlign w:val="bottom"/>
            <w:tcBorders>
              <w:left w:val="single" w:sz="8" w:color="auto"/>
              <w:bottom w:val="single" w:sz="8" w:color="auto"/>
              <w:right w:val="single" w:sz="8" w:color="auto"/>
            </w:tcBorders>
          </w:tcPr>
          <w:p>
            <w:pPr>
              <w:ind w:left="34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3760" w:type="dxa"/>
            <w:vAlign w:val="bottom"/>
            <w:tcBorders>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6"/>
                <w:szCs w:val="16"/>
                <w:b w:val="1"/>
                <w:bCs w:val="1"/>
                <w:color w:val="auto"/>
              </w:rPr>
              <w:t>Guarantor(s)</w:t>
            </w:r>
          </w:p>
        </w:tc>
      </w:tr>
      <w:tr>
        <w:trPr>
          <w:trHeight w:val="214"/>
        </w:trPr>
        <w:tc>
          <w:tcPr>
            <w:tcW w:w="7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Certain debt securities issued by Comcast Corporation under the Senior Indenture dated September 18, 2013, as</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7"/>
              </w:rPr>
              <w:t>Comcast Cable Communications, LLC and NBCUniversal</w:t>
            </w:r>
          </w:p>
        </w:tc>
      </w:tr>
      <w:tr>
        <w:trPr>
          <w:trHeight w:val="191"/>
        </w:trPr>
        <w:tc>
          <w:tcPr>
            <w:tcW w:w="7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supplemented and amended by the First Supplemental Indenture dated November 17, 2015 and the Second</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Media, LLC</w:t>
            </w:r>
          </w:p>
        </w:tc>
      </w:tr>
      <w:tr>
        <w:trPr>
          <w:trHeight w:val="191"/>
        </w:trPr>
        <w:tc>
          <w:tcPr>
            <w:tcW w:w="7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Supplemental Indenture dated as of July 29, 2022. The 0.000% Notes due 2026, 0.250% Notes due 2027, the 1.500%</w:t>
            </w:r>
          </w:p>
        </w:tc>
        <w:tc>
          <w:tcPr>
            <w:tcW w:w="3760" w:type="dxa"/>
            <w:vAlign w:val="bottom"/>
            <w:tcBorders>
              <w:right w:val="single" w:sz="8" w:color="auto"/>
            </w:tcBorders>
          </w:tcPr>
          <w:p>
            <w:pPr>
              <w:spacing w:after="0"/>
              <w:rPr>
                <w:sz w:val="16"/>
                <w:szCs w:val="16"/>
                <w:color w:val="auto"/>
              </w:rPr>
            </w:pPr>
          </w:p>
        </w:tc>
      </w:tr>
      <w:tr>
        <w:trPr>
          <w:trHeight w:val="202"/>
        </w:trPr>
        <w:tc>
          <w:tcPr>
            <w:tcW w:w="7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7"/>
              </w:rPr>
              <w:t>Notes due 2029, the 0.250% Notes due 2029, the 0.750% Notes due 2032, the 1.875% Notes due 2036 and the 1.250%</w:t>
            </w:r>
          </w:p>
        </w:tc>
        <w:tc>
          <w:tcPr>
            <w:tcW w:w="3760" w:type="dxa"/>
            <w:vAlign w:val="bottom"/>
            <w:tcBorders>
              <w:right w:val="single" w:sz="8" w:color="auto"/>
            </w:tcBorders>
          </w:tcPr>
          <w:p>
            <w:pPr>
              <w:spacing w:after="0"/>
              <w:rPr>
                <w:sz w:val="17"/>
                <w:szCs w:val="17"/>
                <w:color w:val="auto"/>
              </w:rPr>
            </w:pPr>
          </w:p>
        </w:tc>
      </w:tr>
      <w:tr>
        <w:trPr>
          <w:trHeight w:val="211"/>
        </w:trPr>
        <w:tc>
          <w:tcPr>
            <w:tcW w:w="75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Notes due 2040 are listed on the Nasdaq Global Market.</w:t>
            </w:r>
          </w:p>
        </w:tc>
        <w:tc>
          <w:tcPr>
            <w:tcW w:w="3760" w:type="dxa"/>
            <w:vAlign w:val="bottom"/>
            <w:tcBorders>
              <w:bottom w:val="single" w:sz="8" w:color="auto"/>
              <w:right w:val="single" w:sz="8" w:color="auto"/>
            </w:tcBorders>
          </w:tcPr>
          <w:p>
            <w:pPr>
              <w:spacing w:after="0"/>
              <w:rPr>
                <w:sz w:val="18"/>
                <w:szCs w:val="18"/>
                <w:color w:val="auto"/>
              </w:rPr>
            </w:pPr>
          </w:p>
        </w:tc>
      </w:tr>
      <w:tr>
        <w:trPr>
          <w:trHeight w:val="214"/>
        </w:trPr>
        <w:tc>
          <w:tcPr>
            <w:tcW w:w="7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Certain debt securities issued by Comcast Corporation under the Indenture, dated January 7, 2003, as supplemented</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7"/>
              </w:rPr>
              <w:t>Comcast Cable Communications, LLC and NBCUniversal</w:t>
            </w:r>
          </w:p>
        </w:tc>
      </w:tr>
      <w:tr>
        <w:trPr>
          <w:trHeight w:val="191"/>
        </w:trPr>
        <w:tc>
          <w:tcPr>
            <w:tcW w:w="7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and amended by the First Supplemental Indenture dated March 25, 2003, the Second Supplemental Indenture dated</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Media, LLC</w:t>
            </w:r>
          </w:p>
        </w:tc>
      </w:tr>
      <w:tr>
        <w:trPr>
          <w:trHeight w:val="191"/>
        </w:trPr>
        <w:tc>
          <w:tcPr>
            <w:tcW w:w="7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August 31, 2009, the Third Supplemental Indenture dated March 27, 2013 and the Fourth Supplemental Indenture</w:t>
            </w:r>
          </w:p>
        </w:tc>
        <w:tc>
          <w:tcPr>
            <w:tcW w:w="3760" w:type="dxa"/>
            <w:vAlign w:val="bottom"/>
            <w:tcBorders>
              <w:right w:val="single" w:sz="8" w:color="auto"/>
            </w:tcBorders>
          </w:tcPr>
          <w:p>
            <w:pPr>
              <w:spacing w:after="0"/>
              <w:rPr>
                <w:sz w:val="16"/>
                <w:szCs w:val="16"/>
                <w:color w:val="auto"/>
              </w:rPr>
            </w:pPr>
          </w:p>
        </w:tc>
      </w:tr>
      <w:tr>
        <w:trPr>
          <w:trHeight w:val="211"/>
        </w:trPr>
        <w:tc>
          <w:tcPr>
            <w:tcW w:w="75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dated October 1, 2015. The 5.50% Notes due 2029 are listed on the New York Stock Exchange.</w:t>
            </w:r>
          </w:p>
        </w:tc>
        <w:tc>
          <w:tcPr>
            <w:tcW w:w="3760" w:type="dxa"/>
            <w:vAlign w:val="bottom"/>
            <w:tcBorders>
              <w:bottom w:val="single" w:sz="8" w:color="auto"/>
              <w:right w:val="single" w:sz="8" w:color="auto"/>
            </w:tcBorders>
          </w:tcPr>
          <w:p>
            <w:pPr>
              <w:spacing w:after="0"/>
              <w:rPr>
                <w:sz w:val="18"/>
                <w:szCs w:val="18"/>
                <w:color w:val="auto"/>
              </w:rPr>
            </w:pPr>
          </w:p>
        </w:tc>
      </w:tr>
      <w:tr>
        <w:trPr>
          <w:trHeight w:val="214"/>
        </w:trPr>
        <w:tc>
          <w:tcPr>
            <w:tcW w:w="7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8"/>
              </w:rPr>
              <w:t>2.0% Exchangeable Subordinated Debentures due 2029 issued by Comcast Holdings Corporation under the Indenture,</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Comcast Corporation</w:t>
            </w:r>
          </w:p>
        </w:tc>
      </w:tr>
      <w:tr>
        <w:trPr>
          <w:trHeight w:val="191"/>
        </w:trPr>
        <w:tc>
          <w:tcPr>
            <w:tcW w:w="7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dated June 15, 1999, as supplemented and amended by the First Supplemental Indenture dated September 12, 2005.</w:t>
            </w:r>
          </w:p>
        </w:tc>
        <w:tc>
          <w:tcPr>
            <w:tcW w:w="3760" w:type="dxa"/>
            <w:vAlign w:val="bottom"/>
            <w:tcBorders>
              <w:right w:val="single" w:sz="8" w:color="auto"/>
            </w:tcBorders>
          </w:tcPr>
          <w:p>
            <w:pPr>
              <w:spacing w:after="0"/>
              <w:rPr>
                <w:sz w:val="16"/>
                <w:szCs w:val="16"/>
                <w:color w:val="auto"/>
              </w:rPr>
            </w:pPr>
          </w:p>
        </w:tc>
      </w:tr>
      <w:tr>
        <w:trPr>
          <w:trHeight w:val="211"/>
        </w:trPr>
        <w:tc>
          <w:tcPr>
            <w:tcW w:w="75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securities are listed on the New York Stock Exchange.</w:t>
            </w:r>
          </w:p>
        </w:tc>
        <w:tc>
          <w:tcPr>
            <w:tcW w:w="376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1300"/>
          </w:cols>
          <w:pgMar w:left="300" w:top="1243" w:right="29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4"/>
          <w:szCs w:val="14"/>
          <w:b w:val="1"/>
          <w:bCs w:val="1"/>
          <w:color w:val="auto"/>
        </w:rPr>
        <w:t>Exhibit 23</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356"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333-266390 on Form S-3 and Registration Statement Nos. 333-104385, 333-121082, 333-123059, 333-130844, 333-130845, 333-130847, 333-150976, 333-161468, 333-174416, 333-174417, 333-179638, 333-183008, 333-193903, 333-210085, 333-212716, 333-224455, 333-224456, 333-232416, 333-239814, 333-253621, 333-262495, 333-273107 and 333-273108 on Form S-8 of our report dated January 31, 2024, relating to the financial statements of Comcast Corporation and the effectiveness of Comcast Corporation's internal control over financial reporting appearing in this Annual Report on Form 10-K for the year ended December 31, 2023.</w:t>
      </w:r>
    </w:p>
    <w:p>
      <w:pPr>
        <w:spacing w:after="0" w:line="25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8297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5">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color w:val="auto"/>
        </w:rPr>
        <w:t>January 31, 2024</w:t>
      </w:r>
    </w:p>
    <w:p>
      <w:pPr>
        <w:sectPr>
          <w:pgSz w:w="11900" w:h="16838" w:orient="portrait"/>
          <w:cols w:equalWidth="0" w:num="1">
            <w:col w:w="11280"/>
          </w:cols>
          <w:pgMar w:left="300" w:top="314" w:right="31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4"/>
          <w:szCs w:val="14"/>
          <w:b w:val="1"/>
          <w:bCs w:val="1"/>
          <w:color w:val="auto"/>
        </w:rPr>
        <w:t>Exhibit 31</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Brian L. Roberts, certify that:</w:t>
      </w:r>
    </w:p>
    <w:p>
      <w:pPr>
        <w:spacing w:after="0" w:line="94" w:lineRule="exact"/>
        <w:rPr>
          <w:sz w:val="20"/>
          <w:szCs w:val="20"/>
          <w:color w:val="auto"/>
        </w:rPr>
      </w:pPr>
    </w:p>
    <w:p>
      <w:pPr>
        <w:ind w:left="520" w:hanging="515"/>
        <w:spacing w:after="0"/>
        <w:tabs>
          <w:tab w:leader="none" w:pos="5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Comcast Corporation;</w:t>
      </w:r>
    </w:p>
    <w:p>
      <w:pPr>
        <w:spacing w:after="0" w:line="93" w:lineRule="exact"/>
        <w:rPr>
          <w:rFonts w:ascii="Times New Roman" w:cs="Times New Roman" w:eastAsia="Times New Roman" w:hAnsi="Times New Roman"/>
          <w:sz w:val="14"/>
          <w:szCs w:val="14"/>
          <w:color w:val="auto"/>
        </w:rPr>
      </w:pPr>
    </w:p>
    <w:p>
      <w:pPr>
        <w:ind w:left="520" w:right="720" w:hanging="515"/>
        <w:spacing w:after="0" w:line="287" w:lineRule="auto"/>
        <w:tabs>
          <w:tab w:leader="none" w:pos="5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right="200" w:hanging="515"/>
        <w:spacing w:after="0" w:line="287" w:lineRule="auto"/>
        <w:tabs>
          <w:tab w:leader="none" w:pos="5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right="40" w:hanging="515"/>
        <w:spacing w:after="0" w:line="287" w:lineRule="auto"/>
        <w:tabs>
          <w:tab w:leader="none" w:pos="5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1020" w:right="360" w:hanging="506"/>
        <w:spacing w:after="0" w:line="270" w:lineRule="auto"/>
        <w:tabs>
          <w:tab w:leader="none" w:pos="1013"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1020" w:right="20" w:hanging="506"/>
        <w:spacing w:after="0" w:line="287" w:lineRule="auto"/>
        <w:tabs>
          <w:tab w:leader="none" w:pos="1010"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13"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jc w:val="both"/>
        <w:ind w:left="1020" w:right="180" w:hanging="506"/>
        <w:spacing w:after="0" w:line="287" w:lineRule="auto"/>
        <w:tabs>
          <w:tab w:leader="none" w:pos="1010"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right="540" w:hanging="515"/>
        <w:spacing w:after="0" w:line="287" w:lineRule="auto"/>
        <w:tabs>
          <w:tab w:leader="none" w:pos="5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20" w:right="560" w:hanging="506"/>
        <w:spacing w:after="0" w:line="287" w:lineRule="auto"/>
        <w:tabs>
          <w:tab w:leader="none" w:pos="1013"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January 31, 2024</w:t>
      </w:r>
    </w:p>
    <w:p>
      <w:pPr>
        <w:spacing w:after="0" w:line="4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8297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6">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1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color w:val="auto"/>
        </w:rPr>
        <w:t>Name: Brian L. Roberts</w:t>
      </w:r>
    </w:p>
    <w:p>
      <w:pPr>
        <w:spacing w:after="0" w:line="2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Title: Chief Executive Officer</w:t>
      </w:r>
    </w:p>
    <w:p>
      <w:pPr>
        <w:sectPr>
          <w:pgSz w:w="11900" w:h="16838" w:orient="portrait"/>
          <w:cols w:equalWidth="0" w:num="1">
            <w:col w:w="11280"/>
          </w:cols>
          <w:pgMar w:left="300" w:top="313" w:right="31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4"/>
          <w:szCs w:val="14"/>
          <w:b w:val="1"/>
          <w:bCs w:val="1"/>
          <w:color w:val="auto"/>
        </w:rPr>
        <w:t>Exhibit 31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Jason S. Armstrong, certify that:</w:t>
      </w:r>
    </w:p>
    <w:p>
      <w:pPr>
        <w:spacing w:after="0" w:line="51" w:lineRule="exact"/>
        <w:rPr>
          <w:sz w:val="20"/>
          <w:szCs w:val="20"/>
          <w:color w:val="auto"/>
        </w:rPr>
      </w:pPr>
    </w:p>
    <w:p>
      <w:pPr>
        <w:ind w:left="520" w:hanging="515"/>
        <w:spacing w:after="0"/>
        <w:tabs>
          <w:tab w:leader="none" w:pos="5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Comcast Corporation;</w:t>
      </w:r>
    </w:p>
    <w:p>
      <w:pPr>
        <w:spacing w:after="0" w:line="93" w:lineRule="exact"/>
        <w:rPr>
          <w:rFonts w:ascii="Times New Roman" w:cs="Times New Roman" w:eastAsia="Times New Roman" w:hAnsi="Times New Roman"/>
          <w:sz w:val="14"/>
          <w:szCs w:val="14"/>
          <w:color w:val="auto"/>
        </w:rPr>
      </w:pPr>
    </w:p>
    <w:p>
      <w:pPr>
        <w:ind w:left="520" w:right="720" w:hanging="515"/>
        <w:spacing w:after="0" w:line="287" w:lineRule="auto"/>
        <w:tabs>
          <w:tab w:leader="none" w:pos="5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right="200" w:hanging="515"/>
        <w:spacing w:after="0" w:line="287" w:lineRule="auto"/>
        <w:tabs>
          <w:tab w:leader="none" w:pos="5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right="40" w:hanging="515"/>
        <w:spacing w:after="0" w:line="287" w:lineRule="auto"/>
        <w:tabs>
          <w:tab w:leader="none" w:pos="5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1020" w:right="360" w:hanging="506"/>
        <w:spacing w:after="0" w:line="270" w:lineRule="auto"/>
        <w:tabs>
          <w:tab w:leader="none" w:pos="1013"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1020" w:right="20" w:hanging="506"/>
        <w:spacing w:after="0" w:line="287" w:lineRule="auto"/>
        <w:tabs>
          <w:tab w:leader="none" w:pos="1010"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13"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jc w:val="both"/>
        <w:ind w:left="1020" w:right="180" w:hanging="506"/>
        <w:spacing w:after="0" w:line="287" w:lineRule="auto"/>
        <w:tabs>
          <w:tab w:leader="none" w:pos="1010"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right="540" w:hanging="515"/>
        <w:spacing w:after="0" w:line="287" w:lineRule="auto"/>
        <w:tabs>
          <w:tab w:leader="none" w:pos="5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20" w:right="560" w:hanging="506"/>
        <w:spacing w:after="0" w:line="287" w:lineRule="auto"/>
        <w:tabs>
          <w:tab w:leader="none" w:pos="1013"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January 31, 2024</w:t>
      </w:r>
    </w:p>
    <w:p>
      <w:pPr>
        <w:spacing w:after="0" w:line="1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8297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7">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Name: Jason S. Armstrong</w:t>
      </w:r>
    </w:p>
    <w:p>
      <w:pPr>
        <w:spacing w:after="0" w:line="2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Title: Chief Financial Officer</w:t>
      </w:r>
    </w:p>
    <w:p>
      <w:pPr>
        <w:sectPr>
          <w:pgSz w:w="11900" w:h="16838" w:orient="portrait"/>
          <w:cols w:equalWidth="0" w:num="1">
            <w:col w:w="11280"/>
          </w:cols>
          <w:pgMar w:left="300" w:top="314" w:right="31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906 OF THE SARBANES-OXLEY ACT</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January 31,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20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Brian L. Roberts, the Chief Executive Officer and Jason S. Armstrong, the Chief Financial Officer of Comcast Corporation, each certifies that, to the best of his knowledge:</w:t>
      </w:r>
    </w:p>
    <w:p>
      <w:pPr>
        <w:spacing w:after="0" w:line="200" w:lineRule="exact"/>
        <w:rPr>
          <w:sz w:val="20"/>
          <w:szCs w:val="20"/>
          <w:color w:val="auto"/>
        </w:rPr>
      </w:pPr>
    </w:p>
    <w:p>
      <w:pPr>
        <w:ind w:left="520" w:hanging="515"/>
        <w:spacing w:after="0"/>
        <w:tabs>
          <w:tab w:leader="none" w:pos="5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Exchange Act; and</w:t>
      </w:r>
    </w:p>
    <w:p>
      <w:pPr>
        <w:spacing w:after="0" w:line="23"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Comcast Corporation.</w:t>
      </w:r>
    </w:p>
    <w:p>
      <w:pPr>
        <w:spacing w:after="0" w:line="21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14605</wp:posOffset>
            </wp:positionV>
            <wp:extent cx="3482975"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8">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1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Name: Brian L. Roberts</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30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14605</wp:posOffset>
            </wp:positionV>
            <wp:extent cx="348297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9">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1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color w:val="auto"/>
        </w:rPr>
        <w:t>Name: Jason S. Armstrong</w:t>
      </w:r>
    </w:p>
    <w:p>
      <w:pPr>
        <w:spacing w:after="0" w:line="2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color w:val="auto"/>
        </w:rPr>
        <w:t>Title: Chief Financial Officer</w:t>
      </w:r>
    </w:p>
    <w:p>
      <w:pPr>
        <w:sectPr>
          <w:pgSz w:w="11900" w:h="16838" w:orient="portrait"/>
          <w:cols w:equalWidth="0" w:num="1">
            <w:col w:w="11280"/>
          </w:cols>
          <w:pgMar w:left="300" w:top="314" w:right="319" w:bottom="1440" w:gutter="0" w:footer="0" w:header="0"/>
        </w:sectPr>
      </w:pPr>
    </w:p>
    <w:bookmarkStart w:id="250" w:name="page251"/>
    <w:bookmarkEnd w:id="250"/>
    <w:p>
      <w:pPr>
        <w:jc w:val="right"/>
        <w:spacing w:after="0"/>
        <w:rPr>
          <w:sz w:val="20"/>
          <w:szCs w:val="20"/>
          <w:color w:val="auto"/>
        </w:rPr>
      </w:pPr>
      <w:r>
        <w:rPr>
          <w:rFonts w:ascii="Arial" w:cs="Arial" w:eastAsia="Arial" w:hAnsi="Arial"/>
          <w:sz w:val="14"/>
          <w:szCs w:val="14"/>
          <w:b w:val="1"/>
          <w:bCs w:val="1"/>
          <w:color w:val="auto"/>
        </w:rPr>
        <w:t>Exhibit 97</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COMCAST CORPORATION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Recoupment Policy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(Effective As of October 2, 2023)</w:t>
      </w:r>
    </w:p>
    <w:p>
      <w:pPr>
        <w:spacing w:after="0" w:line="369" w:lineRule="exact"/>
        <w:rPr>
          <w:sz w:val="20"/>
          <w:szCs w:val="20"/>
          <w:color w:val="auto"/>
        </w:rPr>
      </w:pPr>
    </w:p>
    <w:p>
      <w:pPr>
        <w:ind w:right="100"/>
        <w:spacing w:after="0" w:line="279" w:lineRule="auto"/>
        <w:rPr>
          <w:sz w:val="20"/>
          <w:szCs w:val="20"/>
          <w:color w:val="auto"/>
        </w:rPr>
      </w:pPr>
      <w:r>
        <w:rPr>
          <w:rFonts w:ascii="Arial" w:cs="Arial" w:eastAsia="Arial" w:hAnsi="Arial"/>
          <w:sz w:val="14"/>
          <w:szCs w:val="14"/>
          <w:color w:val="auto"/>
        </w:rPr>
        <w:t>This Recoupment Policy (“Policy”) has been adopted by the Board of Directors (the “Board”) and Compensation and Human Capital Committee (“CHC Committee”) of the Board of Comcast Corporation (the “Company”). This Policy requires the recoupment of certain executive compensation in the event of an accounting restatement resulting from material noncompliance with financial reporting requirements under U.S. federal securities laws as set forth below.</w:t>
      </w:r>
    </w:p>
    <w:p>
      <w:pPr>
        <w:spacing w:after="0" w:line="160"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color w:val="auto"/>
        </w:rPr>
        <w:t>If the Company is required to seek to recover incentive-based compensation awards (including any amounts determined based on or otherwise calculated therefrom) (“Awards”) received by any Covered Executive Officer (as defined below) pursuant to Rule 10D-1 of the Securities Exchange Act of 1934 (the “Exchange Act”), as implemented pursuant to Nasdaq Listing Rule 5608 (or any other applicable Nasdaq listing standard, the “Nasdaq Rules”), as a result of (i) a restatement that corrects errors that are material to previously issued financial statements or (ii) a restatement that corrects errors that are not material to previously issued financial statements but would result in a material misstatement if the errors were left uncorrected in the current report or the error correction was recognized in the current period, the applicable Awards (including any amounts or benefits arising therefrom) shall be canceled, forfeited or required to be repaid by such Covered Executive Officer to the Company to the extent required under the Nasdaq Rules.</w:t>
      </w:r>
    </w:p>
    <w:p>
      <w:pPr>
        <w:spacing w:after="0" w:line="165" w:lineRule="exact"/>
        <w:rPr>
          <w:sz w:val="20"/>
          <w:szCs w:val="20"/>
          <w:color w:val="auto"/>
        </w:rPr>
      </w:pPr>
    </w:p>
    <w:p>
      <w:pPr>
        <w:ind w:right="420"/>
        <w:spacing w:after="0" w:line="306" w:lineRule="auto"/>
        <w:rPr>
          <w:sz w:val="20"/>
          <w:szCs w:val="20"/>
          <w:color w:val="auto"/>
        </w:rPr>
      </w:pPr>
      <w:r>
        <w:rPr>
          <w:rFonts w:ascii="Arial" w:cs="Arial" w:eastAsia="Arial" w:hAnsi="Arial"/>
          <w:sz w:val="14"/>
          <w:szCs w:val="14"/>
          <w:color w:val="auto"/>
        </w:rPr>
        <w:t>For purposes of this policy, “Covered Executive Officers” means the officers of the Company as determined under Rule 16a-1(f) under the Exchange Act, including any former officers who served in such roles during the period covered by the Nasdaq Rules.</w:t>
      </w:r>
    </w:p>
    <w:p>
      <w:pPr>
        <w:spacing w:after="0" w:line="131" w:lineRule="exact"/>
        <w:rPr>
          <w:sz w:val="20"/>
          <w:szCs w:val="20"/>
          <w:color w:val="auto"/>
        </w:rPr>
      </w:pPr>
    </w:p>
    <w:p>
      <w:pPr>
        <w:ind w:right="80"/>
        <w:spacing w:after="0" w:line="276" w:lineRule="auto"/>
        <w:rPr>
          <w:sz w:val="20"/>
          <w:szCs w:val="20"/>
          <w:color w:val="auto"/>
        </w:rPr>
      </w:pPr>
      <w:r>
        <w:rPr>
          <w:rFonts w:ascii="Arial" w:cs="Arial" w:eastAsia="Arial" w:hAnsi="Arial"/>
          <w:sz w:val="14"/>
          <w:szCs w:val="14"/>
          <w:color w:val="auto"/>
        </w:rPr>
        <w:t>Any applicable agreement or other document setting forth the terms and conditions of any compensation covered by this Policy shall be deemed to include the restrictions imposed herein and to incorporate this Policy by reference and, in the event of any inconsistency, the terms of this Policy will govern. For the avoidance of doubt, this Policy applies to all compensation that is received on or after the effective date of the Nasdaq Rules, regardless of the date on which the agreement or other document setting forth the terms and conditions of the Covered Executive Officer’s compensation became effective.</w:t>
      </w:r>
    </w:p>
    <w:p>
      <w:pPr>
        <w:spacing w:after="0" w:line="161"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This Policy shall be administered by the CHC Committee. The CHC Committee shall have full power and authority to (i) administer and interpret this Policy, (ii) correct any defect, supply any omission and reconcile any inconsistency in this Policy and (iii) make any other determination and take any other action that it deems necessary or desirable for the administration of this Policy and to comply with applicable law (including Section 10D of the Exchange Act) and applicable stock market or exchange rules and regulations (including Section 5608 of the Nasdaq Listing Rules). Notwithstanding anything to the contrary contained herein, to the extent permitted by Section 10D of the Exchange Act and Section 5608 of the Nasdaq Listing Rules, the Board may, in its sole discretion, at any time and from time to time, administer this Policy. The action permitted to be taken by the CHC Committee or the Board under this Policy is in addition to any and all other rights of the Company with respect to the clawback or recoupment of any compensation under applicable law and contract.</w:t>
      </w:r>
    </w:p>
    <w:p>
      <w:pPr>
        <w:spacing w:after="0" w:line="159" w:lineRule="exact"/>
        <w:rPr>
          <w:sz w:val="20"/>
          <w:szCs w:val="20"/>
          <w:color w:val="auto"/>
        </w:rPr>
      </w:pPr>
    </w:p>
    <w:p>
      <w:pPr>
        <w:jc w:val="both"/>
        <w:ind w:right="540"/>
        <w:spacing w:after="0" w:line="287" w:lineRule="auto"/>
        <w:rPr>
          <w:sz w:val="20"/>
          <w:szCs w:val="20"/>
          <w:color w:val="auto"/>
        </w:rPr>
      </w:pPr>
      <w:r>
        <w:rPr>
          <w:rFonts w:ascii="Arial" w:cs="Arial" w:eastAsia="Arial" w:hAnsi="Arial"/>
          <w:sz w:val="14"/>
          <w:szCs w:val="14"/>
          <w:color w:val="auto"/>
        </w:rPr>
        <w:t>This Policy shall be binding and enforceable against all Covered Executives and their beneficiaries, heirs, executors, administrators or other legal representatives. All issues concerning the construction, validity, enforcement and interpretation of this Policy and all related documents, including any employment agreement, offer letter, equity award agreement or similar agreement, shall be governed by, and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1</w:t>
      </w:r>
    </w:p>
    <w:p>
      <w:pPr>
        <w:sectPr>
          <w:pgSz w:w="11900" w:h="16838" w:orient="portrait"/>
          <w:cols w:equalWidth="0" w:num="1">
            <w:col w:w="11280"/>
          </w:cols>
          <w:pgMar w:left="300" w:top="1249" w:right="319" w:bottom="1440" w:gutter="0" w:footer="0" w:header="0"/>
        </w:sectPr>
      </w:pPr>
    </w:p>
    <w:bookmarkStart w:id="251" w:name="page252"/>
    <w:bookmarkEnd w:id="251"/>
    <w:p>
      <w:pPr>
        <w:ind w:right="500"/>
        <w:spacing w:after="0" w:line="290" w:lineRule="auto"/>
        <w:rPr>
          <w:sz w:val="20"/>
          <w:szCs w:val="20"/>
          <w:color w:val="auto"/>
        </w:rPr>
      </w:pPr>
      <w:r>
        <w:rPr>
          <w:rFonts w:ascii="Arial" w:cs="Arial" w:eastAsia="Arial" w:hAnsi="Arial"/>
          <w:sz w:val="14"/>
          <w:szCs w:val="14"/>
          <w:color w:val="auto"/>
        </w:rPr>
        <w:t>construed in accordance with, the laws of the Commonwealth of Pennsylvania, without giving effect to any choice of law or conflict of law rules or provisions (whether of the Commonwealth of Pennsylvania or any other jurisdiction) that would cause the application of the laws of any other jurisdiction.</w:t>
      </w:r>
    </w:p>
    <w:p>
      <w:pPr>
        <w:spacing w:after="0" w:line="152"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This Policy is intended to comply with the requirements of Section 10D of the Exchange Act and Section 5608 of the Nasdaq Listing Rules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Calibri" w:cs="Calibri" w:eastAsia="Calibri" w:hAnsi="Calibri"/>
          <w:sz w:val="16"/>
          <w:szCs w:val="16"/>
          <w:color w:val="auto"/>
        </w:rPr>
        <w:t>2</w:t>
      </w:r>
    </w:p>
    <w:sectPr>
      <w:pgSz w:w="11900" w:h="16838" w:orient="portrait"/>
      <w:cols w:equalWidth="0" w:num="1">
        <w:col w:w="11200"/>
      </w:cols>
      <w:pgMar w:left="300" w:top="126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
      <w:numFmt w:val="bullet"/>
      <w:start w:val="1"/>
    </w:lvl>
    <w:lvl w:ilvl="1">
      <w:lvlJc w:val="left"/>
      <w:lvlText w:val="◦"/>
      <w:numFmt w:val="bullet"/>
      <w:start w:val="1"/>
    </w:lvl>
  </w:abstractNum>
  <w:abstractNum w:abstractNumId="4">
    <w:nsid w:val="488AC1A"/>
    <w:multiLevelType w:val="hybridMultilevel"/>
    <w:lvl w:ilvl="0">
      <w:lvlJc w:val="left"/>
      <w:lvlText w:val="•"/>
      <w:numFmt w:val="bullet"/>
      <w:start w:val="1"/>
    </w:lvl>
    <w:lvl w:ilvl="1">
      <w:lvlJc w:val="left"/>
      <w:lvlText w:val="◦"/>
      <w:numFmt w:val="bullet"/>
      <w:start w:val="1"/>
    </w:lvl>
  </w:abstractNum>
  <w:abstractNum w:abstractNumId="5">
    <w:nsid w:val="5FB8011C"/>
    <w:multiLevelType w:val="hybridMultilevel"/>
    <w:lvl w:ilvl="0">
      <w:lvlJc w:val="left"/>
      <w:lvlText w:val="•"/>
      <w:numFmt w:val="bullet"/>
      <w:start w:val="1"/>
    </w:lvl>
  </w:abstractNum>
  <w:abstractNum w:abstractNumId="6">
    <w:nsid w:val="6AA78F7F"/>
    <w:multiLevelType w:val="hybridMultilevel"/>
    <w:lvl w:ilvl="0">
      <w:lvlJc w:val="left"/>
      <w:lvlText w:val="(%1)"/>
      <w:numFmt w:val="lowerLetter"/>
      <w:start w:val="1"/>
    </w:lvl>
  </w:abstractNum>
  <w:abstractNum w:abstractNumId="7">
    <w:nsid w:val="7672BD23"/>
    <w:multiLevelType w:val="hybridMultilevel"/>
    <w:lvl w:ilvl="0">
      <w:lvlJc w:val="left"/>
      <w:lvlText w:val="(%1)"/>
      <w:numFmt w:val="lowerLetter"/>
      <w:start w:val="1"/>
    </w:lvl>
  </w:abstractNum>
  <w:abstractNum w:abstractNumId="8">
    <w:nsid w:val="6FC75AF8"/>
    <w:multiLevelType w:val="hybridMultilevel"/>
    <w:lvl w:ilvl="0">
      <w:lvlJc w:val="left"/>
      <w:lvlText w:val="•"/>
      <w:numFmt w:val="bullet"/>
      <w:start w:val="1"/>
    </w:lvl>
  </w:abstractNum>
  <w:abstractNum w:abstractNumId="9">
    <w:nsid w:val="6A5F7029"/>
    <w:multiLevelType w:val="hybridMultilevel"/>
    <w:lvl w:ilvl="0">
      <w:lvlJc w:val="left"/>
      <w:lvlText w:val="•"/>
      <w:numFmt w:val="bullet"/>
      <w:start w:val="1"/>
    </w:lvl>
  </w:abstractNum>
  <w:abstractNum w:abstractNumId="10">
    <w:nsid w:val="7D5E18F8"/>
    <w:multiLevelType w:val="hybridMultilevel"/>
    <w:lvl w:ilvl="0">
      <w:lvlJc w:val="left"/>
      <w:lvlText w:val="•"/>
      <w:numFmt w:val="bullet"/>
      <w:start w:val="1"/>
    </w:lvl>
  </w:abstractNum>
  <w:abstractNum w:abstractNumId="11">
    <w:nsid w:val="5F3534A4"/>
    <w:multiLevelType w:val="hybridMultilevel"/>
    <w:lvl w:ilvl="0">
      <w:lvlJc w:val="left"/>
      <w:lvlText w:val="•"/>
      <w:numFmt w:val="bullet"/>
      <w:start w:val="1"/>
    </w:lvl>
  </w:abstractNum>
  <w:abstractNum w:abstractNumId="12">
    <w:nsid w:val="73A1821B"/>
    <w:multiLevelType w:val="hybridMultilevel"/>
    <w:lvl w:ilvl="0">
      <w:lvlJc w:val="left"/>
      <w:lvlText w:val="•"/>
      <w:numFmt w:val="bullet"/>
      <w:start w:val="1"/>
    </w:lvl>
  </w:abstractNum>
  <w:abstractNum w:abstractNumId="13">
    <w:nsid w:val="7DE67713"/>
    <w:multiLevelType w:val="hybridMultilevel"/>
    <w:lvl w:ilvl="0">
      <w:lvlJc w:val="left"/>
      <w:lvlText w:val="•"/>
      <w:numFmt w:val="bullet"/>
      <w:start w:val="1"/>
    </w:lvl>
  </w:abstractNum>
  <w:abstractNum w:abstractNumId="14">
    <w:nsid w:val="555C55B5"/>
    <w:multiLevelType w:val="hybridMultilevel"/>
    <w:lvl w:ilvl="0">
      <w:lvlJc w:val="left"/>
      <w:lvlText w:val="•"/>
      <w:numFmt w:val="bullet"/>
      <w:start w:val="1"/>
    </w:lvl>
  </w:abstractNum>
  <w:abstractNum w:abstractNumId="15">
    <w:nsid w:val="3FA62ACA"/>
    <w:multiLevelType w:val="hybridMultilevel"/>
    <w:lvl w:ilvl="0">
      <w:lvlJc w:val="left"/>
      <w:lvlText w:val="•"/>
      <w:numFmt w:val="bullet"/>
      <w:start w:val="1"/>
    </w:lvl>
  </w:abstractNum>
  <w:abstractNum w:abstractNumId="16">
    <w:nsid w:val="14FCE74E"/>
    <w:multiLevelType w:val="hybridMultilevel"/>
    <w:lvl w:ilvl="0">
      <w:lvlJc w:val="left"/>
      <w:lvlText w:val="•"/>
      <w:numFmt w:val="bullet"/>
      <w:start w:val="1"/>
    </w:lvl>
  </w:abstractNum>
  <w:abstractNum w:abstractNumId="17">
    <w:nsid w:val="6A3DD3E8"/>
    <w:multiLevelType w:val="hybridMultilevel"/>
    <w:lvl w:ilvl="0">
      <w:lvlJc w:val="left"/>
      <w:lvlText w:val="(%1)"/>
      <w:numFmt w:val="lowerLetter"/>
      <w:start w:val="1"/>
    </w:lvl>
  </w:abstractNum>
  <w:abstractNum w:abstractNumId="18">
    <w:nsid w:val="71C91298"/>
    <w:multiLevelType w:val="hybridMultilevel"/>
    <w:lvl w:ilvl="0">
      <w:lvlJc w:val="left"/>
      <w:lvlText w:val="(%1)"/>
      <w:numFmt w:val="lowerLetter"/>
      <w:start w:val="1"/>
    </w:lvl>
  </w:abstractNum>
  <w:abstractNum w:abstractNumId="19">
    <w:nsid w:val="9DAF632"/>
    <w:multiLevelType w:val="hybridMultilevel"/>
    <w:lvl w:ilvl="0">
      <w:lvlJc w:val="left"/>
      <w:lvlText w:val="(%1)"/>
      <w:numFmt w:val="lowerLetter"/>
      <w:start w:val="1"/>
    </w:lvl>
  </w:abstractNum>
  <w:abstractNum w:abstractNumId="20">
    <w:nsid w:val="53299938"/>
    <w:multiLevelType w:val="hybridMultilevel"/>
    <w:lvl w:ilvl="0">
      <w:lvlJc w:val="left"/>
      <w:lvlText w:val="(%1)"/>
      <w:numFmt w:val="lowerLetter"/>
      <w:start w:val="1"/>
    </w:lvl>
  </w:abstractNum>
  <w:abstractNum w:abstractNumId="21">
    <w:nsid w:val="1FBFE8E0"/>
    <w:multiLevelType w:val="hybridMultilevel"/>
    <w:lvl w:ilvl="0">
      <w:lvlJc w:val="left"/>
      <w:lvlText w:val="•"/>
      <w:numFmt w:val="bullet"/>
      <w:start w:val="1"/>
    </w:lvl>
  </w:abstractNum>
  <w:abstractNum w:abstractNumId="22">
    <w:nsid w:val="5092CA79"/>
    <w:multiLevelType w:val="hybridMultilevel"/>
    <w:lvl w:ilvl="0">
      <w:lvlJc w:val="left"/>
      <w:lvlText w:val="•"/>
      <w:numFmt w:val="bullet"/>
      <w:start w:val="1"/>
    </w:lvl>
  </w:abstractNum>
  <w:abstractNum w:abstractNumId="23">
    <w:nsid w:val="1D545C4D"/>
    <w:multiLevelType w:val="hybridMultilevel"/>
    <w:lvl w:ilvl="0">
      <w:lvlJc w:val="left"/>
      <w:lvlText w:val="•"/>
      <w:numFmt w:val="bullet"/>
      <w:start w:val="1"/>
    </w:lvl>
  </w:abstractNum>
  <w:abstractNum w:abstractNumId="24">
    <w:nsid w:val="59ADEA3D"/>
    <w:multiLevelType w:val="hybridMultilevel"/>
    <w:lvl w:ilvl="0">
      <w:lvlJc w:val="left"/>
      <w:lvlText w:val="•"/>
      <w:numFmt w:val="bullet"/>
      <w:start w:val="1"/>
    </w:lvl>
  </w:abstractNum>
  <w:abstractNum w:abstractNumId="25">
    <w:nsid w:val="288F1A34"/>
    <w:multiLevelType w:val="hybridMultilevel"/>
    <w:lvl w:ilvl="0">
      <w:lvlJc w:val="left"/>
      <w:lvlText w:val="•"/>
      <w:numFmt w:val="bullet"/>
      <w:start w:val="1"/>
    </w:lvl>
  </w:abstractNum>
  <w:abstractNum w:abstractNumId="26">
    <w:nsid w:val="2A155DBC"/>
    <w:multiLevelType w:val="hybridMultilevel"/>
    <w:lvl w:ilvl="0">
      <w:lvlJc w:val="left"/>
      <w:lvlText w:val="(%1)"/>
      <w:numFmt w:val="lowerLetter"/>
      <w:start w:val="1"/>
    </w:lvl>
  </w:abstractNum>
  <w:abstractNum w:abstractNumId="27">
    <w:nsid w:val="1D9F6E5F"/>
    <w:multiLevelType w:val="hybridMultilevel"/>
    <w:lvl w:ilvl="0">
      <w:lvlJc w:val="left"/>
      <w:lvlText w:val="(%1)"/>
      <w:numFmt w:val="lowerLetter"/>
      <w:start w:val="1"/>
    </w:lvl>
  </w:abstractNum>
  <w:abstractNum w:abstractNumId="28">
    <w:nsid w:val="97E1B4E"/>
    <w:multiLevelType w:val="hybridMultilevel"/>
    <w:lvl w:ilvl="0">
      <w:lvlJc w:val="left"/>
      <w:lvlText w:val="(%1)"/>
      <w:numFmt w:val="lowerLetter"/>
      <w:start w:val="1"/>
    </w:lvl>
  </w:abstractNum>
  <w:abstractNum w:abstractNumId="29">
    <w:nsid w:val="51088277"/>
    <w:multiLevelType w:val="hybridMultilevel"/>
    <w:lvl w:ilvl="0">
      <w:lvlJc w:val="left"/>
      <w:lvlText w:val="(%1)"/>
      <w:numFmt w:val="lowerLetter"/>
      <w:start w:val="1"/>
    </w:lvl>
  </w:abstractNum>
  <w:abstractNum w:abstractNumId="30">
    <w:nsid w:val="1CA0C5FA"/>
    <w:multiLevelType w:val="hybridMultilevel"/>
    <w:lvl w:ilvl="0">
      <w:lvlJc w:val="left"/>
      <w:lvlText w:val="(%1)"/>
      <w:numFmt w:val="lowerLetter"/>
      <w:start w:val="1"/>
    </w:lvl>
  </w:abstractNum>
  <w:abstractNum w:abstractNumId="31">
    <w:nsid w:val="53584BCB"/>
    <w:multiLevelType w:val="hybridMultilevel"/>
    <w:lvl w:ilvl="0">
      <w:lvlJc w:val="left"/>
      <w:lvlText w:val="(%1)"/>
      <w:numFmt w:val="lowerLetter"/>
      <w:start w:val="1"/>
    </w:lvl>
  </w:abstractNum>
  <w:abstractNum w:abstractNumId="32">
    <w:nsid w:val="415E286C"/>
    <w:multiLevelType w:val="hybridMultilevel"/>
    <w:lvl w:ilvl="0">
      <w:lvlJc w:val="left"/>
      <w:lvlText w:val="(%1)"/>
      <w:numFmt w:val="lowerLetter"/>
      <w:start w:val="1"/>
    </w:lvl>
  </w:abstractNum>
  <w:abstractNum w:abstractNumId="33">
    <w:nsid w:val="7C58FD05"/>
    <w:multiLevelType w:val="hybridMultilevel"/>
    <w:lvl w:ilvl="0">
      <w:lvlJc w:val="left"/>
      <w:lvlText w:val="(%1)"/>
      <w:numFmt w:val="lowerLetter"/>
      <w:start w:val="1"/>
    </w:lvl>
  </w:abstractNum>
  <w:abstractNum w:abstractNumId="34">
    <w:nsid w:val="23D86AAC"/>
    <w:multiLevelType w:val="hybridMultilevel"/>
    <w:lvl w:ilvl="0">
      <w:lvlJc w:val="left"/>
      <w:lvlText w:val="•"/>
      <w:numFmt w:val="bullet"/>
      <w:start w:val="1"/>
    </w:lvl>
  </w:abstractNum>
  <w:abstractNum w:abstractNumId="35">
    <w:nsid w:val="45E6D486"/>
    <w:multiLevelType w:val="hybridMultilevel"/>
    <w:lvl w:ilvl="0">
      <w:lvlJc w:val="left"/>
      <w:lvlText w:val="•"/>
      <w:numFmt w:val="bullet"/>
      <w:start w:val="1"/>
    </w:lvl>
    <w:lvl w:ilvl="1">
      <w:lvlJc w:val="left"/>
      <w:lvlText w:val="◦"/>
      <w:numFmt w:val="bullet"/>
      <w:start w:val="1"/>
    </w:lvl>
  </w:abstractNum>
  <w:abstractNum w:abstractNumId="36">
    <w:nsid w:val="5C10FE21"/>
    <w:multiLevelType w:val="hybridMultilevel"/>
    <w:lvl w:ilvl="0">
      <w:lvlJc w:val="left"/>
      <w:lvlText w:val="•"/>
      <w:numFmt w:val="bullet"/>
      <w:start w:val="1"/>
    </w:lvl>
    <w:lvl w:ilvl="1">
      <w:lvlJc w:val="left"/>
      <w:lvlText w:val="◦"/>
      <w:numFmt w:val="bullet"/>
      <w:start w:val="1"/>
    </w:lvl>
  </w:abstractNum>
  <w:abstractNum w:abstractNumId="37">
    <w:nsid w:val="E7FFA2B"/>
    <w:multiLevelType w:val="hybridMultilevel"/>
    <w:lvl w:ilvl="0">
      <w:lvlJc w:val="left"/>
      <w:lvlText w:val="•"/>
      <w:numFmt w:val="bullet"/>
      <w:start w:val="1"/>
    </w:lvl>
  </w:abstractNum>
  <w:abstractNum w:abstractNumId="38">
    <w:nsid w:val="3C5991AA"/>
    <w:multiLevelType w:val="hybridMultilevel"/>
    <w:lvl w:ilvl="0">
      <w:lvlJc w:val="left"/>
      <w:lvlText w:val="•"/>
      <w:numFmt w:val="bullet"/>
      <w:start w:val="1"/>
    </w:lvl>
  </w:abstractNum>
  <w:abstractNum w:abstractNumId="39">
    <w:nsid w:val="4BD8591A"/>
    <w:multiLevelType w:val="hybridMultilevel"/>
    <w:lvl w:ilvl="0">
      <w:lvlJc w:val="left"/>
      <w:lvlText w:val="(%1)"/>
      <w:numFmt w:val="lowerLetter"/>
      <w:start w:val="1"/>
    </w:lvl>
  </w:abstractNum>
  <w:abstractNum w:abstractNumId="40">
    <w:nsid w:val="78DF6A55"/>
    <w:multiLevelType w:val="hybridMultilevel"/>
    <w:lvl w:ilvl="0">
      <w:lvlJc w:val="left"/>
      <w:lvlText w:val="(%1)"/>
      <w:numFmt w:val="lowerLetter"/>
      <w:start w:val="2"/>
    </w:lvl>
  </w:abstractNum>
  <w:abstractNum w:abstractNumId="41">
    <w:nsid w:val="39B7AAA2"/>
    <w:multiLevelType w:val="hybridMultilevel"/>
    <w:lvl w:ilvl="0">
      <w:lvlJc w:val="left"/>
      <w:lvlText w:val="(%1)"/>
      <w:numFmt w:val="lowerLetter"/>
      <w:start w:val="1"/>
    </w:lvl>
  </w:abstractNum>
  <w:abstractNum w:abstractNumId="42">
    <w:nsid w:val="2B0D8DBE"/>
    <w:multiLevelType w:val="hybridMultilevel"/>
    <w:lvl w:ilvl="0">
      <w:lvlJc w:val="left"/>
      <w:lvlText w:val="•"/>
      <w:numFmt w:val="bullet"/>
      <w:start w:val="1"/>
    </w:lvl>
  </w:abstractNum>
  <w:abstractNum w:abstractNumId="43">
    <w:nsid w:val="6C80EC70"/>
    <w:multiLevelType w:val="hybridMultilevel"/>
    <w:lvl w:ilvl="0">
      <w:lvlJc w:val="left"/>
      <w:lvlText w:val="•"/>
      <w:numFmt w:val="bullet"/>
      <w:start w:val="1"/>
    </w:lvl>
  </w:abstractNum>
  <w:abstractNum w:abstractNumId="44">
    <w:nsid w:val="379E21B5"/>
    <w:multiLevelType w:val="hybridMultilevel"/>
    <w:lvl w:ilvl="0">
      <w:lvlJc w:val="left"/>
      <w:lvlText w:val="(%1)"/>
      <w:numFmt w:val="lowerLetter"/>
      <w:start w:val="1"/>
    </w:lvl>
  </w:abstractNum>
  <w:abstractNum w:abstractNumId="45">
    <w:nsid w:val="69E373"/>
    <w:multiLevelType w:val="hybridMultilevel"/>
    <w:lvl w:ilvl="0">
      <w:lvlJc w:val="left"/>
      <w:lvlText w:val="%1"/>
      <w:numFmt w:val="decimal"/>
      <w:start w:val="21"/>
    </w:lvl>
  </w:abstractNum>
  <w:abstractNum w:abstractNumId="46">
    <w:nsid w:val="2C27173B"/>
    <w:multiLevelType w:val="hybridMultilevel"/>
    <w:lvl w:ilvl="0">
      <w:lvlJc w:val="left"/>
      <w:lvlText w:val="%1"/>
      <w:numFmt w:val="decimal"/>
      <w:start w:val="31"/>
    </w:lvl>
  </w:abstractNum>
  <w:abstractNum w:abstractNumId="47">
    <w:nsid w:val="4C9B0904"/>
    <w:multiLevelType w:val="hybridMultilevel"/>
    <w:lvl w:ilvl="0">
      <w:lvlJc w:val="left"/>
      <w:lvlText w:val="%1"/>
      <w:numFmt w:val="decimal"/>
      <w:start w:val="97"/>
    </w:lvl>
  </w:abstractNum>
  <w:abstractNum w:abstractNumId="48">
    <w:nsid w:val="6AA7B75C"/>
    <w:multiLevelType w:val="hybridMultilevel"/>
    <w:lvl w:ilvl="0">
      <w:lvlJc w:val="left"/>
      <w:lvlText w:val="%1"/>
      <w:numFmt w:val="decimal"/>
      <w:start w:val="101"/>
    </w:lvl>
  </w:abstractNum>
  <w:abstractNum w:abstractNumId="49">
    <w:nsid w:val="1DF029D3"/>
    <w:multiLevelType w:val="hybridMultilevel"/>
    <w:lvl w:ilvl="0">
      <w:lvlJc w:val="left"/>
      <w:lvlText w:val="*"/>
      <w:numFmt w:val="bullet"/>
      <w:start w:val="1"/>
    </w:lvl>
  </w:abstractNum>
  <w:abstractNum w:abstractNumId="50">
    <w:nsid w:val="5675FF36"/>
    <w:multiLevelType w:val="hybridMultilevel"/>
    <w:lvl w:ilvl="0">
      <w:lvlJc w:val="left"/>
      <w:lvlText w:val="(%1)"/>
      <w:numFmt w:val="decimal"/>
      <w:start w:val="1"/>
    </w:lvl>
  </w:abstractNum>
  <w:abstractNum w:abstractNumId="51">
    <w:nsid w:val="3DD15094"/>
    <w:multiLevelType w:val="hybridMultilevel"/>
    <w:lvl w:ilvl="0">
      <w:lvlJc w:val="left"/>
      <w:lvlText w:val="(%1)"/>
      <w:numFmt w:val="decimal"/>
      <w:start w:val="2"/>
    </w:lvl>
  </w:abstractNum>
  <w:abstractNum w:abstractNumId="52">
    <w:nsid w:val="3DB012B3"/>
    <w:multiLevelType w:val="hybridMultilevel"/>
    <w:lvl w:ilvl="0">
      <w:lvlJc w:val="left"/>
      <w:lvlText w:val="•"/>
      <w:numFmt w:val="bullet"/>
      <w:start w:val="1"/>
    </w:lvl>
  </w:abstractNum>
  <w:abstractNum w:abstractNumId="53">
    <w:nsid w:val="2708C9AF"/>
    <w:multiLevelType w:val="hybridMultilevel"/>
    <w:lvl w:ilvl="0">
      <w:lvlJc w:val="left"/>
      <w:lvlText w:val="(%1)"/>
      <w:numFmt w:val="decimal"/>
      <w:start w:val="1"/>
    </w:lvl>
  </w:abstractNum>
  <w:abstractNum w:abstractNumId="54">
    <w:nsid w:val="5B25ACE2"/>
    <w:multiLevelType w:val="hybridMultilevel"/>
    <w:lvl w:ilvl="0">
      <w:lvlJc w:val="left"/>
      <w:lvlText w:val="•"/>
      <w:numFmt w:val="bullet"/>
      <w:start w:val="1"/>
    </w:lvl>
  </w:abstractNum>
  <w:abstractNum w:abstractNumId="55">
    <w:nsid w:val="175DFCF0"/>
    <w:multiLevelType w:val="hybridMultilevel"/>
    <w:lvl w:ilvl="0">
      <w:lvlJc w:val="left"/>
      <w:lvlText w:val="•"/>
      <w:numFmt w:val="bullet"/>
      <w:start w:val="1"/>
    </w:lvl>
  </w:abstractNum>
  <w:abstractNum w:abstractNumId="56">
    <w:nsid w:val="4F97E3E4"/>
    <w:multiLevelType w:val="hybridMultilevel"/>
    <w:lvl w:ilvl="0">
      <w:lvlJc w:val="left"/>
      <w:lvlText w:val="•"/>
      <w:numFmt w:val="bullet"/>
      <w:start w:val="1"/>
    </w:lvl>
  </w:abstractNum>
  <w:abstractNum w:abstractNumId="57">
    <w:nsid w:val="53B0A9E"/>
    <w:multiLevelType w:val="hybridMultilevel"/>
    <w:lvl w:ilvl="0">
      <w:lvlJc w:val="left"/>
      <w:lvlText w:val="•"/>
      <w:numFmt w:val="bullet"/>
      <w:start w:val="1"/>
    </w:lvl>
  </w:abstractNum>
  <w:abstractNum w:abstractNumId="58">
    <w:nsid w:val="34FD6B4F"/>
    <w:multiLevelType w:val="hybridMultilevel"/>
    <w:lvl w:ilvl="0">
      <w:lvlJc w:val="left"/>
      <w:lvlText w:val="•"/>
      <w:numFmt w:val="bullet"/>
      <w:start w:val="1"/>
    </w:lvl>
  </w:abstractNum>
  <w:abstractNum w:abstractNumId="59">
    <w:nsid w:val="5915FF32"/>
    <w:multiLevelType w:val="hybridMultilevel"/>
    <w:lvl w:ilvl="0">
      <w:lvlJc w:val="left"/>
      <w:lvlText w:val="•"/>
      <w:numFmt w:val="bullet"/>
      <w:start w:val="1"/>
    </w:lvl>
    <w:lvl w:ilvl="1">
      <w:lvlJc w:val="left"/>
      <w:lvlText w:val="◦"/>
      <w:numFmt w:val="bullet"/>
      <w:start w:val="1"/>
    </w:lvl>
  </w:abstractNum>
  <w:abstractNum w:abstractNumId="60">
    <w:nsid w:val="56438D15"/>
    <w:multiLevelType w:val="hybridMultilevel"/>
    <w:lvl w:ilvl="0">
      <w:lvlJc w:val="left"/>
      <w:lvlText w:val="•"/>
      <w:numFmt w:val="bullet"/>
      <w:start w:val="1"/>
    </w:lvl>
    <w:lvl w:ilvl="1">
      <w:lvlJc w:val="left"/>
      <w:lvlText w:val="◦"/>
      <w:numFmt w:val="bullet"/>
      <w:start w:val="1"/>
    </w:lvl>
  </w:abstractNum>
  <w:abstractNum w:abstractNumId="61">
    <w:nsid w:val="519E3149"/>
    <w:multiLevelType w:val="hybridMultilevel"/>
    <w:lvl w:ilvl="0">
      <w:lvlJc w:val="left"/>
      <w:lvlText w:val="•"/>
      <w:numFmt w:val="bullet"/>
      <w:start w:val="1"/>
    </w:lvl>
  </w:abstractNum>
  <w:abstractNum w:abstractNumId="62">
    <w:nsid w:val="2C6E4AFD"/>
    <w:multiLevelType w:val="hybridMultilevel"/>
    <w:lvl w:ilvl="0">
      <w:lvlJc w:val="left"/>
      <w:lvlText w:val="•"/>
      <w:numFmt w:val="bullet"/>
      <w:start w:val="1"/>
    </w:lvl>
  </w:abstractNum>
  <w:abstractNum w:abstractNumId="63">
    <w:nsid w:val="17A1B582"/>
    <w:multiLevelType w:val="hybridMultilevel"/>
    <w:lvl w:ilvl="0">
      <w:lvlJc w:val="left"/>
      <w:lvlText w:val="(%1)"/>
      <w:numFmt w:val="lowerLetter"/>
      <w:start w:val="1"/>
    </w:lvl>
  </w:abstractNum>
  <w:abstractNum w:abstractNumId="64">
    <w:nsid w:val="4DF72E4E"/>
    <w:multiLevelType w:val="hybridMultilevel"/>
    <w:lvl w:ilvl="0">
      <w:lvlJc w:val="left"/>
      <w:lvlText w:val="(%1)"/>
      <w:numFmt w:val="lowerLetter"/>
      <w:start w:val="2"/>
    </w:lvl>
  </w:abstractNum>
  <w:abstractNum w:abstractNumId="65">
    <w:nsid w:val="5046B5A9"/>
    <w:multiLevelType w:val="hybridMultilevel"/>
    <w:lvl w:ilvl="0">
      <w:lvlJc w:val="left"/>
      <w:lvlText w:val="(%1)"/>
      <w:numFmt w:val="lowerLetter"/>
      <w:start w:val="2"/>
    </w:lvl>
  </w:abstractNum>
  <w:abstractNum w:abstractNumId="66">
    <w:nsid w:val="5D888A08"/>
    <w:multiLevelType w:val="hybridMultilevel"/>
    <w:lvl w:ilvl="0">
      <w:lvlJc w:val="left"/>
      <w:lvlText w:val="(%1)"/>
      <w:numFmt w:val="lowerLetter"/>
      <w:start w:val="1"/>
    </w:lvl>
  </w:abstractNum>
  <w:abstractNum w:abstractNumId="67">
    <w:nsid w:val="2A082C70"/>
    <w:multiLevelType w:val="hybridMultilevel"/>
    <w:lvl w:ilvl="0">
      <w:lvlJc w:val="left"/>
      <w:lvlText w:val="(%1)"/>
      <w:numFmt w:val="lowerLetter"/>
      <w:start w:val="3"/>
    </w:lvl>
  </w:abstractNum>
  <w:abstractNum w:abstractNumId="68">
    <w:nsid w:val="5EC6AFD4"/>
    <w:multiLevelType w:val="hybridMultilevel"/>
    <w:lvl w:ilvl="0">
      <w:lvlJc w:val="left"/>
      <w:lvlText w:val="(%1)"/>
      <w:numFmt w:val="decimal"/>
      <w:start w:val="3"/>
    </w:lvl>
  </w:abstractNum>
  <w:abstractNum w:abstractNumId="69">
    <w:nsid w:val="19E21BB2"/>
    <w:multiLevelType w:val="hybridMultilevel"/>
    <w:lvl w:ilvl="0">
      <w:lvlJc w:val="left"/>
      <w:lvlText w:val="(%1)"/>
      <w:numFmt w:val="decimal"/>
      <w:start w:val="1"/>
    </w:lvl>
    <w:lvl w:ilvl="1">
      <w:lvlJc w:val="left"/>
      <w:lvlText w:val="(%2)"/>
      <w:numFmt w:val="lowerLetter"/>
      <w:start w:val="1"/>
    </w:lvl>
  </w:abstractNum>
  <w:abstractNum w:abstractNumId="70">
    <w:nsid w:val="75E0858A"/>
    <w:multiLevelType w:val="hybridMultilevel"/>
    <w:lvl w:ilvl="0">
      <w:lvlJc w:val="left"/>
      <w:lvlText w:val="%1"/>
      <w:numFmt w:val="decimal"/>
      <w:start w:val="1"/>
    </w:lvl>
    <w:lvl w:ilvl="1">
      <w:lvlJc w:val="left"/>
      <w:lvlText w:val="(%2)"/>
      <w:numFmt w:val="lowerLetter"/>
      <w:start w:val="3"/>
    </w:lvl>
  </w:abstractNum>
  <w:abstractNum w:abstractNumId="71">
    <w:nsid w:val="57A61A29"/>
    <w:multiLevelType w:val="hybridMultilevel"/>
    <w:lvl w:ilvl="0">
      <w:lvlJc w:val="left"/>
      <w:lvlText w:val="(%1)"/>
      <w:numFmt w:val="decimal"/>
      <w:start w:val="2"/>
    </w:lvl>
    <w:lvl w:ilvl="1">
      <w:lvlJc w:val="left"/>
      <w:lvlText w:val="%2"/>
      <w:numFmt w:val="lowerLetter"/>
      <w:start w:val="1"/>
    </w:lvl>
  </w:abstractNum>
  <w:abstractNum w:abstractNumId="72">
    <w:nsid w:val="5399C654"/>
    <w:multiLevelType w:val="hybridMultilevel"/>
    <w:lvl w:ilvl="0">
      <w:lvlJc w:val="left"/>
      <w:lvlText w:val="(%1)"/>
      <w:numFmt w:val="decimal"/>
      <w:start w:val="6"/>
    </w:lvl>
  </w:abstractNum>
  <w:abstractNum w:abstractNumId="73">
    <w:nsid w:val="20EE1348"/>
    <w:multiLevelType w:val="hybridMultilevel"/>
    <w:lvl w:ilvl="0">
      <w:lvlJc w:val="left"/>
      <w:lvlText w:val="•"/>
      <w:numFmt w:val="bullet"/>
      <w:start w:val="1"/>
    </w:lvl>
  </w:abstractNum>
  <w:abstractNum w:abstractNumId="74">
    <w:nsid w:val="4427069A"/>
    <w:multiLevelType w:val="hybridMultilevel"/>
    <w:lvl w:ilvl="0">
      <w:lvlJc w:val="left"/>
      <w:lvlText w:val="•"/>
      <w:numFmt w:val="bullet"/>
      <w:start w:val="1"/>
    </w:lvl>
    <w:lvl w:ilvl="1">
      <w:lvlJc w:val="left"/>
      <w:lvlText w:val="◦"/>
      <w:numFmt w:val="bullet"/>
      <w:start w:val="1"/>
    </w:lvl>
  </w:abstractNum>
  <w:abstractNum w:abstractNumId="75">
    <w:nsid w:val="B37E80A"/>
    <w:multiLevelType w:val="hybridMultilevel"/>
    <w:lvl w:ilvl="0">
      <w:lvlJc w:val="left"/>
      <w:lvlText w:val="•"/>
      <w:numFmt w:val="bullet"/>
      <w:start w:val="1"/>
    </w:lvl>
  </w:abstractNum>
  <w:abstractNum w:abstractNumId="76">
    <w:nsid w:val="2157F6BC"/>
    <w:multiLevelType w:val="hybridMultilevel"/>
    <w:lvl w:ilvl="0">
      <w:lvlJc w:val="left"/>
      <w:lvlText w:val="•"/>
      <w:numFmt w:val="bullet"/>
      <w:start w:val="1"/>
    </w:lvl>
  </w:abstractNum>
  <w:abstractNum w:abstractNumId="77">
    <w:nsid w:val="704E1DD5"/>
    <w:multiLevelType w:val="hybridMultilevel"/>
    <w:lvl w:ilvl="0">
      <w:lvlJc w:val="left"/>
      <w:lvlText w:val="•"/>
      <w:numFmt w:val="bullet"/>
      <w:start w:val="1"/>
    </w:lvl>
    <w:lvl w:ilvl="1">
      <w:lvlJc w:val="left"/>
      <w:lvlText w:val="◦"/>
      <w:numFmt w:val="bullet"/>
      <w:start w:val="1"/>
    </w:lvl>
  </w:abstractNum>
  <w:abstractNum w:abstractNumId="78">
    <w:nsid w:val="57D2F10E"/>
    <w:multiLevelType w:val="hybridMultilevel"/>
    <w:lvl w:ilvl="0">
      <w:lvlJc w:val="left"/>
      <w:lvlText w:val="•"/>
      <w:numFmt w:val="bullet"/>
      <w:start w:val="1"/>
    </w:lvl>
  </w:abstractNum>
  <w:abstractNum w:abstractNumId="79">
    <w:nsid w:val="BFFAE18"/>
    <w:multiLevelType w:val="hybridMultilevel"/>
    <w:lvl w:ilvl="0">
      <w:lvlJc w:val="left"/>
      <w:lvlText w:val="•"/>
      <w:numFmt w:val="bullet"/>
      <w:start w:val="1"/>
    </w:lvl>
  </w:abstractNum>
  <w:abstractNum w:abstractNumId="80">
    <w:nsid w:val="E3E47A8"/>
    <w:multiLevelType w:val="hybridMultilevel"/>
    <w:lvl w:ilvl="0">
      <w:lvlJc w:val="left"/>
      <w:lvlText w:val="•"/>
      <w:numFmt w:val="bullet"/>
      <w:start w:val="1"/>
    </w:lvl>
  </w:abstractNum>
  <w:abstractNum w:abstractNumId="81">
    <w:nsid w:val="2E48F044"/>
    <w:multiLevelType w:val="hybridMultilevel"/>
    <w:lvl w:ilvl="0">
      <w:lvlJc w:val="left"/>
      <w:lvlText w:val="•"/>
      <w:numFmt w:val="bullet"/>
      <w:start w:val="1"/>
    </w:lvl>
  </w:abstractNum>
  <w:abstractNum w:abstractNumId="82">
    <w:nsid w:val="49D0FEAC"/>
    <w:multiLevelType w:val="hybridMultilevel"/>
    <w:lvl w:ilvl="0">
      <w:lvlJc w:val="left"/>
      <w:lvlText w:val="•"/>
      <w:numFmt w:val="bullet"/>
      <w:start w:val="1"/>
    </w:lvl>
  </w:abstractNum>
  <w:abstractNum w:abstractNumId="83">
    <w:nsid w:val="4BEE5A5B"/>
    <w:multiLevelType w:val="hybridMultilevel"/>
    <w:lvl w:ilvl="0">
      <w:lvlJc w:val="left"/>
      <w:lvlText w:val="•"/>
      <w:numFmt w:val="bullet"/>
      <w:start w:val="1"/>
    </w:lvl>
  </w:abstractNum>
  <w:abstractNum w:abstractNumId="84">
    <w:nsid w:val="5551B9F3"/>
    <w:multiLevelType w:val="hybridMultilevel"/>
    <w:lvl w:ilvl="0">
      <w:lvlJc w:val="left"/>
      <w:lvlText w:val="•"/>
      <w:numFmt w:val="bullet"/>
      <w:start w:val="1"/>
    </w:lvl>
  </w:abstractNum>
  <w:abstractNum w:abstractNumId="85">
    <w:nsid w:val="24F6AB8E"/>
    <w:multiLevelType w:val="hybridMultilevel"/>
    <w:lvl w:ilvl="0">
      <w:lvlJc w:val="left"/>
      <w:lvlText w:val="(%1)"/>
      <w:numFmt w:val="decimal"/>
      <w:start w:val="1"/>
    </w:lvl>
    <w:lvl w:ilvl="1">
      <w:lvlJc w:val="left"/>
      <w:lvlText w:val="◦"/>
      <w:numFmt w:val="bullet"/>
      <w:start w:val="1"/>
    </w:lvl>
  </w:abstractNum>
  <w:abstractNum w:abstractNumId="86">
    <w:nsid w:val="634C574C"/>
    <w:multiLevelType w:val="hybridMultilevel"/>
    <w:lvl w:ilvl="0">
      <w:lvlJc w:val="left"/>
      <w:lvlText w:val="◦"/>
      <w:numFmt w:val="bullet"/>
      <w:start w:val="1"/>
    </w:lvl>
  </w:abstractNum>
  <w:abstractNum w:abstractNumId="87">
    <w:nsid w:val="24E99DD7"/>
    <w:multiLevelType w:val="hybridMultilevel"/>
    <w:lvl w:ilvl="0">
      <w:lvlJc w:val="left"/>
      <w:lvlText w:val="•"/>
      <w:numFmt w:val="bullet"/>
      <w:start w:val="1"/>
    </w:lvl>
  </w:abstractNum>
  <w:abstractNum w:abstractNumId="88">
    <w:nsid w:val="2A31B62D"/>
    <w:multiLevelType w:val="hybridMultilevel"/>
    <w:lvl w:ilvl="0">
      <w:lvlJc w:val="left"/>
      <w:lvlText w:val="(%1)"/>
      <w:numFmt w:val="decimal"/>
      <w:start w:val="4"/>
    </w:lvl>
  </w:abstractNum>
  <w:abstractNum w:abstractNumId="89">
    <w:nsid w:val="1849C29B"/>
    <w:multiLevelType w:val="hybridMultilevel"/>
    <w:lvl w:ilvl="0">
      <w:lvlJc w:val="left"/>
      <w:lvlText w:val="•"/>
      <w:numFmt w:val="bullet"/>
      <w:start w:val="1"/>
    </w:lvl>
  </w:abstractNum>
  <w:abstractNum w:abstractNumId="90">
    <w:nsid w:val="7DFF9D09"/>
    <w:multiLevelType w:val="hybridMultilevel"/>
    <w:lvl w:ilvl="0">
      <w:lvlJc w:val="left"/>
      <w:lvlText w:val="•"/>
      <w:numFmt w:val="bullet"/>
      <w:start w:val="1"/>
    </w:lvl>
  </w:abstractNum>
  <w:abstractNum w:abstractNumId="91">
    <w:nsid w:val="754342"/>
    <w:multiLevelType w:val="hybridMultilevel"/>
    <w:lvl w:ilvl="0">
      <w:lvlJc w:val="left"/>
      <w:lvlText w:val="•"/>
      <w:numFmt w:val="bullet"/>
      <w:start w:val="1"/>
    </w:lvl>
  </w:abstractNum>
  <w:abstractNum w:abstractNumId="92">
    <w:nsid w:val="69E7F3E5"/>
    <w:multiLevelType w:val="hybridMultilevel"/>
    <w:lvl w:ilvl="0">
      <w:lvlJc w:val="left"/>
      <w:lvlText w:val="(%1)"/>
      <w:numFmt w:val="decimal"/>
      <w:start w:val="1"/>
    </w:lvl>
    <w:lvl w:ilvl="1">
      <w:lvlJc w:val="left"/>
      <w:lvlText w:val="(%2)"/>
      <w:numFmt w:val="lowerLetter"/>
      <w:start w:val="1"/>
    </w:lvl>
  </w:abstractNum>
  <w:abstractNum w:abstractNumId="93">
    <w:nsid w:val="2A6DE806"/>
    <w:multiLevelType w:val="hybridMultilevel"/>
    <w:lvl w:ilvl="0">
      <w:lvlJc w:val="left"/>
      <w:lvlText w:val="%1"/>
      <w:numFmt w:val="decimal"/>
      <w:start w:val="1"/>
    </w:lvl>
    <w:lvl w:ilvl="1">
      <w:lvlJc w:val="left"/>
      <w:lvlText w:val="(%2)"/>
      <w:numFmt w:val="lowerLetter"/>
      <w:start w:val="5"/>
    </w:lvl>
  </w:abstractNum>
  <w:abstractNum w:abstractNumId="94">
    <w:nsid w:val="1816F8C4"/>
    <w:multiLevelType w:val="hybridMultilevel"/>
    <w:lvl w:ilvl="0">
      <w:lvlJc w:val="left"/>
      <w:lvlText w:val="(%1)"/>
      <w:numFmt w:val="decimal"/>
      <w:start w:val="2"/>
    </w:lvl>
    <w:lvl w:ilvl="1">
      <w:lvlJc w:val="left"/>
      <w:lvlText w:val="%2"/>
      <w:numFmt w:val="lowerLetter"/>
      <w:start w:val="1"/>
    </w:lvl>
  </w:abstractNum>
  <w:abstractNum w:abstractNumId="95">
    <w:nsid w:val="37DF2233"/>
    <w:multiLevelType w:val="hybridMultilevel"/>
    <w:lvl w:ilvl="0">
      <w:lvlJc w:val="left"/>
      <w:lvlText w:val="(%1)"/>
      <w:numFmt w:val="decimal"/>
      <w:start w:val="9"/>
    </w:lvl>
  </w:abstractNum>
  <w:abstractNum w:abstractNumId="96">
    <w:nsid w:val="7AB49DAF"/>
    <w:multiLevelType w:val="hybridMultilevel"/>
    <w:lvl w:ilvl="0">
      <w:lvlJc w:val="left"/>
      <w:lvlText w:val="(%1)"/>
      <w:numFmt w:val="lowerLetter"/>
      <w:start w:val="1"/>
    </w:lvl>
  </w:abstractNum>
  <w:abstractNum w:abstractNumId="97">
    <w:nsid w:val="759F82CD"/>
    <w:multiLevelType w:val="hybridMultilevel"/>
    <w:lvl w:ilvl="0">
      <w:lvlJc w:val="left"/>
      <w:lvlText w:val="(%1)"/>
      <w:numFmt w:val="lowerLetter"/>
      <w:start w:val="2"/>
    </w:lvl>
  </w:abstractNum>
  <w:abstractNum w:abstractNumId="98">
    <w:nsid w:val="61E74EA3"/>
    <w:multiLevelType w:val="hybridMultilevel"/>
    <w:lvl w:ilvl="0">
      <w:lvlJc w:val="left"/>
      <w:lvlText w:val="•"/>
      <w:numFmt w:val="bullet"/>
      <w:start w:val="1"/>
    </w:lvl>
  </w:abstractNum>
  <w:abstractNum w:abstractNumId="99">
    <w:nsid w:val="597B4D84"/>
    <w:multiLevelType w:val="hybridMultilevel"/>
    <w:lvl w:ilvl="0">
      <w:lvlJc w:val="left"/>
      <w:lvlText w:val="(%1)"/>
      <w:numFmt w:val="decimal"/>
      <w:start w:val="1"/>
    </w:lvl>
  </w:abstractNum>
  <w:abstractNum w:abstractNumId="100">
    <w:nsid w:val="F819E7F"/>
    <w:multiLevelType w:val="hybridMultilevel"/>
    <w:lvl w:ilvl="0">
      <w:lvlJc w:val="left"/>
      <w:lvlText w:val="(%1)"/>
      <w:numFmt w:val="decimal"/>
      <w:start w:val="1"/>
    </w:lvl>
  </w:abstractNum>
  <w:abstractNum w:abstractNumId="101">
    <w:nsid w:val="57C7D42D"/>
    <w:multiLevelType w:val="hybridMultilevel"/>
    <w:lvl w:ilvl="0">
      <w:lvlJc w:val="left"/>
      <w:lvlText w:val="(%1)"/>
      <w:numFmt w:val="decimal"/>
      <w:start w:val="1"/>
    </w:lvl>
  </w:abstractNum>
  <w:abstractNum w:abstractNumId="102">
    <w:nsid w:val="312167AD"/>
    <w:multiLevelType w:val="hybridMultilevel"/>
    <w:lvl w:ilvl="0">
      <w:lvlJc w:val="left"/>
      <w:lvlText w:val="(%1)"/>
      <w:numFmt w:val="decimal"/>
      <w:start w:val="2"/>
    </w:lvl>
  </w:abstractNum>
  <w:abstractNum w:abstractNumId="103">
    <w:nsid w:val="631B64D4"/>
    <w:multiLevelType w:val="hybridMultilevel"/>
    <w:lvl w:ilvl="0">
      <w:lvlJc w:val="left"/>
      <w:lvlText w:val="(%1)"/>
      <w:numFmt w:val="decimal"/>
      <w:start w:val="1"/>
    </w:lvl>
  </w:abstractNum>
  <w:abstractNum w:abstractNumId="104">
    <w:nsid w:val="78B5E776"/>
    <w:multiLevelType w:val="hybridMultilevel"/>
    <w:lvl w:ilvl="0">
      <w:lvlJc w:val="left"/>
      <w:lvlText w:val="(%1)"/>
      <w:numFmt w:val="decimal"/>
      <w:start w:val="4"/>
    </w:lvl>
  </w:abstractNum>
  <w:abstractNum w:abstractNumId="105">
    <w:nsid w:val="75486E47"/>
    <w:multiLevelType w:val="hybridMultilevel"/>
    <w:lvl w:ilvl="0">
      <w:lvlJc w:val="left"/>
      <w:lvlText w:val="(%1)"/>
      <w:numFmt w:val="decimal"/>
      <w:start w:val="6"/>
    </w:lvl>
  </w:abstractNum>
  <w:abstractNum w:abstractNumId="106">
    <w:nsid w:val="6E534CDE"/>
    <w:multiLevelType w:val="hybridMultilevel"/>
    <w:lvl w:ilvl="0">
      <w:lvlJc w:val="left"/>
      <w:lvlText w:val="•"/>
      <w:numFmt w:val="bullet"/>
      <w:start w:val="1"/>
    </w:lvl>
  </w:abstractNum>
  <w:abstractNum w:abstractNumId="107">
    <w:nsid w:val="1A0DDE32"/>
    <w:multiLevelType w:val="hybridMultilevel"/>
    <w:lvl w:ilvl="0">
      <w:lvlJc w:val="left"/>
      <w:lvlText w:val="•"/>
      <w:numFmt w:val="bullet"/>
      <w:start w:val="1"/>
    </w:lvl>
  </w:abstractNum>
  <w:abstractNum w:abstractNumId="108">
    <w:nsid w:val="65968C1C"/>
    <w:multiLevelType w:val="hybridMultilevel"/>
    <w:lvl w:ilvl="0">
      <w:lvlJc w:val="left"/>
      <w:lvlText w:val="•"/>
      <w:numFmt w:val="bullet"/>
      <w:start w:val="1"/>
    </w:lvl>
  </w:abstractNum>
  <w:abstractNum w:abstractNumId="109">
    <w:nsid w:val="46263DEC"/>
    <w:multiLevelType w:val="hybridMultilevel"/>
    <w:lvl w:ilvl="0">
      <w:lvlJc w:val="left"/>
      <w:lvlText w:val="•"/>
      <w:numFmt w:val="bullet"/>
      <w:start w:val="1"/>
    </w:lvl>
  </w:abstractNum>
  <w:abstractNum w:abstractNumId="110">
    <w:nsid w:val="260D8C4A"/>
    <w:multiLevelType w:val="hybridMultilevel"/>
    <w:lvl w:ilvl="0">
      <w:lvlJc w:val="left"/>
      <w:lvlText w:val="•"/>
      <w:numFmt w:val="bullet"/>
      <w:start w:val="1"/>
    </w:lvl>
  </w:abstractNum>
  <w:abstractNum w:abstractNumId="111">
    <w:nsid w:val="73D4D3C4"/>
    <w:multiLevelType w:val="hybridMultilevel"/>
    <w:lvl w:ilvl="0">
      <w:lvlJc w:val="left"/>
      <w:lvlText w:val="•"/>
      <w:numFmt w:val="bullet"/>
      <w:start w:val="1"/>
    </w:lvl>
  </w:abstractNum>
  <w:abstractNum w:abstractNumId="112">
    <w:nsid w:val="746F2E30"/>
    <w:multiLevelType w:val="hybridMultilevel"/>
    <w:lvl w:ilvl="0">
      <w:lvlJc w:val="left"/>
      <w:lvlText w:val="(%1)"/>
      <w:numFmt w:val="lowerLetter"/>
      <w:start w:val="1"/>
    </w:lvl>
  </w:abstractNum>
  <w:abstractNum w:abstractNumId="113">
    <w:nsid w:val="6FDE8AF6"/>
    <w:multiLevelType w:val="hybridMultilevel"/>
    <w:lvl w:ilvl="0">
      <w:lvlJc w:val="left"/>
      <w:lvlText w:val="(%1)"/>
      <w:numFmt w:val="lowerLetter"/>
      <w:start w:val="5"/>
    </w:lvl>
  </w:abstractNum>
  <w:abstractNum w:abstractNumId="114">
    <w:nsid w:val="3FC32E20"/>
    <w:multiLevelType w:val="hybridMultilevel"/>
    <w:lvl w:ilvl="0">
      <w:lvlJc w:val="left"/>
      <w:lvlText w:val="(%1)"/>
      <w:numFmt w:val="lowerLetter"/>
      <w:start w:val="1"/>
    </w:lvl>
  </w:abstractNum>
  <w:abstractNum w:abstractNumId="115">
    <w:nsid w:val="49C0E823"/>
    <w:multiLevelType w:val="hybridMultilevel"/>
    <w:lvl w:ilvl="0">
      <w:lvlJc w:val="left"/>
      <w:lvlText w:val="(%1)"/>
      <w:numFmt w:val="lowerLetter"/>
      <w:start w:val="1"/>
    </w:lvl>
  </w:abstractNum>
  <w:abstractNum w:abstractNumId="116">
    <w:nsid w:val="14D53685"/>
    <w:multiLevelType w:val="hybridMultilevel"/>
    <w:lvl w:ilvl="0">
      <w:lvlJc w:val="left"/>
      <w:lvlText w:val="(%1)"/>
      <w:numFmt w:val="lowerLetter"/>
      <w:start w:val="1"/>
    </w:lvl>
  </w:abstractNum>
  <w:abstractNum w:abstractNumId="117">
    <w:nsid w:val="230F856C"/>
    <w:multiLevelType w:val="hybridMultilevel"/>
    <w:lvl w:ilvl="0">
      <w:lvlJc w:val="left"/>
      <w:lvlText w:val="(%1)"/>
      <w:numFmt w:val="lowerLetter"/>
      <w:start w:val="1"/>
    </w:lvl>
    <w:lvl w:ilvl="1">
      <w:lvlJc w:val="left"/>
      <w:lvlText w:val="(%2)"/>
      <w:numFmt w:val="lowerLetter"/>
      <w:start w:val="9"/>
    </w:lvl>
  </w:abstractNum>
  <w:abstractNum w:abstractNumId="118">
    <w:nsid w:val="6EAA85FB"/>
    <w:multiLevelType w:val="hybridMultilevel"/>
    <w:lvl w:ilvl="0">
      <w:lvlJc w:val="left"/>
      <w:lvlText w:val="%1"/>
      <w:numFmt w:val="lowerLetter"/>
      <w:start w:val="1"/>
    </w:lvl>
    <w:lvl w:ilvl="1">
      <w:lvlJc w:val="left"/>
      <w:lvlText w:val="(%2)"/>
      <w:numFmt w:val="lowerLetter"/>
      <w:start w:val="35"/>
    </w:lvl>
  </w:abstractNum>
  <w:abstractNum w:abstractNumId="119">
    <w:nsid w:val="3F06ECB2"/>
    <w:multiLevelType w:val="hybridMultilevel"/>
    <w:lvl w:ilvl="0">
      <w:lvlJc w:val="left"/>
      <w:lvlText w:val="(%1)"/>
      <w:numFmt w:val="lowerLetter"/>
      <w:start w:val="2"/>
    </w:lvl>
    <w:lvl w:ilvl="1">
      <w:lvlJc w:val="left"/>
      <w:lvlText w:val="%2"/>
      <w:numFmt w:val="lowerLetter"/>
      <w:start w:val="1"/>
    </w:lvl>
  </w:abstractNum>
  <w:abstractNum w:abstractNumId="120">
    <w:nsid w:val="3B594807"/>
    <w:multiLevelType w:val="hybridMultilevel"/>
    <w:lvl w:ilvl="0">
      <w:lvlJc w:val="left"/>
      <w:lvlText w:val="(%1)"/>
      <w:numFmt w:val="lowerLetter"/>
      <w:start w:val="1"/>
    </w:lvl>
    <w:lvl w:ilvl="1">
      <w:lvlJc w:val="left"/>
      <w:lvlText w:val="(%2)"/>
      <w:numFmt w:val="lowerRoman"/>
      <w:start w:val="1"/>
    </w:lvl>
  </w:abstractNum>
  <w:abstractNum w:abstractNumId="121">
    <w:nsid w:val="6CAA2304"/>
    <w:multiLevelType w:val="hybridMultilevel"/>
    <w:lvl w:ilvl="0">
      <w:lvlJc w:val="left"/>
      <w:lvlText w:val="(%1)"/>
      <w:numFmt w:val="lowerLetter"/>
      <w:start w:val="2"/>
    </w:lvl>
  </w:abstractNum>
  <w:abstractNum w:abstractNumId="122">
    <w:nsid w:val="3F7C2FF4"/>
    <w:multiLevelType w:val="hybridMultilevel"/>
    <w:lvl w:ilvl="0">
      <w:lvlJc w:val="left"/>
      <w:lvlText w:val="(%1)"/>
      <w:numFmt w:val="lowerLetter"/>
      <w:start w:val="1"/>
    </w:lvl>
    <w:lvl w:ilvl="1">
      <w:lvlJc w:val="left"/>
      <w:lvlText w:val="(%2)"/>
      <w:numFmt w:val="lowerRoman"/>
      <w:start w:val="1"/>
    </w:lvl>
  </w:abstractNum>
  <w:abstractNum w:abstractNumId="123">
    <w:nsid w:val="25413BEC"/>
    <w:multiLevelType w:val="hybridMultilevel"/>
    <w:lvl w:ilvl="0">
      <w:lvlJc w:val="left"/>
      <w:lvlText w:val="(%1)"/>
      <w:numFmt w:val="lowerLetter"/>
      <w:start w:val="1"/>
    </w:lvl>
  </w:abstractNum>
  <w:abstractNum w:abstractNumId="124">
    <w:nsid w:val="17180B0B"/>
    <w:multiLevelType w:val="hybridMultilevel"/>
    <w:lvl w:ilvl="0">
      <w:lvlJc w:val="left"/>
      <w:lvlText w:val="(%1)"/>
      <w:numFmt w:val="lowerLetter"/>
      <w:start w:val="1"/>
    </w:lvl>
  </w:abstractNum>
  <w:abstractNum w:abstractNumId="125">
    <w:nsid w:val="579328B9"/>
    <w:multiLevelType w:val="hybridMultilevel"/>
    <w:lvl w:ilvl="0">
      <w:lvlJc w:val="left"/>
      <w:lvlText w:val="(%1)"/>
      <w:numFmt w:val="lowerLetter"/>
      <w:start w:val="1"/>
    </w:lvl>
  </w:abstractNum>
  <w:abstractNum w:abstractNumId="126">
    <w:nsid w:val="5D205E20"/>
    <w:multiLevelType w:val="hybridMultilevel"/>
    <w:lvl w:ilvl="0">
      <w:lvlJc w:val="left"/>
      <w:lvlText w:val="(%1)"/>
      <w:numFmt w:val="lowerLetter"/>
      <w:start w:val="1"/>
    </w:lvl>
  </w:abstractNum>
  <w:abstractNum w:abstractNumId="127">
    <w:nsid w:val="11CCA8BA"/>
    <w:multiLevelType w:val="hybridMultilevel"/>
    <w:lvl w:ilvl="0">
      <w:lvlJc w:val="left"/>
      <w:lvlText w:val="(%1)"/>
      <w:numFmt w:val="lowerLetter"/>
      <w:start w:val="1"/>
    </w:lvl>
    <w:lvl w:ilvl="1">
      <w:lvlJc w:val="left"/>
      <w:lvlText w:val="(%2)"/>
      <w:numFmt w:val="lowerRoman"/>
      <w:start w:val="1"/>
    </w:lvl>
  </w:abstractNum>
  <w:abstractNum w:abstractNumId="128">
    <w:nsid w:val="4D32AB86"/>
    <w:multiLevelType w:val="hybridMultilevel"/>
    <w:lvl w:ilvl="0">
      <w:lvlJc w:val="left"/>
      <w:lvlText w:val="(%1)"/>
      <w:numFmt w:val="lowerLetter"/>
      <w:start w:val="2"/>
    </w:lvl>
  </w:abstractNum>
  <w:abstractNum w:abstractNumId="129">
    <w:nsid w:val="3F07ACC3"/>
    <w:multiLevelType w:val="hybridMultilevel"/>
    <w:lvl w:ilvl="0">
      <w:lvlJc w:val="left"/>
      <w:lvlText w:val="(%1)"/>
      <w:numFmt w:val="lowerLetter"/>
      <w:start w:val="1"/>
    </w:lvl>
  </w:abstractNum>
  <w:abstractNum w:abstractNumId="130">
    <w:nsid w:val="6B47F63E"/>
    <w:multiLevelType w:val="hybridMultilevel"/>
    <w:lvl w:ilvl="0">
      <w:lvlJc w:val="left"/>
      <w:lvlText w:val="(%1)"/>
      <w:numFmt w:val="lowerLetter"/>
      <w:start w:val="1"/>
    </w:lvl>
  </w:abstractNum>
  <w:abstractNum w:abstractNumId="131">
    <w:nsid w:val="5CB44A05"/>
    <w:multiLevelType w:val="hybridMultilevel"/>
    <w:lvl w:ilvl="0">
      <w:lvlJc w:val="left"/>
      <w:lvlText w:val="(%1)"/>
      <w:numFmt w:val="lowerLetter"/>
      <w:start w:val="3"/>
    </w:lvl>
  </w:abstractNum>
  <w:abstractNum w:abstractNumId="132">
    <w:nsid w:val="16CF80F1"/>
    <w:multiLevelType w:val="hybridMultilevel"/>
    <w:lvl w:ilvl="0">
      <w:lvlJc w:val="left"/>
      <w:lvlText w:val="(%1)"/>
      <w:numFmt w:val="lowerLetter"/>
      <w:start w:val="1"/>
    </w:lvl>
  </w:abstractNum>
  <w:abstractNum w:abstractNumId="133">
    <w:nsid w:val="1C695DEC"/>
    <w:multiLevelType w:val="hybridMultilevel"/>
    <w:lvl w:ilvl="0">
      <w:lvlJc w:val="left"/>
      <w:lvlText w:val="(%1)"/>
      <w:numFmt w:val="lowerLetter"/>
      <w:start w:val="1"/>
    </w:lvl>
  </w:abstractNum>
  <w:abstractNum w:abstractNumId="134">
    <w:nsid w:val="3FCFAED9"/>
    <w:multiLevelType w:val="hybridMultilevel"/>
    <w:lvl w:ilvl="0">
      <w:lvlJc w:val="left"/>
      <w:lvlText w:val="(%1)"/>
      <w:numFmt w:val="lowerLetter"/>
      <w:start w:val="1"/>
    </w:lvl>
  </w:abstractNum>
  <w:abstractNum w:abstractNumId="135">
    <w:nsid w:val="F856867"/>
    <w:multiLevelType w:val="hybridMultilevel"/>
    <w:lvl w:ilvl="0">
      <w:lvlJc w:val="left"/>
      <w:lvlText w:val="(%1)"/>
      <w:numFmt w:val="lowerLetter"/>
      <w:start w:val="1"/>
    </w:lvl>
  </w:abstractNum>
  <w:abstractNum w:abstractNumId="136">
    <w:nsid w:val="11B1CC3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7">
    <w:nsid w:val="2E22FBB7"/>
    <w:multiLevelType w:val="hybridMultilevel"/>
    <w:lvl w:ilvl="0">
      <w:lvlJc w:val="left"/>
      <w:lvlText w:val="(%1)"/>
      <w:numFmt w:val="lowerLetter"/>
      <w:start w:val="25"/>
    </w:lvl>
    <w:lvl w:ilvl="1">
      <w:lvlJc w:val="left"/>
      <w:lvlText w:val="(%2)"/>
      <w:numFmt w:val="lowerLetter"/>
      <w:start w:val="4"/>
    </w:lvl>
    <w:lvl w:ilvl="2">
      <w:lvlJc w:val="left"/>
      <w:lvlText w:val="%3"/>
      <w:numFmt w:val="lowerRoman"/>
      <w:start w:val="1"/>
    </w:lvl>
  </w:abstractNum>
  <w:abstractNum w:abstractNumId="138">
    <w:nsid w:val="29934699"/>
    <w:multiLevelType w:val="hybridMultilevel"/>
    <w:lvl w:ilvl="0">
      <w:lvlJc w:val="left"/>
      <w:lvlText w:val="(%1)"/>
      <w:numFmt w:val="lowerLetter"/>
      <w:start w:val="1"/>
    </w:lvl>
    <w:lvl w:ilvl="1">
      <w:lvlJc w:val="left"/>
      <w:lvlText w:val="(%2)"/>
      <w:numFmt w:val="lowerRoman"/>
      <w:start w:val="1"/>
    </w:lvl>
  </w:abstractNum>
  <w:abstractNum w:abstractNumId="139">
    <w:nsid w:val="77485850"/>
    <w:multiLevelType w:val="hybridMultilevel"/>
    <w:lvl w:ilvl="0">
      <w:lvlJc w:val="left"/>
      <w:lvlText w:val="(%1)"/>
      <w:numFmt w:val="lowerLetter"/>
      <w:start w:val="2"/>
    </w:lvl>
    <w:lvl w:ilvl="1">
      <w:lvlJc w:val="left"/>
      <w:lvlText w:val="(%2)"/>
      <w:numFmt w:val="lowerRoman"/>
      <w:start w:val="1"/>
    </w:lvl>
  </w:abstractNum>
  <w:abstractNum w:abstractNumId="140">
    <w:nsid w:val="744939A3"/>
    <w:multiLevelType w:val="hybridMultilevel"/>
    <w:lvl w:ilvl="0">
      <w:lvlJc w:val="left"/>
      <w:lvlText w:val="(%1)"/>
      <w:numFmt w:val="lowerLetter"/>
      <w:start w:val="1"/>
    </w:lvl>
  </w:abstractNum>
  <w:abstractNum w:abstractNumId="141">
    <w:nsid w:val="4FA0D2E3"/>
    <w:multiLevelType w:val="hybridMultilevel"/>
    <w:lvl w:ilvl="0">
      <w:lvlJc w:val="left"/>
      <w:lvlText w:val="(%1)"/>
      <w:numFmt w:val="lowerLetter"/>
      <w:start w:val="2"/>
    </w:lvl>
  </w:abstractNum>
  <w:abstractNum w:abstractNumId="142">
    <w:nsid w:val="6B1D2C14"/>
    <w:multiLevelType w:val="hybridMultilevel"/>
    <w:lvl w:ilvl="0">
      <w:lvlJc w:val="left"/>
      <w:lvlText w:val="(%1)"/>
      <w:numFmt w:val="lowerLetter"/>
      <w:start w:val="1"/>
    </w:lvl>
    <w:lvl w:ilvl="1">
      <w:lvlJc w:val="left"/>
      <w:lvlText w:val="(%2)"/>
      <w:numFmt w:val="lowerRoman"/>
      <w:start w:val="1"/>
    </w:lvl>
  </w:abstractNum>
  <w:abstractNum w:abstractNumId="143">
    <w:nsid w:val="68B867D3"/>
    <w:multiLevelType w:val="hybridMultilevel"/>
    <w:lvl w:ilvl="0">
      <w:lvlJc w:val="left"/>
      <w:lvlText w:val="(%1)"/>
      <w:numFmt w:val="lowerRoman"/>
      <w:start w:val="3"/>
    </w:lvl>
  </w:abstractNum>
  <w:abstractNum w:abstractNumId="144">
    <w:nsid w:val="3F7F5DD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45">
    <w:nsid w:val="2AE05A3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146">
    <w:nsid w:val="32794FF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147">
    <w:nsid w:val="5454945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decimal"/>
      <w:start w:val="1"/>
    </w:lvl>
  </w:abstractNum>
  <w:abstractNum w:abstractNumId="148">
    <w:nsid w:val="4DEFDFA0"/>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49">
    <w:nsid w:val="2123D5F2"/>
    <w:multiLevelType w:val="hybridMultilevel"/>
    <w:lvl w:ilvl="0">
      <w:lvlJc w:val="left"/>
      <w:lvlText w:val="(%1)"/>
      <w:numFmt w:val="lowerLetter"/>
      <w:start w:val="1"/>
    </w:lvl>
  </w:abstractNum>
  <w:abstractNum w:abstractNumId="150">
    <w:nsid w:val="135B8110"/>
    <w:multiLevelType w:val="hybridMultilevel"/>
    <w:lvl w:ilvl="0">
      <w:lvlJc w:val="left"/>
      <w:lvlText w:val="(%1)"/>
      <w:numFmt w:val="lowerLetter"/>
      <w:start w:val="7"/>
    </w:lvl>
  </w:abstractNum>
  <w:abstractNum w:abstractNumId="151">
    <w:nsid w:val="94927A8"/>
    <w:multiLevelType w:val="hybridMultilevel"/>
    <w:lvl w:ilvl="0">
      <w:lvlJc w:val="left"/>
      <w:lvlText w:val="(%1)"/>
      <w:numFmt w:val="lowerLetter"/>
      <w:start w:val="1"/>
    </w:lvl>
  </w:abstractNum>
  <w:abstractNum w:abstractNumId="152">
    <w:nsid w:val="DCDF8F6"/>
    <w:multiLevelType w:val="hybridMultilevel"/>
    <w:lvl w:ilvl="0">
      <w:lvlJc w:val="left"/>
      <w:lvlText w:val="(%1)"/>
      <w:numFmt w:val="lowerLetter"/>
      <w:start w:val="8"/>
    </w:lvl>
  </w:abstractNum>
  <w:abstractNum w:abstractNumId="153">
    <w:nsid w:val="52D7B105"/>
    <w:multiLevelType w:val="hybridMultilevel"/>
    <w:lvl w:ilvl="0">
      <w:lvlJc w:val="left"/>
      <w:lvlText w:val="(%1)"/>
      <w:numFmt w:val="lowerLetter"/>
      <w:start w:val="19"/>
    </w:lvl>
  </w:abstractNum>
  <w:abstractNum w:abstractNumId="154">
    <w:nsid w:val="2E8A6394"/>
    <w:multiLevelType w:val="hybridMultilevel"/>
    <w:lvl w:ilvl="0">
      <w:lvlJc w:val="left"/>
      <w:lvlText w:val="(%1)"/>
      <w:numFmt w:val="lowerRoman"/>
      <w:start w:val="5"/>
    </w:lvl>
  </w:abstractNum>
  <w:abstractNum w:abstractNumId="155">
    <w:nsid w:val="24E60401"/>
    <w:multiLevelType w:val="hybridMultilevel"/>
    <w:lvl w:ilvl="0">
      <w:lvlJc w:val="left"/>
      <w:lvlText w:val="(%1)"/>
      <w:numFmt w:val="lowerLetter"/>
      <w:start w:val="3"/>
    </w:lvl>
  </w:abstractNum>
  <w:abstractNum w:abstractNumId="156">
    <w:nsid w:val="2A6AD9B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57">
    <w:nsid w:val="BAAC1B4"/>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158">
    <w:nsid w:val="36B2ACBC"/>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59">
    <w:nsid w:val="779D8544"/>
    <w:multiLevelType w:val="hybridMultilevel"/>
    <w:lvl w:ilvl="0">
      <w:lvlJc w:val="left"/>
      <w:lvlText w:val="(%1)"/>
      <w:numFmt w:val="lowerLetter"/>
      <w:start w:val="1"/>
    </w:lvl>
    <w:lvl w:ilvl="1">
      <w:lvlJc w:val="left"/>
      <w:lvlText w:val="(%2)"/>
      <w:numFmt w:val="decimal"/>
      <w:start w:val="1"/>
    </w:lvl>
  </w:abstractNum>
  <w:abstractNum w:abstractNumId="160">
    <w:nsid w:val="4AB26E78"/>
    <w:multiLevelType w:val="hybridMultilevel"/>
    <w:lvl w:ilvl="0">
      <w:lvlJc w:val="left"/>
      <w:lvlText w:val="(%1)"/>
      <w:numFmt w:val="decimal"/>
      <w:start w:val="1"/>
    </w:lvl>
  </w:abstractNum>
  <w:abstractNum w:abstractNumId="161">
    <w:nsid w:val="21FAA2FA"/>
    <w:multiLevelType w:val="hybridMultilevel"/>
    <w:lvl w:ilvl="0">
      <w:lvlJc w:val="left"/>
      <w:lvlText w:val="(%1)"/>
      <w:numFmt w:val="decimal"/>
      <w:start w:val="1"/>
    </w:lvl>
  </w:abstractNum>
  <w:abstractNum w:abstractNumId="162">
    <w:nsid w:val="5451CF49"/>
    <w:multiLevelType w:val="hybridMultilevel"/>
    <w:lvl w:ilvl="0">
      <w:lvlJc w:val="left"/>
      <w:lvlText w:val="%1"/>
      <w:numFmt w:val="lowerLetter"/>
      <w:start w:val="1"/>
    </w:lvl>
    <w:lvl w:ilvl="1">
      <w:lvlJc w:val="left"/>
      <w:lvlText w:val="(%2)"/>
      <w:numFmt w:val="decimal"/>
      <w:start w:val="3"/>
    </w:lvl>
  </w:abstractNum>
  <w:abstractNum w:abstractNumId="163">
    <w:nsid w:val="6181EF69"/>
    <w:multiLevelType w:val="hybridMultilevel"/>
    <w:lvl w:ilvl="0">
      <w:lvlJc w:val="left"/>
      <w:lvlText w:val="(%1)"/>
      <w:numFmt w:val="lowerLetter"/>
      <w:start w:val="4"/>
    </w:lvl>
    <w:lvl w:ilvl="1">
      <w:lvlJc w:val="left"/>
      <w:lvlText w:val="%2"/>
      <w:numFmt w:val="decimal"/>
      <w:start w:val="1"/>
    </w:lvl>
  </w:abstractNum>
  <w:abstractNum w:abstractNumId="164">
    <w:nsid w:val="3E6400E6"/>
    <w:multiLevelType w:val="hybridMultilevel"/>
    <w:lvl w:ilvl="0">
      <w:lvlJc w:val="left"/>
      <w:lvlText w:val="%1"/>
      <w:numFmt w:val="decimal"/>
      <w:start w:val="1"/>
    </w:lvl>
    <w:lvl w:ilvl="1">
      <w:lvlJc w:val="left"/>
      <w:lvlText w:val="(%2)"/>
      <w:numFmt w:val="lowerLetter"/>
      <w:start w:val="1"/>
    </w:lvl>
  </w:abstractNum>
  <w:abstractNum w:abstractNumId="165">
    <w:nsid w:val="14217E23"/>
    <w:multiLevelType w:val="hybridMultilevel"/>
    <w:lvl w:ilvl="0">
      <w:lvlJc w:val="left"/>
      <w:lvlText w:val="(%1)"/>
      <w:numFmt w:val="decimal"/>
      <w:start w:val="1"/>
    </w:lvl>
    <w:lvl w:ilvl="1">
      <w:lvlJc w:val="left"/>
      <w:lvlText w:val="(%2)"/>
      <w:numFmt w:val="lowerLetter"/>
      <w:start w:val="2"/>
    </w:lvl>
  </w:abstractNum>
  <w:abstractNum w:abstractNumId="166">
    <w:nsid w:val="710757D0"/>
    <w:multiLevelType w:val="hybridMultilevel"/>
    <w:lvl w:ilvl="0">
      <w:lvlJc w:val="left"/>
      <w:lvlText w:val="%1."/>
      <w:numFmt w:val="decimal"/>
      <w:start w:val="13"/>
    </w:lvl>
  </w:abstractNum>
  <w:abstractNum w:abstractNumId="167">
    <w:nsid w:val="5015CD1A"/>
    <w:multiLevelType w:val="hybridMultilevel"/>
    <w:lvl w:ilvl="0">
      <w:lvlJc w:val="left"/>
      <w:lvlText w:val="1"/>
      <w:numFmt w:val="bullet"/>
      <w:start w:val="1"/>
    </w:lvl>
  </w:abstractNum>
  <w:abstractNum w:abstractNumId="168">
    <w:nsid w:val="424479DA"/>
    <w:multiLevelType w:val="hybridMultilevel"/>
    <w:lvl w:ilvl="0">
      <w:lvlJc w:val="left"/>
      <w:lvlText w:val="%1."/>
      <w:numFmt w:val="decimal"/>
      <w:start w:val="1"/>
    </w:lvl>
    <w:lvl w:ilvl="1">
      <w:lvlJc w:val="left"/>
      <w:lvlText w:val="(%2)"/>
      <w:numFmt w:val="lowerLetter"/>
      <w:start w:val="1"/>
    </w:lvl>
  </w:abstractNum>
  <w:abstractNum w:abstractNumId="169">
    <w:nsid w:val="1A9A9E69"/>
    <w:multiLevelType w:val="hybridMultilevel"/>
    <w:lvl w:ilvl="0">
      <w:lvlJc w:val="left"/>
      <w:lvlText w:val="(%1)"/>
      <w:numFmt w:val="lowerLetter"/>
      <w:start w:val="14"/>
    </w:lvl>
  </w:abstractNum>
  <w:abstractNum w:abstractNumId="170">
    <w:nsid w:val="475E256A"/>
    <w:multiLevelType w:val="hybridMultilevel"/>
    <w:lvl w:ilvl="0">
      <w:lvlJc w:val="left"/>
      <w:lvlText w:val="(%1)"/>
      <w:numFmt w:val="lowerLetter"/>
      <w:start w:val="27"/>
    </w:lvl>
  </w:abstractNum>
  <w:abstractNum w:abstractNumId="171">
    <w:nsid w:val="368DB37E"/>
    <w:multiLevelType w:val="hybridMultilevel"/>
    <w:lvl w:ilvl="0">
      <w:lvlJc w:val="left"/>
      <w:lvlText w:val="%1"/>
      <w:numFmt w:val="decimal"/>
      <w:start w:val="1"/>
    </w:lvl>
    <w:lvl w:ilvl="1">
      <w:lvlJc w:val="left"/>
      <w:lvlText w:val="(%2)"/>
      <w:numFmt w:val="lowerLetter"/>
      <w:start w:val="28"/>
    </w:lvl>
  </w:abstractNum>
  <w:abstractNum w:abstractNumId="172">
    <w:nsid w:val="6A3B714C"/>
    <w:multiLevelType w:val="hybridMultilevel"/>
    <w:lvl w:ilvl="0">
      <w:lvlJc w:val="left"/>
      <w:lvlText w:val="%1."/>
      <w:numFmt w:val="decimal"/>
      <w:start w:val="2"/>
    </w:lvl>
    <w:lvl w:ilvl="1">
      <w:lvlJc w:val="left"/>
      <w:lvlText w:val="(%2)"/>
      <w:numFmt w:val="lowerLetter"/>
      <w:start w:val="1"/>
    </w:lvl>
  </w:abstractNum>
  <w:abstractNum w:abstractNumId="173">
    <w:nsid w:val="327B517E"/>
    <w:multiLevelType w:val="hybridMultilevel"/>
    <w:lvl w:ilvl="0">
      <w:lvlJc w:val="left"/>
      <w:lvlText w:val="(%1)"/>
      <w:numFmt w:val="lowerLetter"/>
      <w:start w:val="2"/>
    </w:lvl>
    <w:lvl w:ilvl="1">
      <w:lvlJc w:val="left"/>
      <w:lvlText w:val="(%2)"/>
      <w:numFmt w:val="decimal"/>
      <w:start w:val="1"/>
    </w:lvl>
  </w:abstractNum>
  <w:abstractNum w:abstractNumId="174">
    <w:nsid w:val="1F461B51"/>
    <w:multiLevelType w:val="hybridMultilevel"/>
    <w:lvl w:ilvl="0">
      <w:lvlJc w:val="left"/>
      <w:lvlText w:val="(%1)"/>
      <w:numFmt w:val="lowerLetter"/>
      <w:start w:val="5"/>
    </w:lvl>
  </w:abstractNum>
  <w:abstractNum w:abstractNumId="175">
    <w:nsid w:val="29BACF2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decimal"/>
      <w:start w:val="2"/>
    </w:lvl>
  </w:abstractNum>
  <w:abstractNum w:abstractNumId="176">
    <w:nsid w:val="5D5BABB3"/>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177">
    <w:nsid w:val="51BF6B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178">
    <w:nsid w:val="7E0F6384"/>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79">
    <w:nsid w:val="2B4B8B53"/>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80">
    <w:nsid w:val="72E3413A"/>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81">
    <w:nsid w:val="116AE494"/>
    <w:multiLevelType w:val="hybridMultilevel"/>
    <w:lvl w:ilvl="0">
      <w:lvlJc w:val="left"/>
      <w:lvlText w:val="%1."/>
      <w:numFmt w:val="decimal"/>
      <w:start w:val="8"/>
    </w:lvl>
  </w:abstractNum>
  <w:abstractNum w:abstractNumId="182">
    <w:nsid w:val="3494B2FB"/>
    <w:multiLevelType w:val="hybridMultilevel"/>
    <w:lvl w:ilvl="0">
      <w:lvlJc w:val="left"/>
      <w:lvlText w:val="%1."/>
      <w:numFmt w:val="decimal"/>
      <w:start w:val="13"/>
    </w:lvl>
  </w:abstractNum>
  <w:abstractNum w:abstractNumId="183">
    <w:nsid w:val="B13A31"/>
    <w:multiLevelType w:val="hybridMultilevel"/>
    <w:lvl w:ilvl="0">
      <w:lvlJc w:val="left"/>
      <w:lvlText w:val="%1."/>
      <w:numFmt w:val="decimal"/>
      <w:start w:val="23"/>
    </w:lvl>
  </w:abstractNum>
  <w:abstractNum w:abstractNumId="184">
    <w:nsid w:val="64429599"/>
    <w:multiLevelType w:val="hybridMultilevel"/>
    <w:lvl w:ilvl="0">
      <w:lvlJc w:val="left"/>
      <w:lvlText w:val="%1."/>
      <w:numFmt w:val="decimal"/>
      <w:start w:val="1"/>
    </w:lvl>
  </w:abstractNum>
  <w:abstractNum w:abstractNumId="185">
    <w:nsid w:val="631F1690"/>
    <w:multiLevelType w:val="hybridMultilevel"/>
    <w:lvl w:ilvl="0">
      <w:lvlJc w:val="left"/>
      <w:lvlText w:val="%1."/>
      <w:numFmt w:val="decimal"/>
      <w:start w:val="2"/>
    </w:lvl>
  </w:abstractNum>
  <w:abstractNum w:abstractNumId="186">
    <w:nsid w:val="25973E32"/>
    <w:multiLevelType w:val="hybridMultilevel"/>
    <w:lvl w:ilvl="0">
      <w:lvlJc w:val="left"/>
      <w:lvlText w:val="%1."/>
      <w:numFmt w:val="decimal"/>
      <w:start w:val="3"/>
    </w:lvl>
  </w:abstractNum>
  <w:abstractNum w:abstractNumId="187">
    <w:nsid w:val="EAD6F57"/>
    <w:multiLevelType w:val="hybridMultilevel"/>
    <w:lvl w:ilvl="0">
      <w:lvlJc w:val="left"/>
      <w:lvlText w:val="%1."/>
      <w:numFmt w:val="decimal"/>
      <w:start w:val="1"/>
    </w:lvl>
    <w:lvl w:ilvl="1">
      <w:lvlJc w:val="left"/>
      <w:lvlText w:val="%2)"/>
      <w:numFmt w:val="lowerLetter"/>
      <w:start w:val="1"/>
    </w:lvl>
  </w:abstractNum>
  <w:abstractNum w:abstractNumId="188">
    <w:nsid w:val="6EC9D844"/>
    <w:multiLevelType w:val="hybridMultilevel"/>
    <w:lvl w:ilvl="0">
      <w:lvlJc w:val="left"/>
      <w:lvlText w:val="%1."/>
      <w:numFmt w:val="decimal"/>
      <w:start w:val="1"/>
    </w:lvl>
    <w:lvl w:ilvl="1">
      <w:lvlJc w:val="left"/>
      <w:lvlText w:val="%2)"/>
      <w:numFmt w:val="lowerLetter"/>
      <w:start w:val="1"/>
    </w:lvl>
  </w:abstractNum>
  <w:abstractNum w:abstractNumId="189">
    <w:nsid w:val="5C49EA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jpe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72" Type="http://schemas.openxmlformats.org/officeDocument/2006/relationships/image" Target="media/image222.png"/><Relationship Id="rId273"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95" Type="http://schemas.openxmlformats.org/officeDocument/2006/relationships/image" Target="media/image243.png"/><Relationship Id="rId296" Type="http://schemas.openxmlformats.org/officeDocument/2006/relationships/image" Target="media/image244.png"/><Relationship Id="rId297" Type="http://schemas.openxmlformats.org/officeDocument/2006/relationships/image" Target="media/image245.png"/><Relationship Id="rId298" Type="http://schemas.openxmlformats.org/officeDocument/2006/relationships/image" Target="media/image246.png"/><Relationship Id="rId299" Type="http://schemas.openxmlformats.org/officeDocument/2006/relationships/image" Target="media/image247.png"/><Relationship Id="rId300" Type="http://schemas.openxmlformats.org/officeDocument/2006/relationships/image" Target="media/image248.png"/><Relationship Id="rId301" Type="http://schemas.openxmlformats.org/officeDocument/2006/relationships/image" Target="media/image249.png"/><Relationship Id="rId302" Type="http://schemas.openxmlformats.org/officeDocument/2006/relationships/image" Target="media/image250.png"/><Relationship Id="rId303" Type="http://schemas.openxmlformats.org/officeDocument/2006/relationships/image" Target="media/image251.png"/><Relationship Id="rId304" Type="http://schemas.openxmlformats.org/officeDocument/2006/relationships/image" Target="media/image252.png"/><Relationship Id="rId305" Type="http://schemas.openxmlformats.org/officeDocument/2006/relationships/image" Target="media/image253.png"/><Relationship Id="rId306" Type="http://schemas.openxmlformats.org/officeDocument/2006/relationships/image" Target="media/image254.png"/><Relationship Id="rId307" Type="http://schemas.openxmlformats.org/officeDocument/2006/relationships/image" Target="media/image255.png"/><Relationship Id="rId308" Type="http://schemas.openxmlformats.org/officeDocument/2006/relationships/image" Target="media/image256.png"/><Relationship Id="rId309" Type="http://schemas.openxmlformats.org/officeDocument/2006/relationships/image" Target="media/image257.png"/><Relationship Id="rId72" Type="http://schemas.openxmlformats.org/officeDocument/2006/relationships/hyperlink" Target="https://www.sec.gov/ix?doc=/Archives/edgar/data/1166691/000116669123000010/cmcsa-20221231.htm" TargetMode="External"/><Relationship Id="rId226" Type="http://schemas.openxmlformats.org/officeDocument/2006/relationships/hyperlink" Target="http://www.sec.gov/Archives/edgar/data/1166691/000095010315009516/dp61838_ex0301.htm" TargetMode="External"/><Relationship Id="rId227" Type="http://schemas.openxmlformats.org/officeDocument/2006/relationships/hyperlink" Target="https://www.sec.gov/Archives/edgar/data/1166691/000095010322021407/dp185899_0301.htm" TargetMode="External"/><Relationship Id="rId228" Type="http://schemas.openxmlformats.org/officeDocument/2006/relationships/hyperlink" Target="http://www.sec.gov/Archives/edgar/data/1166691/000095015903000238/exhibit4-1.txt" TargetMode="External"/><Relationship Id="rId229" Type="http://schemas.openxmlformats.org/officeDocument/2006/relationships/hyperlink" Target="http://www.sec.gov/Archives/edgar/data/1166691/000119312509033975/dex44.htm" TargetMode="External"/><Relationship Id="rId230" Type="http://schemas.openxmlformats.org/officeDocument/2006/relationships/hyperlink" Target="http://www.sec.gov/Archives/edgar/data/1166691/000119312509033975/dex45.htm" TargetMode="External"/><Relationship Id="rId231" Type="http://schemas.openxmlformats.org/officeDocument/2006/relationships/hyperlink" Target="http://www.sec.gov/Archives/edgar/data/1166691/000095010309002175/dp14665_8k-ex0401.htm" TargetMode="External"/><Relationship Id="rId232" Type="http://schemas.openxmlformats.org/officeDocument/2006/relationships/hyperlink" Target="http://www.sec.gov/Archives/edgar/data/1166691/000119312513191930/d525898dex44.htm" TargetMode="External"/><Relationship Id="rId233" Type="http://schemas.openxmlformats.org/officeDocument/2006/relationships/hyperlink" Target="http://www.sec.gov/Archives/edgar/data/902739/000119312515354626/d98958dex41.htm" TargetMode="External"/><Relationship Id="rId234" Type="http://schemas.openxmlformats.org/officeDocument/2006/relationships/hyperlink" Target="http://www.sec.gov/Archives/edgar/data/355069/000119312513370526/d554661dex43.htm" TargetMode="External"/><Relationship Id="rId235" Type="http://schemas.openxmlformats.org/officeDocument/2006/relationships/hyperlink" Target="http://www.sec.gov/Archives/edgar/data/902739/000119312515384253/d60854dex44.htm" TargetMode="External"/><Relationship Id="rId236" Type="http://schemas.openxmlformats.org/officeDocument/2006/relationships/hyperlink" Target="https://www.sec.gov/Archives/edgar/data/1040573/000119312522205728/d278911ds3asr.htm" TargetMode="External"/><Relationship Id="rId237" Type="http://schemas.openxmlformats.org/officeDocument/2006/relationships/hyperlink" Target="http://www.sec.gov/Archives/edgar/data/902739/000119312511139191/dex4.htm" TargetMode="External"/><Relationship Id="rId240" Type="http://schemas.openxmlformats.org/officeDocument/2006/relationships/hyperlink" Target="http://www.sec.gov/Archives/edgar/data/1166691/000119312513191930/d525898dex43.htm" TargetMode="External"/><Relationship Id="rId241" Type="http://schemas.openxmlformats.org/officeDocument/2006/relationships/hyperlink" Target="http://www.sec.gov/Archives/edgar/data/902739/000119312515354626/d98958dex42.htm" TargetMode="External"/><Relationship Id="rId242" Type="http://schemas.openxmlformats.org/officeDocument/2006/relationships/hyperlink" Target="http://www.sec.gov/Archives/edgar/data/902739/000116669119000005/ex413-12312018.htm" TargetMode="External"/><Relationship Id="rId243" Type="http://schemas.openxmlformats.org/officeDocument/2006/relationships/hyperlink" Target="http://www.sec.gov/Archives/edgar/data/902739/000116669119000005/ex414-12312018.htm" TargetMode="External"/><Relationship Id="rId244" Type="http://schemas.openxmlformats.org/officeDocument/2006/relationships/hyperlink" Target="http://www.sec.gov/Archives/edgar/data/1166691/000095010321005001/dp148717_ex1001.htm" TargetMode="External"/><Relationship Id="rId245" Type="http://schemas.openxmlformats.org/officeDocument/2006/relationships/hyperlink" Target="https://www.sec.gov/Archives/edgar/data/1166691/000116669122000009/ex102-12312021.htm" TargetMode="External"/><Relationship Id="rId246" Type="http://schemas.openxmlformats.org/officeDocument/2006/relationships/hyperlink" Target="https://www.sec.gov/Archives/edgar/data/1166691/000116669123000010/ex103-12312022.htm" TargetMode="External"/><Relationship Id="rId247" Type="http://schemas.openxmlformats.org/officeDocument/2006/relationships/hyperlink" Target="https://www.sec.gov/Archives/edgar/data/1166691/000116669122000009/ex103-12312021.htm" TargetMode="External"/><Relationship Id="rId248" Type="http://schemas.openxmlformats.org/officeDocument/2006/relationships/hyperlink" Target="http://www.sec.gov/Archives/edgar/data/1166691/000116669120000017/ex104-3312020.htm" TargetMode="External"/><Relationship Id="rId249" Type="http://schemas.openxmlformats.org/officeDocument/2006/relationships/hyperlink" Target="http://www.sec.gov/Archives/edgar/data/0001166691/000116669121000020/ex102-33121.htm" TargetMode="External"/><Relationship Id="rId250" Type="http://schemas.openxmlformats.org/officeDocument/2006/relationships/hyperlink" Target="http://www.sec.gov/Archives/edgar/data/1166691/000116669121000020/ex101-33121.htm" TargetMode="External"/><Relationship Id="rId251" Type="http://schemas.openxmlformats.org/officeDocument/2006/relationships/hyperlink" Target="http://www.sec.gov/Archives/edgar/data/902739/000119312516452423/d49239dex1011.htm" TargetMode="External"/><Relationship Id="rId252" Type="http://schemas.openxmlformats.org/officeDocument/2006/relationships/hyperlink" Target="https://www.sec.gov/Archives/edgar/data/1166691/000116669123000032/ex103-6302023.htm" TargetMode="External"/><Relationship Id="rId253" Type="http://schemas.openxmlformats.org/officeDocument/2006/relationships/hyperlink" Target="https://www.sec.gov/Archives/edgar/data/1166691/000095010323008707/dp195127_ex1002.htm" TargetMode="External"/><Relationship Id="rId256" Type="http://schemas.openxmlformats.org/officeDocument/2006/relationships/hyperlink" Target="http://www.sec.gov/Archives/edgar/data/1166691/000119312516535136/d162753ddef14a.htm#toc162753_32" TargetMode="External"/><Relationship Id="rId257" Type="http://schemas.openxmlformats.org/officeDocument/2006/relationships/hyperlink" Target="https://www.sec.gov/Archives/edgar/data/1166691/000095010323008707/dp195127_ex1001.htm" TargetMode="External"/><Relationship Id="rId258" Type="http://schemas.openxmlformats.org/officeDocument/2006/relationships/hyperlink" Target="http://www.sec.gov/Archives/edgar/data/1166691/000116669117000022/ex102-6302017.htm" TargetMode="External"/><Relationship Id="rId259" Type="http://schemas.openxmlformats.org/officeDocument/2006/relationships/hyperlink" Target="http://www.sec.gov/Archives/edgar/data/902739/000116669120000008/ex1020-12312019.htm" TargetMode="External"/><Relationship Id="rId260" Type="http://schemas.openxmlformats.org/officeDocument/2006/relationships/hyperlink" Target="https://www.sec.gov/Archives/edgar/data/1166691/000116669123000010/ex1015-12312022.htm" TargetMode="External"/><Relationship Id="rId261" Type="http://schemas.openxmlformats.org/officeDocument/2006/relationships/hyperlink" Target="https://www.sec.gov/Archives/edgar/data/1166691/000116669123000010/ex1016-12312022.htm" TargetMode="External"/><Relationship Id="rId262" Type="http://schemas.openxmlformats.org/officeDocument/2006/relationships/hyperlink" Target="https://www.sec.gov/Archives/edgar/data/1166691/000116669122000039/ex101-9302022.htm" TargetMode="External"/><Relationship Id="rId263" Type="http://schemas.openxmlformats.org/officeDocument/2006/relationships/hyperlink" Target="https://www.sec.gov/Archives/edgar/data/1166691/000116669122000030/ex101-6302022.htm" TargetMode="External"/><Relationship Id="rId264" Type="http://schemas.openxmlformats.org/officeDocument/2006/relationships/hyperlink" Target="http://www.sec.gov/Archives/edgar/data/0001166691/000116669121000008/ex1035-123120.htm" TargetMode="External"/><Relationship Id="rId265" Type="http://schemas.openxmlformats.org/officeDocument/2006/relationships/hyperlink" Target="http://www.sec.gov/Archives/edgar/data/0001166691/000116669121000008/ex1037-1231x20.htm" TargetMode="External"/><Relationship Id="rId266" Type="http://schemas.openxmlformats.org/officeDocument/2006/relationships/hyperlink" Target="https://www.sec.gov/Archives/edgar/data/1166691/000116669123000010/ex1024-12312022.htm" TargetMode="External"/><Relationship Id="rId267" Type="http://schemas.openxmlformats.org/officeDocument/2006/relationships/hyperlink" Target="http://www.sec.gov/Archives/edgar/data/902739/000119312515068526/d817352dex1060.htm" TargetMode="External"/><Relationship Id="rId268" Type="http://schemas.openxmlformats.org/officeDocument/2006/relationships/hyperlink" Target="http://www.sec.gov/Archives/edgar/data/1166691/000119312509166759/dex103.htm" TargetMode="External"/><Relationship Id="rId269" Type="http://schemas.openxmlformats.org/officeDocument/2006/relationships/hyperlink" Target="https://www.sec.gov/Archives/edgar/data/1166691/000116669123000010/ex1027-12312022.htm" TargetMode="External"/><Relationship Id="rId270" Type="http://schemas.openxmlformats.org/officeDocument/2006/relationships/hyperlink" Target="http://www.sec.gov/Archives/edgar/data/1262449/000119312510008732/dex1049.htm" TargetMode="External"/><Relationship Id="rId271" Type="http://schemas.openxmlformats.org/officeDocument/2006/relationships/hyperlink" Target="http://www.sec.gov/Archives/edgar/data/1262449/000119312510008732/dex1050.htm" TargetMode="External"/><Relationship Id="rId274" Type="http://schemas.openxmlformats.org/officeDocument/2006/relationships/hyperlink" Target="http://www.sec.gov/Archives/edgar/data/1262449/000119312510008732/dex1052.htm" TargetMode="External"/><Relationship Id="rId275" Type="http://schemas.openxmlformats.org/officeDocument/2006/relationships/hyperlink" Target="http://www.sec.gov/Archives/edgar/data/1262449/000119312510008732/dex10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2024-01-31T14:53:16Z</dcterms:created>
  <dcterms:modified xsi:type="dcterms:W3CDTF">2024-01-31T14:53:16Z</dcterms:modified>
</cp:coreProperties>
</file>