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163830</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960"/>
        <w:spacing w:after="0"/>
        <w:rPr>
          <w:sz w:val="20"/>
          <w:szCs w:val="20"/>
          <w:color w:val="auto"/>
        </w:rPr>
      </w:pPr>
      <w:r>
        <w:rPr>
          <w:rFonts w:ascii="Arial" w:cs="Arial" w:eastAsia="Arial" w:hAnsi="Arial"/>
          <w:sz w:val="27"/>
          <w:szCs w:val="27"/>
          <w:b w:val="1"/>
          <w:bCs w:val="1"/>
          <w:color w:val="auto"/>
        </w:rPr>
        <w:t>FORM 8-K</w:t>
      </w:r>
    </w:p>
    <w:p>
      <w:pPr>
        <w:spacing w:after="0" w:line="122" w:lineRule="exact"/>
        <w:rPr>
          <w:sz w:val="24"/>
          <w:szCs w:val="24"/>
          <w:color w:val="auto"/>
        </w:rPr>
      </w:pPr>
    </w:p>
    <w:p>
      <w:pPr>
        <w:ind w:left="4360"/>
        <w:spacing w:after="0"/>
        <w:rPr>
          <w:sz w:val="20"/>
          <w:szCs w:val="20"/>
          <w:color w:val="auto"/>
        </w:rPr>
      </w:pPr>
      <w:r>
        <w:rPr>
          <w:rFonts w:ascii="Arial" w:cs="Arial" w:eastAsia="Arial" w:hAnsi="Arial"/>
          <w:sz w:val="27"/>
          <w:szCs w:val="27"/>
          <w:b w:val="1"/>
          <w:bCs w:val="1"/>
          <w:color w:val="auto"/>
        </w:rPr>
        <w:t>CURRENT REPORT</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30, 2020</w:t>
      </w:r>
    </w:p>
    <w:p>
      <w:pPr>
        <w:spacing w:after="0" w:line="153" w:lineRule="exact"/>
        <w:rPr>
          <w:sz w:val="24"/>
          <w:szCs w:val="24"/>
          <w:color w:val="auto"/>
        </w:rPr>
      </w:pPr>
    </w:p>
    <w:tbl>
      <w:tblPr>
        <w:tblLayout w:type="fixed"/>
        <w:tblInd w:w="760" w:type="dxa"/>
        <w:tblCellMar>
          <w:top w:w="0" w:type="dxa"/>
          <w:left w:w="0" w:type="dxa"/>
          <w:bottom w:w="0" w:type="dxa"/>
          <w:right w:w="0" w:type="dxa"/>
        </w:tblCellMar>
      </w:tblPr>
      <w:tr>
        <w:trPr>
          <w:trHeight w:val="375"/>
        </w:trPr>
        <w:tc>
          <w:tcPr>
            <w:tcW w:w="2960" w:type="dxa"/>
            <w:vAlign w:val="bottom"/>
          </w:tcPr>
          <w:p>
            <w:pPr>
              <w:spacing w:after="0"/>
              <w:rPr>
                <w:sz w:val="24"/>
                <w:szCs w:val="24"/>
                <w:color w:val="auto"/>
              </w:rPr>
            </w:pPr>
          </w:p>
        </w:tc>
        <w:tc>
          <w:tcPr>
            <w:tcW w:w="6660" w:type="dxa"/>
            <w:vAlign w:val="bottom"/>
          </w:tcPr>
          <w:p>
            <w:pPr>
              <w:jc w:val="center"/>
              <w:ind w:right="2614"/>
              <w:spacing w:after="0"/>
              <w:rPr>
                <w:sz w:val="20"/>
                <w:szCs w:val="20"/>
                <w:color w:val="auto"/>
              </w:rPr>
            </w:pPr>
            <w:r>
              <w:rPr>
                <w:rFonts w:ascii="Arial" w:cs="Arial" w:eastAsia="Arial" w:hAnsi="Arial"/>
                <w:sz w:val="29"/>
                <w:szCs w:val="29"/>
                <w:b w:val="1"/>
                <w:bCs w:val="1"/>
                <w:color w:val="auto"/>
                <w:w w:val="90"/>
              </w:rPr>
              <w:t>Comcast Corporation</w:t>
            </w:r>
          </w:p>
        </w:tc>
      </w:tr>
      <w:tr>
        <w:trPr>
          <w:trHeight w:val="179"/>
        </w:trPr>
        <w:tc>
          <w:tcPr>
            <w:tcW w:w="2960" w:type="dxa"/>
            <w:vAlign w:val="bottom"/>
          </w:tcPr>
          <w:p>
            <w:pPr>
              <w:spacing w:after="0"/>
              <w:rPr>
                <w:sz w:val="15"/>
                <w:szCs w:val="15"/>
                <w:color w:val="auto"/>
              </w:rPr>
            </w:pPr>
          </w:p>
        </w:tc>
        <w:tc>
          <w:tcPr>
            <w:tcW w:w="6660" w:type="dxa"/>
            <w:vAlign w:val="bottom"/>
          </w:tcPr>
          <w:p>
            <w:pPr>
              <w:jc w:val="center"/>
              <w:ind w:right="2634"/>
              <w:spacing w:after="0"/>
              <w:rPr>
                <w:sz w:val="20"/>
                <w:szCs w:val="20"/>
                <w:color w:val="auto"/>
              </w:rPr>
            </w:pPr>
            <w:r>
              <w:rPr>
                <w:rFonts w:ascii="Arial" w:cs="Arial" w:eastAsia="Arial" w:hAnsi="Arial"/>
                <w:sz w:val="14"/>
                <w:szCs w:val="14"/>
                <w:color w:val="auto"/>
                <w:w w:val="93"/>
              </w:rPr>
              <w:t>(Exact Name of Registrant</w:t>
            </w:r>
          </w:p>
        </w:tc>
      </w:tr>
      <w:tr>
        <w:trPr>
          <w:trHeight w:val="182"/>
        </w:trPr>
        <w:tc>
          <w:tcPr>
            <w:tcW w:w="2960" w:type="dxa"/>
            <w:vAlign w:val="bottom"/>
          </w:tcPr>
          <w:p>
            <w:pPr>
              <w:spacing w:after="0"/>
              <w:rPr>
                <w:sz w:val="15"/>
                <w:szCs w:val="15"/>
                <w:color w:val="auto"/>
              </w:rPr>
            </w:pPr>
          </w:p>
        </w:tc>
        <w:tc>
          <w:tcPr>
            <w:tcW w:w="6660" w:type="dxa"/>
            <w:vAlign w:val="bottom"/>
          </w:tcPr>
          <w:p>
            <w:pPr>
              <w:jc w:val="center"/>
              <w:ind w:right="2634"/>
              <w:spacing w:after="0"/>
              <w:rPr>
                <w:sz w:val="20"/>
                <w:szCs w:val="20"/>
                <w:color w:val="auto"/>
              </w:rPr>
            </w:pPr>
            <w:r>
              <w:rPr>
                <w:rFonts w:ascii="Arial" w:cs="Arial" w:eastAsia="Arial" w:hAnsi="Arial"/>
                <w:sz w:val="14"/>
                <w:szCs w:val="14"/>
                <w:color w:val="auto"/>
                <w:w w:val="93"/>
              </w:rPr>
              <w:t>as Specified in its Charter)</w:t>
            </w:r>
          </w:p>
        </w:tc>
      </w:tr>
      <w:tr>
        <w:trPr>
          <w:trHeight w:val="444"/>
        </w:trPr>
        <w:tc>
          <w:tcPr>
            <w:tcW w:w="2960" w:type="dxa"/>
            <w:vAlign w:val="bottom"/>
          </w:tcPr>
          <w:p>
            <w:pPr>
              <w:spacing w:after="0"/>
              <w:rPr>
                <w:sz w:val="24"/>
                <w:szCs w:val="24"/>
                <w:color w:val="auto"/>
              </w:rPr>
            </w:pPr>
          </w:p>
        </w:tc>
        <w:tc>
          <w:tcPr>
            <w:tcW w:w="6660" w:type="dxa"/>
            <w:vAlign w:val="bottom"/>
          </w:tcPr>
          <w:p>
            <w:pPr>
              <w:jc w:val="center"/>
              <w:ind w:right="2634"/>
              <w:spacing w:after="0"/>
              <w:rPr>
                <w:sz w:val="20"/>
                <w:szCs w:val="20"/>
                <w:color w:val="auto"/>
              </w:rPr>
            </w:pPr>
            <w:r>
              <w:rPr>
                <w:rFonts w:ascii="Arial" w:cs="Arial" w:eastAsia="Arial" w:hAnsi="Arial"/>
                <w:sz w:val="18"/>
                <w:szCs w:val="18"/>
                <w:b w:val="1"/>
                <w:bCs w:val="1"/>
                <w:color w:val="auto"/>
                <w:w w:val="88"/>
              </w:rPr>
              <w:t>Pennsylvania</w:t>
            </w:r>
          </w:p>
        </w:tc>
      </w:tr>
      <w:tr>
        <w:trPr>
          <w:trHeight w:val="285"/>
        </w:trPr>
        <w:tc>
          <w:tcPr>
            <w:tcW w:w="2960" w:type="dxa"/>
            <w:vAlign w:val="bottom"/>
          </w:tcPr>
          <w:p>
            <w:pPr>
              <w:spacing w:after="0"/>
              <w:rPr>
                <w:sz w:val="24"/>
                <w:szCs w:val="24"/>
                <w:color w:val="auto"/>
              </w:rPr>
            </w:pPr>
          </w:p>
        </w:tc>
        <w:tc>
          <w:tcPr>
            <w:tcW w:w="6660" w:type="dxa"/>
            <w:vAlign w:val="bottom"/>
          </w:tcPr>
          <w:p>
            <w:pPr>
              <w:jc w:val="center"/>
              <w:ind w:right="26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444"/>
        </w:trPr>
        <w:tc>
          <w:tcPr>
            <w:tcW w:w="2960" w:type="dxa"/>
            <w:vAlign w:val="bottom"/>
          </w:tcPr>
          <w:p>
            <w:pPr>
              <w:jc w:val="center"/>
              <w:ind w:right="537"/>
              <w:spacing w:after="0"/>
              <w:rPr>
                <w:sz w:val="20"/>
                <w:szCs w:val="20"/>
                <w:color w:val="auto"/>
              </w:rPr>
            </w:pPr>
            <w:r>
              <w:rPr>
                <w:rFonts w:ascii="Arial" w:cs="Arial" w:eastAsia="Arial" w:hAnsi="Arial"/>
                <w:sz w:val="18"/>
                <w:szCs w:val="18"/>
                <w:b w:val="1"/>
                <w:bCs w:val="1"/>
                <w:color w:val="auto"/>
                <w:w w:val="90"/>
              </w:rPr>
              <w:t>001-32871</w:t>
            </w:r>
          </w:p>
        </w:tc>
        <w:tc>
          <w:tcPr>
            <w:tcW w:w="6660" w:type="dxa"/>
            <w:vAlign w:val="bottom"/>
          </w:tcPr>
          <w:p>
            <w:pPr>
              <w:jc w:val="center"/>
              <w:ind w:left="4594"/>
              <w:spacing w:after="0"/>
              <w:rPr>
                <w:sz w:val="20"/>
                <w:szCs w:val="20"/>
                <w:color w:val="auto"/>
              </w:rPr>
            </w:pPr>
            <w:r>
              <w:rPr>
                <w:rFonts w:ascii="Arial" w:cs="Arial" w:eastAsia="Arial" w:hAnsi="Arial"/>
                <w:sz w:val="18"/>
                <w:szCs w:val="18"/>
                <w:b w:val="1"/>
                <w:bCs w:val="1"/>
                <w:color w:val="auto"/>
                <w:w w:val="89"/>
              </w:rPr>
              <w:t>27-0000798</w:t>
            </w:r>
          </w:p>
        </w:tc>
      </w:tr>
      <w:tr>
        <w:trPr>
          <w:trHeight w:val="285"/>
        </w:trPr>
        <w:tc>
          <w:tcPr>
            <w:tcW w:w="2960" w:type="dxa"/>
            <w:vAlign w:val="bottom"/>
          </w:tcPr>
          <w:p>
            <w:pPr>
              <w:jc w:val="center"/>
              <w:ind w:right="557"/>
              <w:spacing w:after="0"/>
              <w:rPr>
                <w:sz w:val="20"/>
                <w:szCs w:val="20"/>
                <w:color w:val="auto"/>
              </w:rPr>
            </w:pPr>
            <w:r>
              <w:rPr>
                <w:rFonts w:ascii="Arial" w:cs="Arial" w:eastAsia="Arial" w:hAnsi="Arial"/>
                <w:sz w:val="14"/>
                <w:szCs w:val="14"/>
                <w:color w:val="auto"/>
                <w:w w:val="96"/>
              </w:rPr>
              <w:t>(Commission File Number)</w:t>
            </w:r>
          </w:p>
        </w:tc>
        <w:tc>
          <w:tcPr>
            <w:tcW w:w="6660" w:type="dxa"/>
            <w:vAlign w:val="bottom"/>
          </w:tcPr>
          <w:p>
            <w:pPr>
              <w:jc w:val="center"/>
              <w:ind w:left="4594"/>
              <w:spacing w:after="0"/>
              <w:rPr>
                <w:sz w:val="20"/>
                <w:szCs w:val="20"/>
                <w:color w:val="auto"/>
              </w:rPr>
            </w:pPr>
            <w:r>
              <w:rPr>
                <w:rFonts w:ascii="Arial" w:cs="Arial" w:eastAsia="Arial" w:hAnsi="Arial"/>
                <w:sz w:val="14"/>
                <w:szCs w:val="14"/>
                <w:color w:val="auto"/>
                <w:w w:val="97"/>
              </w:rPr>
              <w:t>(IRS Employer Identification No.)</w:t>
            </w:r>
          </w:p>
        </w:tc>
      </w:tr>
      <w:tr>
        <w:trPr>
          <w:trHeight w:val="444"/>
        </w:trPr>
        <w:tc>
          <w:tcPr>
            <w:tcW w:w="2960" w:type="dxa"/>
            <w:vAlign w:val="bottom"/>
          </w:tcPr>
          <w:p>
            <w:pPr>
              <w:jc w:val="center"/>
              <w:ind w:right="557"/>
              <w:spacing w:after="0"/>
              <w:rPr>
                <w:sz w:val="20"/>
                <w:szCs w:val="20"/>
                <w:color w:val="auto"/>
              </w:rPr>
            </w:pPr>
            <w:r>
              <w:rPr>
                <w:rFonts w:ascii="Arial" w:cs="Arial" w:eastAsia="Arial" w:hAnsi="Arial"/>
                <w:sz w:val="18"/>
                <w:szCs w:val="18"/>
                <w:b w:val="1"/>
                <w:bCs w:val="1"/>
                <w:color w:val="auto"/>
                <w:w w:val="89"/>
              </w:rPr>
              <w:t>One Comcast Center</w:t>
            </w:r>
          </w:p>
        </w:tc>
        <w:tc>
          <w:tcPr>
            <w:tcW w:w="6660" w:type="dxa"/>
            <w:vAlign w:val="bottom"/>
          </w:tcPr>
          <w:p>
            <w:pPr>
              <w:spacing w:after="0"/>
              <w:rPr>
                <w:sz w:val="24"/>
                <w:szCs w:val="24"/>
                <w:color w:val="auto"/>
              </w:rPr>
            </w:pPr>
          </w:p>
        </w:tc>
      </w:tr>
      <w:tr>
        <w:trPr>
          <w:trHeight w:val="270"/>
        </w:trPr>
        <w:tc>
          <w:tcPr>
            <w:tcW w:w="2960" w:type="dxa"/>
            <w:vAlign w:val="bottom"/>
          </w:tcPr>
          <w:p>
            <w:pPr>
              <w:ind w:left="460"/>
              <w:spacing w:after="0"/>
              <w:rPr>
                <w:sz w:val="20"/>
                <w:szCs w:val="20"/>
                <w:color w:val="auto"/>
              </w:rPr>
            </w:pPr>
            <w:r>
              <w:rPr>
                <w:rFonts w:ascii="Arial" w:cs="Arial" w:eastAsia="Arial" w:hAnsi="Arial"/>
                <w:sz w:val="18"/>
                <w:szCs w:val="18"/>
                <w:b w:val="1"/>
                <w:bCs w:val="1"/>
                <w:color w:val="auto"/>
              </w:rPr>
              <w:t>Philadelphia, PA</w:t>
            </w:r>
          </w:p>
        </w:tc>
        <w:tc>
          <w:tcPr>
            <w:tcW w:w="6660" w:type="dxa"/>
            <w:vAlign w:val="bottom"/>
          </w:tcPr>
          <w:p>
            <w:pPr>
              <w:jc w:val="center"/>
              <w:ind w:left="4594"/>
              <w:spacing w:after="0"/>
              <w:rPr>
                <w:sz w:val="20"/>
                <w:szCs w:val="20"/>
                <w:color w:val="auto"/>
              </w:rPr>
            </w:pPr>
            <w:r>
              <w:rPr>
                <w:rFonts w:ascii="Arial" w:cs="Arial" w:eastAsia="Arial" w:hAnsi="Arial"/>
                <w:sz w:val="18"/>
                <w:szCs w:val="18"/>
                <w:b w:val="1"/>
                <w:bCs w:val="1"/>
                <w:color w:val="auto"/>
                <w:w w:val="89"/>
              </w:rPr>
              <w:t>19103-2838</w:t>
            </w:r>
          </w:p>
        </w:tc>
      </w:tr>
      <w:tr>
        <w:trPr>
          <w:trHeight w:val="285"/>
        </w:trPr>
        <w:tc>
          <w:tcPr>
            <w:tcW w:w="2960" w:type="dxa"/>
            <w:vAlign w:val="bottom"/>
          </w:tcPr>
          <w:p>
            <w:pPr>
              <w:jc w:val="center"/>
              <w:ind w:right="537"/>
              <w:spacing w:after="0"/>
              <w:rPr>
                <w:sz w:val="20"/>
                <w:szCs w:val="20"/>
                <w:color w:val="auto"/>
              </w:rPr>
            </w:pPr>
            <w:r>
              <w:rPr>
                <w:rFonts w:ascii="Arial" w:cs="Arial" w:eastAsia="Arial" w:hAnsi="Arial"/>
                <w:sz w:val="14"/>
                <w:szCs w:val="14"/>
                <w:color w:val="auto"/>
                <w:w w:val="95"/>
              </w:rPr>
              <w:t>(Address of Principal Executive Offices)</w:t>
            </w:r>
          </w:p>
        </w:tc>
        <w:tc>
          <w:tcPr>
            <w:tcW w:w="6660" w:type="dxa"/>
            <w:vAlign w:val="bottom"/>
          </w:tcPr>
          <w:p>
            <w:pPr>
              <w:jc w:val="center"/>
              <w:ind w:left="4594"/>
              <w:spacing w:after="0"/>
              <w:rPr>
                <w:sz w:val="20"/>
                <w:szCs w:val="20"/>
                <w:color w:val="auto"/>
              </w:rPr>
            </w:pPr>
            <w:r>
              <w:rPr>
                <w:rFonts w:ascii="Arial" w:cs="Arial" w:eastAsia="Arial" w:hAnsi="Arial"/>
                <w:sz w:val="14"/>
                <w:szCs w:val="14"/>
                <w:color w:val="auto"/>
                <w:w w:val="93"/>
              </w:rPr>
              <w:t>(Zip Code)</w:t>
            </w:r>
          </w:p>
        </w:tc>
      </w:tr>
    </w:tbl>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( 215 ) 286-1700</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52" w:lineRule="exact"/>
        <w:rPr>
          <w:sz w:val="24"/>
          <w:szCs w:val="24"/>
          <w:color w:val="auto"/>
        </w:rPr>
      </w:pPr>
    </w:p>
    <w:tbl>
      <w:tblPr>
        <w:tblLayout w:type="fixed"/>
        <w:tblInd w:w="800" w:type="dxa"/>
        <w:tblCellMar>
          <w:top w:w="0" w:type="dxa"/>
          <w:left w:w="0" w:type="dxa"/>
          <w:bottom w:w="0" w:type="dxa"/>
          <w:right w:w="0" w:type="dxa"/>
        </w:tblCellMar>
      </w:tblPr>
      <w:tr>
        <w:trPr>
          <w:trHeight w:val="182"/>
        </w:trPr>
        <w:tc>
          <w:tcPr>
            <w:tcW w:w="468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27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Class A Common Stock, $0.01 par value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CMCSA</w:t>
            </w:r>
          </w:p>
        </w:tc>
        <w:tc>
          <w:tcPr>
            <w:tcW w:w="3600" w:type="dxa"/>
            <w:vAlign w:val="bottom"/>
          </w:tcPr>
          <w:p>
            <w:pPr>
              <w:jc w:val="center"/>
              <w:spacing w:after="0"/>
              <w:rPr>
                <w:sz w:val="20"/>
                <w:szCs w:val="20"/>
                <w:color w:val="auto"/>
              </w:rPr>
            </w:pPr>
            <w:r>
              <w:rPr>
                <w:rFonts w:ascii="Arial" w:cs="Arial" w:eastAsia="Arial" w:hAnsi="Arial"/>
                <w:sz w:val="14"/>
                <w:szCs w:val="14"/>
                <w:color w:val="auto"/>
                <w:w w:val="97"/>
              </w:rPr>
              <w:t>NASDAQ Global Select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0.250% Notes due 2027</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CMCS27</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1.500% Notes due 2029</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CMCS29</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0.750% Notes due 2032</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CMCS32</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1.875% Notes due 2036</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CMCS36</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1.250% Notes due 2040</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CMCS40</w:t>
            </w: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270"/>
        </w:trPr>
        <w:tc>
          <w:tcPr>
            <w:tcW w:w="46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9.455% Guaranteed Notes due 2022</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CMCSA/22</w:t>
            </w:r>
          </w:p>
        </w:tc>
        <w:tc>
          <w:tcPr>
            <w:tcW w:w="360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46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5.50% Notes due 2029</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CCGBP29</w:t>
            </w:r>
          </w:p>
        </w:tc>
        <w:tc>
          <w:tcPr>
            <w:tcW w:w="360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270"/>
        </w:trPr>
        <w:tc>
          <w:tcPr>
            <w:tcW w:w="46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 Exchangeable Subordinated Debentures due 2029</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CCZ</w:t>
            </w:r>
          </w:p>
        </w:tc>
        <w:tc>
          <w:tcPr>
            <w:tcW w:w="360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69"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95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5"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30, 2020 , Comcast Corporation (“Comcast”) issued a press release reporting the results of its operations for the three months ended March 31, 2020 .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3"/>
              </w:rPr>
              <w:t>Exhibit</w:t>
            </w:r>
          </w:p>
        </w:tc>
        <w:tc>
          <w:tcPr>
            <w:tcW w:w="880" w:type="dxa"/>
            <w:vAlign w:val="bottom"/>
          </w:tcPr>
          <w:p>
            <w:pPr>
              <w:spacing w:after="0"/>
              <w:rPr>
                <w:sz w:val="18"/>
                <w:szCs w:val="18"/>
                <w:color w:val="auto"/>
              </w:rPr>
            </w:pPr>
          </w:p>
        </w:tc>
        <w:tc>
          <w:tcPr>
            <w:tcW w:w="8780" w:type="dxa"/>
            <w:vAlign w:val="bottom"/>
          </w:tcPr>
          <w:p>
            <w:pPr>
              <w:spacing w:after="0"/>
              <w:rPr>
                <w:sz w:val="18"/>
                <w:szCs w:val="18"/>
                <w:color w:val="auto"/>
              </w:rPr>
            </w:pPr>
          </w:p>
        </w:tc>
      </w:tr>
      <w:tr>
        <w:trPr>
          <w:trHeight w:val="194"/>
        </w:trPr>
        <w:tc>
          <w:tcPr>
            <w:tcW w:w="300" w:type="dxa"/>
            <w:vAlign w:val="bottom"/>
          </w:tcPr>
          <w:p>
            <w:pPr>
              <w:spacing w:after="0"/>
              <w:rPr>
                <w:sz w:val="16"/>
                <w:szCs w:val="16"/>
                <w:color w:val="auto"/>
              </w:rPr>
            </w:pPr>
          </w:p>
        </w:tc>
        <w:tc>
          <w:tcPr>
            <w:tcW w:w="6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4"/>
              </w:rPr>
              <w:t>Number</w:t>
            </w:r>
          </w:p>
        </w:tc>
        <w:tc>
          <w:tcPr>
            <w:tcW w:w="640" w:type="dxa"/>
            <w:vAlign w:val="bottom"/>
          </w:tcPr>
          <w:p>
            <w:pPr>
              <w:spacing w:after="0"/>
              <w:rPr>
                <w:sz w:val="16"/>
                <w:szCs w:val="16"/>
                <w:color w:val="auto"/>
              </w:rPr>
            </w:pPr>
          </w:p>
        </w:tc>
        <w:tc>
          <w:tcPr>
            <w:tcW w:w="96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jc w:val="center"/>
              <w:spacing w:after="0"/>
              <w:rPr>
                <w:rFonts w:ascii="Arial" w:cs="Arial" w:eastAsia="Arial" w:hAnsi="Arial"/>
                <w:sz w:val="18"/>
                <w:szCs w:val="18"/>
                <w:u w:val="single" w:color="auto"/>
                <w:color w:val="0000FF"/>
                <w:w w:val="91"/>
              </w:rPr>
            </w:pPr>
            <w:hyperlink w:anchor="page4">
              <w:r>
                <w:rPr>
                  <w:rFonts w:ascii="Arial" w:cs="Arial" w:eastAsia="Arial" w:hAnsi="Arial"/>
                  <w:sz w:val="18"/>
                  <w:szCs w:val="18"/>
                  <w:u w:val="single" w:color="auto"/>
                  <w:color w:val="0000FF"/>
                  <w:w w:val="91"/>
                </w:rPr>
                <w:t>99.1</w:t>
              </w:r>
            </w:hyperlink>
          </w:p>
        </w:tc>
        <w:tc>
          <w:tcPr>
            <w:tcW w:w="640" w:type="dxa"/>
            <w:vAlign w:val="bottom"/>
          </w:tcPr>
          <w:p>
            <w:pPr>
              <w:spacing w:after="0"/>
              <w:rPr>
                <w:sz w:val="24"/>
                <w:szCs w:val="24"/>
                <w:color w:val="auto"/>
              </w:rPr>
            </w:pPr>
          </w:p>
        </w:tc>
        <w:tc>
          <w:tcPr>
            <w:tcW w:w="96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Comcast Corporation press release dated April 30, 2020</w:t>
              </w:r>
              <w:r>
                <w:rPr>
                  <w:rFonts w:ascii="Arial" w:cs="Arial" w:eastAsia="Arial" w:hAnsi="Arial"/>
                  <w:sz w:val="18"/>
                  <w:szCs w:val="18"/>
                  <w:color w:val="0000FF"/>
                </w:rPr>
                <w:t>.</w:t>
              </w:r>
            </w:hyperlink>
          </w:p>
        </w:tc>
      </w:tr>
      <w:tr>
        <w:trPr>
          <w:trHeight w:val="270"/>
        </w:trPr>
        <w:tc>
          <w:tcPr>
            <w:tcW w:w="940" w:type="dxa"/>
            <w:vAlign w:val="bottom"/>
            <w:gridSpan w:val="2"/>
          </w:tcPr>
          <w:p>
            <w:pPr>
              <w:jc w:val="center"/>
              <w:ind w:left="210"/>
              <w:spacing w:after="0"/>
              <w:rPr>
                <w:rFonts w:ascii="Arial" w:cs="Arial" w:eastAsia="Arial" w:hAnsi="Arial"/>
                <w:sz w:val="18"/>
                <w:szCs w:val="18"/>
                <w:u w:val="single" w:color="auto"/>
                <w:color w:val="0000FF"/>
                <w:w w:val="91"/>
              </w:rPr>
            </w:pPr>
            <w:hyperlink w:anchor="page18">
              <w:r>
                <w:rPr>
                  <w:rFonts w:ascii="Arial" w:cs="Arial" w:eastAsia="Arial" w:hAnsi="Arial"/>
                  <w:sz w:val="18"/>
                  <w:szCs w:val="18"/>
                  <w:u w:val="single" w:color="auto"/>
                  <w:color w:val="0000FF"/>
                  <w:w w:val="91"/>
                </w:rPr>
                <w:t>99.2</w:t>
              </w:r>
            </w:hyperlink>
          </w:p>
        </w:tc>
        <w:tc>
          <w:tcPr>
            <w:tcW w:w="640" w:type="dxa"/>
            <w:vAlign w:val="bottom"/>
          </w:tcPr>
          <w:p>
            <w:pPr>
              <w:spacing w:after="0"/>
              <w:rPr>
                <w:sz w:val="23"/>
                <w:szCs w:val="23"/>
                <w:color w:val="auto"/>
              </w:rPr>
            </w:pPr>
          </w:p>
        </w:tc>
        <w:tc>
          <w:tcPr>
            <w:tcW w:w="9660" w:type="dxa"/>
            <w:vAlign w:val="bottom"/>
            <w:gridSpan w:val="2"/>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Explanation of Non-GAAP and Other Financial Measures.</w:t>
              </w:r>
            </w:hyperlink>
          </w:p>
        </w:tc>
      </w:tr>
      <w:tr>
        <w:trPr>
          <w:trHeight w:val="270"/>
        </w:trPr>
        <w:tc>
          <w:tcPr>
            <w:tcW w:w="94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104</w:t>
            </w:r>
          </w:p>
        </w:tc>
        <w:tc>
          <w:tcPr>
            <w:tcW w:w="640" w:type="dxa"/>
            <w:vAlign w:val="bottom"/>
          </w:tcPr>
          <w:p>
            <w:pPr>
              <w:spacing w:after="0"/>
              <w:rPr>
                <w:sz w:val="23"/>
                <w:szCs w:val="23"/>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77"/>
        </w:trPr>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00" w:right="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18" w:lineRule="exact"/>
        <w:rPr>
          <w:sz w:val="20"/>
          <w:szCs w:val="20"/>
          <w:color w:val="auto"/>
        </w:rPr>
      </w:pPr>
    </w:p>
    <w:p>
      <w:pPr>
        <w:spacing w:after="0"/>
        <w:tabs>
          <w:tab w:leader="none" w:pos="1020" w:val="left"/>
          <w:tab w:leader="none" w:pos="5940" w:val="left"/>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31750</wp:posOffset>
            </wp:positionV>
            <wp:extent cx="3051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Daniel C. Murdock</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Senior Vice President, Chief Accounting Officer and Controller</w:t>
      </w:r>
    </w:p>
    <w:p>
      <w:pPr>
        <w:spacing w:after="0" w:line="8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000"/>
          </w:cols>
          <w:pgMar w:left="360" w:top="729" w:right="539" w:bottom="1440" w:gutter="0" w:footer="0" w:header="0"/>
        </w:sectPr>
      </w:pPr>
    </w:p>
    <w:bookmarkStart w:id="3" w:name="page4"/>
    <w:bookmarkEnd w:id="3"/>
    <w:p>
      <w:pPr>
        <w:ind w:left="85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499745</wp:posOffset>
            </wp:positionH>
            <wp:positionV relativeFrom="page">
              <wp:posOffset>363220</wp:posOffset>
            </wp:positionV>
            <wp:extent cx="137160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1st QUARTER 2020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30, 2020 … Comcast Corporation (NASDAQ: CMCSA) today reported results for the quarter ended March 31, 2020 .</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“Society is being challenged like never before in our lifetime, and I couldn’t be prouder of our company, our employees, and our leadership team across Comcast Cable, NBCUniversal, and Sky. Now more than ever the world needs to stay connected, and we’re extremely pleased that our investments in our network continue to pay off as we are handling significant increases in traffic and meeting our customers’ needs. While parts of our business have been more impacted by COVID-19 than others, we have continued to innovate. We are distributing our content in new ways, as evidenced by the recent launch of Peacock on X1 and Flex. We've also taken decisive action, having moved over 95% of our U.S. call-center employees to work from home and putting in place new procedures that have allowed more than 15,000 construction workers to safely come back to work to build our theme park in Beijing. All the divisions of our company are in constant communication, and the level of collaboration has been extraordinary. We have a strong balance sheet, terrific portfolio of assets, and a world-class management team. This is a moment in time; and when it passes, I am very confident that the decisions we are making now will enable us to emerge from this crisis as a healthy, strong company that is well positioned to continue to grow and succeed," </w:t>
      </w:r>
      <w:r>
        <w:rPr>
          <w:rFonts w:ascii="Arial" w:cs="Arial" w:eastAsia="Arial" w:hAnsi="Arial"/>
          <w:sz w:val="18"/>
          <w:szCs w:val="18"/>
          <w:color w:val="auto"/>
        </w:rPr>
        <w:t>commented Brian</w:t>
      </w:r>
      <w:r>
        <w:rPr>
          <w:rFonts w:ascii="Arial" w:cs="Arial" w:eastAsia="Arial" w:hAnsi="Arial"/>
          <w:sz w:val="18"/>
          <w:szCs w:val="18"/>
          <w:i w:val="1"/>
          <w:iCs w:val="1"/>
          <w:color w:val="auto"/>
        </w:rPr>
        <w:t xml:space="preserve"> </w:t>
      </w:r>
      <w:r>
        <w:rPr>
          <w:rFonts w:ascii="Arial" w:cs="Arial" w:eastAsia="Arial" w:hAnsi="Arial"/>
          <w:sz w:val="18"/>
          <w:szCs w:val="18"/>
          <w:color w:val="auto"/>
        </w:rPr>
        <w:t>L. Roberts, Chairman and Chief Executive Officer of Comcast Corporation.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369"/>
        </w:trPr>
        <w:tc>
          <w:tcPr>
            <w:tcW w:w="120" w:type="dxa"/>
            <w:vAlign w:val="bottom"/>
            <w:shd w:val="clear" w:color="auto" w:fill="D9D9D6"/>
          </w:tcPr>
          <w:p>
            <w:pPr>
              <w:spacing w:after="0"/>
              <w:rPr>
                <w:sz w:val="24"/>
                <w:szCs w:val="24"/>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5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00" w:type="dxa"/>
            <w:vAlign w:val="bottom"/>
            <w:tcBorders>
              <w:right w:val="single" w:sz="8" w:color="D9D9D6"/>
            </w:tcBorders>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r>
      <w:tr>
        <w:trPr>
          <w:trHeight w:val="252"/>
        </w:trPr>
        <w:tc>
          <w:tcPr>
            <w:tcW w:w="120" w:type="dxa"/>
            <w:vAlign w:val="bottom"/>
            <w:tcBorders>
              <w:bottom w:val="single" w:sz="8" w:color="D9D9D6"/>
            </w:tcBorders>
            <w:shd w:val="clear" w:color="auto" w:fill="D9D9D6"/>
          </w:tcPr>
          <w:p>
            <w:pPr>
              <w:spacing w:after="0"/>
              <w:rPr>
                <w:sz w:val="21"/>
                <w:szCs w:val="21"/>
                <w:color w:val="auto"/>
              </w:rPr>
            </w:pPr>
          </w:p>
        </w:tc>
        <w:tc>
          <w:tcPr>
            <w:tcW w:w="7960" w:type="dxa"/>
            <w:vAlign w:val="bottom"/>
            <w:tcBorders>
              <w:bottom w:val="single" w:sz="8" w:color="D9D9D6"/>
            </w:tcBorders>
            <w:shd w:val="clear" w:color="auto" w:fill="D9D9D6"/>
          </w:tcPr>
          <w:p>
            <w:pPr>
              <w:spacing w:after="0"/>
              <w:rPr>
                <w:sz w:val="21"/>
                <w:szCs w:val="21"/>
                <w:color w:val="auto"/>
              </w:rPr>
            </w:pPr>
          </w:p>
        </w:tc>
        <w:tc>
          <w:tcPr>
            <w:tcW w:w="52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10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780" w:type="dxa"/>
            <w:vAlign w:val="bottom"/>
            <w:tcBorders>
              <w:bottom w:val="single" w:sz="8" w:color="auto"/>
              <w:right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highlight w:val="lightGray"/>
              </w:rPr>
              <w:t>1st Quarter</w:t>
            </w:r>
          </w:p>
        </w:tc>
        <w:tc>
          <w:tcPr>
            <w:tcW w:w="440" w:type="dxa"/>
            <w:vAlign w:val="bottom"/>
            <w:tcBorders>
              <w:bottom w:val="single" w:sz="8" w:color="D9D9D6"/>
            </w:tcBorders>
            <w:shd w:val="clear" w:color="auto" w:fill="D9D9D6"/>
          </w:tcPr>
          <w:p>
            <w:pPr>
              <w:spacing w:after="0"/>
              <w:rPr>
                <w:sz w:val="21"/>
                <w:szCs w:val="21"/>
                <w:color w:val="auto"/>
              </w:rPr>
            </w:pPr>
          </w:p>
        </w:tc>
        <w:tc>
          <w:tcPr>
            <w:tcW w:w="46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r>
      <w:tr>
        <w:trPr>
          <w:trHeight w:val="223"/>
        </w:trPr>
        <w:tc>
          <w:tcPr>
            <w:tcW w:w="120" w:type="dxa"/>
            <w:vAlign w:val="bottom"/>
            <w:tcBorders>
              <w:bottom w:val="single" w:sz="8" w:color="D9D9D6"/>
            </w:tcBorders>
            <w:shd w:val="clear" w:color="auto" w:fill="D9D9D6"/>
          </w:tcPr>
          <w:p>
            <w:pPr>
              <w:spacing w:after="0"/>
              <w:rPr>
                <w:sz w:val="19"/>
                <w:szCs w:val="19"/>
                <w:color w:val="auto"/>
              </w:rPr>
            </w:pPr>
          </w:p>
        </w:tc>
        <w:tc>
          <w:tcPr>
            <w:tcW w:w="79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52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2020</w:t>
            </w:r>
          </w:p>
        </w:tc>
        <w:tc>
          <w:tcPr>
            <w:tcW w:w="100" w:type="dxa"/>
            <w:vAlign w:val="bottom"/>
            <w:tcBorders>
              <w:bottom w:val="single" w:sz="8" w:color="D9D9D6"/>
            </w:tcBorders>
            <w:shd w:val="clear" w:color="auto" w:fill="D9D9D6"/>
          </w:tcPr>
          <w:p>
            <w:pPr>
              <w:spacing w:after="0"/>
              <w:rPr>
                <w:sz w:val="19"/>
                <w:szCs w:val="19"/>
                <w:color w:val="auto"/>
              </w:rPr>
            </w:pPr>
          </w:p>
        </w:tc>
        <w:tc>
          <w:tcPr>
            <w:tcW w:w="580" w:type="dxa"/>
            <w:vAlign w:val="bottom"/>
            <w:tcBorders>
              <w:bottom w:val="single" w:sz="8" w:color="D9D9D6"/>
            </w:tcBorders>
            <w:gridSpan w:val="2"/>
            <w:shd w:val="clear" w:color="auto" w:fill="D9D9D6"/>
          </w:tcPr>
          <w:p>
            <w:pPr>
              <w:spacing w:after="0"/>
              <w:rPr>
                <w:sz w:val="19"/>
                <w:szCs w:val="19"/>
                <w:color w:val="auto"/>
              </w:rPr>
            </w:pPr>
          </w:p>
        </w:tc>
        <w:tc>
          <w:tcPr>
            <w:tcW w:w="3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2019</w:t>
            </w:r>
          </w:p>
        </w:tc>
        <w:tc>
          <w:tcPr>
            <w:tcW w:w="100" w:type="dxa"/>
            <w:vAlign w:val="bottom"/>
            <w:tcBorders>
              <w:bottom w:val="single" w:sz="8" w:color="D9D9D6"/>
              <w:right w:val="single" w:sz="8" w:color="D9D9D6"/>
            </w:tcBorders>
            <w:shd w:val="clear" w:color="auto" w:fill="D9D9D6"/>
          </w:tcPr>
          <w:p>
            <w:pPr>
              <w:spacing w:after="0"/>
              <w:rPr>
                <w:sz w:val="19"/>
                <w:szCs w:val="19"/>
                <w:color w:val="auto"/>
              </w:rPr>
            </w:pPr>
          </w:p>
        </w:tc>
        <w:tc>
          <w:tcPr>
            <w:tcW w:w="44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7"/>
              </w:rPr>
              <w:t>Growth</w:t>
            </w:r>
          </w:p>
        </w:tc>
        <w:tc>
          <w:tcPr>
            <w:tcW w:w="320" w:type="dxa"/>
            <w:vAlign w:val="bottom"/>
            <w:tcBorders>
              <w:bottom w:val="single" w:sz="8" w:color="D9D9D6"/>
            </w:tcBorders>
            <w:shd w:val="clear" w:color="auto" w:fill="D9D9D6"/>
          </w:tcPr>
          <w:p>
            <w:pPr>
              <w:spacing w:after="0"/>
              <w:rPr>
                <w:sz w:val="19"/>
                <w:szCs w:val="19"/>
                <w:color w:val="auto"/>
              </w:rPr>
            </w:pPr>
          </w:p>
        </w:tc>
      </w:tr>
      <w:tr>
        <w:trPr>
          <w:trHeight w:val="440"/>
        </w:trPr>
        <w:tc>
          <w:tcPr>
            <w:tcW w:w="120" w:type="dxa"/>
            <w:vAlign w:val="bottom"/>
            <w:shd w:val="clear" w:color="auto" w:fill="D9D9D6"/>
          </w:tcPr>
          <w:p>
            <w:pPr>
              <w:spacing w:after="0"/>
              <w:rPr>
                <w:sz w:val="24"/>
                <w:szCs w:val="24"/>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$26,609</w:t>
            </w: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$26,859</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(0.9%)</w:t>
            </w:r>
          </w:p>
        </w:tc>
      </w:tr>
      <w:tr>
        <w:trPr>
          <w:trHeight w:val="270"/>
        </w:trPr>
        <w:tc>
          <w:tcPr>
            <w:tcW w:w="120" w:type="dxa"/>
            <w:vAlign w:val="bottom"/>
            <w:shd w:val="clear" w:color="auto" w:fill="D9D9D6"/>
          </w:tcPr>
          <w:p>
            <w:pPr>
              <w:spacing w:after="0"/>
              <w:rPr>
                <w:sz w:val="23"/>
                <w:szCs w:val="23"/>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$2,147</w:t>
            </w:r>
          </w:p>
        </w:tc>
        <w:tc>
          <w:tcPr>
            <w:tcW w:w="100" w:type="dxa"/>
            <w:vAlign w:val="bottom"/>
            <w:shd w:val="clear" w:color="auto" w:fill="D9D9D6"/>
          </w:tcPr>
          <w:p>
            <w:pPr>
              <w:spacing w:after="0"/>
              <w:rPr>
                <w:sz w:val="23"/>
                <w:szCs w:val="23"/>
                <w:color w:val="auto"/>
              </w:rPr>
            </w:pP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$3,553</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(39.6%)</w:t>
            </w:r>
          </w:p>
        </w:tc>
      </w:tr>
      <w:tr>
        <w:trPr>
          <w:trHeight w:val="282"/>
        </w:trPr>
        <w:tc>
          <w:tcPr>
            <w:tcW w:w="120" w:type="dxa"/>
            <w:vAlign w:val="bottom"/>
            <w:shd w:val="clear" w:color="auto" w:fill="D9D9D6"/>
          </w:tcPr>
          <w:p>
            <w:pPr>
              <w:spacing w:after="0"/>
              <w:rPr>
                <w:sz w:val="24"/>
                <w:szCs w:val="24"/>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 xml:space="preserve">Adjusted Net Income </w:t>
            </w:r>
            <w:r>
              <w:rPr>
                <w:rFonts w:ascii="Arial" w:cs="Arial" w:eastAsia="Arial" w:hAnsi="Arial"/>
                <w:sz w:val="23"/>
                <w:szCs w:val="23"/>
                <w:color w:val="auto"/>
                <w:vertAlign w:val="superscript"/>
              </w:rPr>
              <w:t>1</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$3,266</w:t>
            </w:r>
          </w:p>
        </w:tc>
        <w:tc>
          <w:tcPr>
            <w:tcW w:w="100" w:type="dxa"/>
            <w:vAlign w:val="bottom"/>
            <w:shd w:val="clear" w:color="auto" w:fill="D9D9D6"/>
          </w:tcPr>
          <w:p>
            <w:pPr>
              <w:spacing w:after="0"/>
              <w:rPr>
                <w:sz w:val="24"/>
                <w:szCs w:val="24"/>
                <w:color w:val="auto"/>
              </w:rPr>
            </w:pP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$3,477</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(6.1%)</w:t>
            </w:r>
          </w:p>
        </w:tc>
      </w:tr>
      <w:tr>
        <w:trPr>
          <w:trHeight w:val="270"/>
        </w:trPr>
        <w:tc>
          <w:tcPr>
            <w:tcW w:w="120" w:type="dxa"/>
            <w:vAlign w:val="bottom"/>
            <w:shd w:val="clear" w:color="auto" w:fill="D9D9D6"/>
          </w:tcPr>
          <w:p>
            <w:pPr>
              <w:spacing w:after="0"/>
              <w:rPr>
                <w:sz w:val="23"/>
                <w:szCs w:val="23"/>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23"/>
                <w:szCs w:val="23"/>
                <w:color w:val="auto"/>
                <w:vertAlign w:val="superscript"/>
              </w:rPr>
              <w:t>2</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$8,130</w:t>
            </w:r>
          </w:p>
        </w:tc>
        <w:tc>
          <w:tcPr>
            <w:tcW w:w="100" w:type="dxa"/>
            <w:vAlign w:val="bottom"/>
            <w:shd w:val="clear" w:color="auto" w:fill="D9D9D6"/>
          </w:tcPr>
          <w:p>
            <w:pPr>
              <w:spacing w:after="0"/>
              <w:rPr>
                <w:sz w:val="23"/>
                <w:szCs w:val="23"/>
                <w:color w:val="auto"/>
              </w:rPr>
            </w:pP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$8,553</w:t>
            </w: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(4.9%)</w:t>
            </w:r>
          </w:p>
        </w:tc>
      </w:tr>
      <w:tr>
        <w:trPr>
          <w:trHeight w:val="270"/>
        </w:trPr>
        <w:tc>
          <w:tcPr>
            <w:tcW w:w="120" w:type="dxa"/>
            <w:vAlign w:val="bottom"/>
            <w:shd w:val="clear" w:color="auto" w:fill="D9D9D6"/>
          </w:tcPr>
          <w:p>
            <w:pPr>
              <w:spacing w:after="0"/>
              <w:rPr>
                <w:sz w:val="23"/>
                <w:szCs w:val="23"/>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 xml:space="preserve">Earnings per Share </w:t>
            </w:r>
            <w:r>
              <w:rPr>
                <w:rFonts w:ascii="Arial" w:cs="Arial" w:eastAsia="Arial" w:hAnsi="Arial"/>
                <w:sz w:val="23"/>
                <w:szCs w:val="23"/>
                <w:color w:val="auto"/>
                <w:vertAlign w:val="superscript"/>
              </w:rPr>
              <w:t>3</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D9D9D6"/>
          </w:tcPr>
          <w:p>
            <w:pPr>
              <w:spacing w:after="0"/>
              <w:rPr>
                <w:sz w:val="23"/>
                <w:szCs w:val="23"/>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$0.77</w:t>
            </w:r>
          </w:p>
        </w:tc>
        <w:tc>
          <w:tcPr>
            <w:tcW w:w="100" w:type="dxa"/>
            <w:vAlign w:val="bottom"/>
            <w:tcBorders>
              <w:right w:val="single" w:sz="8" w:color="D9D9D6"/>
            </w:tcBorders>
            <w:shd w:val="clear" w:color="auto" w:fill="D9D9D6"/>
          </w:tcPr>
          <w:p>
            <w:pPr>
              <w:spacing w:after="0"/>
              <w:rPr>
                <w:sz w:val="23"/>
                <w:szCs w:val="23"/>
                <w:color w:val="auto"/>
              </w:rPr>
            </w:pP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(40.3%)</w:t>
            </w:r>
          </w:p>
        </w:tc>
      </w:tr>
      <w:tr>
        <w:trPr>
          <w:trHeight w:val="270"/>
        </w:trPr>
        <w:tc>
          <w:tcPr>
            <w:tcW w:w="120" w:type="dxa"/>
            <w:vAlign w:val="bottom"/>
            <w:shd w:val="clear" w:color="auto" w:fill="D9D9D6"/>
          </w:tcPr>
          <w:p>
            <w:pPr>
              <w:spacing w:after="0"/>
              <w:rPr>
                <w:sz w:val="23"/>
                <w:szCs w:val="23"/>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 xml:space="preserve">Adjusted EPS </w:t>
            </w:r>
            <w:r>
              <w:rPr>
                <w:rFonts w:ascii="Arial" w:cs="Arial" w:eastAsia="Arial" w:hAnsi="Arial"/>
                <w:sz w:val="23"/>
                <w:szCs w:val="23"/>
                <w:color w:val="auto"/>
                <w:vertAlign w:val="superscript"/>
              </w:rPr>
              <w:t>1</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D9D9D6"/>
          </w:tcPr>
          <w:p>
            <w:pPr>
              <w:spacing w:after="0"/>
              <w:rPr>
                <w:sz w:val="23"/>
                <w:szCs w:val="23"/>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$0.76</w:t>
            </w:r>
          </w:p>
        </w:tc>
        <w:tc>
          <w:tcPr>
            <w:tcW w:w="100" w:type="dxa"/>
            <w:vAlign w:val="bottom"/>
            <w:tcBorders>
              <w:right w:val="single" w:sz="8" w:color="D9D9D6"/>
            </w:tcBorders>
            <w:shd w:val="clear" w:color="auto" w:fill="D9D9D6"/>
          </w:tcPr>
          <w:p>
            <w:pPr>
              <w:spacing w:after="0"/>
              <w:rPr>
                <w:sz w:val="23"/>
                <w:szCs w:val="23"/>
                <w:color w:val="auto"/>
              </w:rPr>
            </w:pP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(6.6%)</w:t>
            </w:r>
          </w:p>
        </w:tc>
      </w:tr>
      <w:tr>
        <w:trPr>
          <w:trHeight w:val="270"/>
        </w:trPr>
        <w:tc>
          <w:tcPr>
            <w:tcW w:w="120" w:type="dxa"/>
            <w:vAlign w:val="bottom"/>
            <w:shd w:val="clear" w:color="auto" w:fill="D9D9D6"/>
          </w:tcPr>
          <w:p>
            <w:pPr>
              <w:spacing w:after="0"/>
              <w:rPr>
                <w:sz w:val="23"/>
                <w:szCs w:val="23"/>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$5,824</w:t>
            </w:r>
          </w:p>
        </w:tc>
        <w:tc>
          <w:tcPr>
            <w:tcW w:w="100" w:type="dxa"/>
            <w:vAlign w:val="bottom"/>
            <w:shd w:val="clear" w:color="auto" w:fill="D9D9D6"/>
          </w:tcPr>
          <w:p>
            <w:pPr>
              <w:spacing w:after="0"/>
              <w:rPr>
                <w:sz w:val="23"/>
                <w:szCs w:val="23"/>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$7,231</w:t>
            </w:r>
          </w:p>
        </w:tc>
        <w:tc>
          <w:tcPr>
            <w:tcW w:w="100" w:type="dxa"/>
            <w:vAlign w:val="bottom"/>
            <w:tcBorders>
              <w:right w:val="single" w:sz="8" w:color="D9D9D6"/>
            </w:tcBorders>
            <w:shd w:val="clear" w:color="auto" w:fill="D9D9D6"/>
          </w:tcPr>
          <w:p>
            <w:pPr>
              <w:spacing w:after="0"/>
              <w:rPr>
                <w:sz w:val="23"/>
                <w:szCs w:val="23"/>
                <w:color w:val="auto"/>
              </w:rPr>
            </w:pPr>
          </w:p>
        </w:tc>
        <w:tc>
          <w:tcPr>
            <w:tcW w:w="1220" w:type="dxa"/>
            <w:vAlign w:val="bottom"/>
            <w:gridSpan w:val="3"/>
            <w:shd w:val="clear" w:color="auto" w:fill="D9D9D6"/>
          </w:tcPr>
          <w:p>
            <w:pPr>
              <w:jc w:val="right"/>
              <w:ind w:right="140"/>
              <w:spacing w:after="0"/>
              <w:rPr>
                <w:sz w:val="20"/>
                <w:szCs w:val="20"/>
                <w:color w:val="auto"/>
              </w:rPr>
            </w:pPr>
            <w:r>
              <w:rPr>
                <w:rFonts w:ascii="Arial" w:cs="Arial" w:eastAsia="Arial" w:hAnsi="Arial"/>
                <w:sz w:val="14"/>
                <w:szCs w:val="14"/>
                <w:color w:val="auto"/>
              </w:rPr>
              <w:t>(19.5%)</w:t>
            </w:r>
          </w:p>
        </w:tc>
      </w:tr>
      <w:tr>
        <w:trPr>
          <w:trHeight w:val="270"/>
        </w:trPr>
        <w:tc>
          <w:tcPr>
            <w:tcW w:w="120" w:type="dxa"/>
            <w:vAlign w:val="bottom"/>
            <w:shd w:val="clear" w:color="auto" w:fill="D9D9D6"/>
          </w:tcPr>
          <w:p>
            <w:pPr>
              <w:spacing w:after="0"/>
              <w:rPr>
                <w:sz w:val="23"/>
                <w:szCs w:val="23"/>
                <w:color w:val="auto"/>
              </w:rPr>
            </w:pPr>
          </w:p>
        </w:tc>
        <w:tc>
          <w:tcPr>
            <w:tcW w:w="7960" w:type="dxa"/>
            <w:vAlign w:val="bottom"/>
            <w:shd w:val="clear" w:color="auto" w:fill="D9D9D6"/>
          </w:tcPr>
          <w:p>
            <w:pPr>
              <w:ind w:left="20"/>
              <w:spacing w:after="0"/>
              <w:rPr>
                <w:sz w:val="20"/>
                <w:szCs w:val="20"/>
                <w:color w:val="auto"/>
              </w:rPr>
            </w:pPr>
            <w:r>
              <w:rPr>
                <w:rFonts w:ascii="Arial" w:cs="Arial" w:eastAsia="Arial" w:hAnsi="Arial"/>
                <w:sz w:val="14"/>
                <w:szCs w:val="14"/>
                <w:color w:val="auto"/>
              </w:rPr>
              <w:t xml:space="preserve">Free Cash Flow </w:t>
            </w:r>
            <w:r>
              <w:rPr>
                <w:rFonts w:ascii="Arial" w:cs="Arial" w:eastAsia="Arial" w:hAnsi="Arial"/>
                <w:sz w:val="23"/>
                <w:szCs w:val="23"/>
                <w:color w:val="auto"/>
                <w:vertAlign w:val="superscript"/>
              </w:rPr>
              <w:t>4</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$3,325</w:t>
            </w:r>
          </w:p>
        </w:tc>
        <w:tc>
          <w:tcPr>
            <w:tcW w:w="100" w:type="dxa"/>
            <w:vAlign w:val="bottom"/>
            <w:shd w:val="clear" w:color="auto" w:fill="D9D9D6"/>
          </w:tcPr>
          <w:p>
            <w:pPr>
              <w:spacing w:after="0"/>
              <w:rPr>
                <w:sz w:val="23"/>
                <w:szCs w:val="23"/>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$4,592</w:t>
            </w:r>
          </w:p>
        </w:tc>
        <w:tc>
          <w:tcPr>
            <w:tcW w:w="100" w:type="dxa"/>
            <w:vAlign w:val="bottom"/>
            <w:tcBorders>
              <w:right w:val="single" w:sz="8" w:color="D9D9D6"/>
            </w:tcBorders>
            <w:shd w:val="clear" w:color="auto" w:fill="D9D9D6"/>
          </w:tcPr>
          <w:p>
            <w:pPr>
              <w:spacing w:after="0"/>
              <w:rPr>
                <w:sz w:val="23"/>
                <w:szCs w:val="23"/>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(27.6%)</w:t>
            </w:r>
          </w:p>
        </w:tc>
      </w:tr>
      <w:tr>
        <w:trPr>
          <w:trHeight w:val="122"/>
        </w:trPr>
        <w:tc>
          <w:tcPr>
            <w:tcW w:w="120" w:type="dxa"/>
            <w:vAlign w:val="bottom"/>
            <w:shd w:val="clear" w:color="auto" w:fill="D9D9D6"/>
          </w:tcPr>
          <w:p>
            <w:pPr>
              <w:spacing w:after="0"/>
              <w:rPr>
                <w:sz w:val="10"/>
                <w:szCs w:val="10"/>
                <w:color w:val="auto"/>
              </w:rPr>
            </w:pPr>
          </w:p>
        </w:tc>
        <w:tc>
          <w:tcPr>
            <w:tcW w:w="7960" w:type="dxa"/>
            <w:vAlign w:val="bottom"/>
            <w:shd w:val="clear" w:color="auto" w:fill="D9D9D6"/>
          </w:tcPr>
          <w:p>
            <w:pPr>
              <w:spacing w:after="0"/>
              <w:rPr>
                <w:sz w:val="10"/>
                <w:szCs w:val="10"/>
                <w:color w:val="auto"/>
              </w:rPr>
            </w:pPr>
          </w:p>
        </w:tc>
        <w:tc>
          <w:tcPr>
            <w:tcW w:w="52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36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tcBorders>
              <w:right w:val="single" w:sz="8" w:color="D9D9D6"/>
            </w:tcBorders>
            <w:shd w:val="clear" w:color="auto" w:fill="D9D9D6"/>
          </w:tcPr>
          <w:p>
            <w:pPr>
              <w:spacing w:after="0"/>
              <w:rPr>
                <w:sz w:val="10"/>
                <w:szCs w:val="10"/>
                <w:color w:val="auto"/>
              </w:rPr>
            </w:pPr>
          </w:p>
        </w:tc>
        <w:tc>
          <w:tcPr>
            <w:tcW w:w="440" w:type="dxa"/>
            <w:vAlign w:val="bottom"/>
            <w:shd w:val="clear" w:color="auto" w:fill="D9D9D6"/>
          </w:tcPr>
          <w:p>
            <w:pPr>
              <w:spacing w:after="0"/>
              <w:rPr>
                <w:sz w:val="10"/>
                <w:szCs w:val="10"/>
                <w:color w:val="auto"/>
              </w:rPr>
            </w:pPr>
          </w:p>
        </w:tc>
        <w:tc>
          <w:tcPr>
            <w:tcW w:w="46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-419735</wp:posOffset>
            </wp:positionV>
            <wp:extent cx="77152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342900"/>
                    </a:xfrm>
                    <a:prstGeom prst="rect">
                      <a:avLst/>
                    </a:prstGeom>
                    <a:noFill/>
                  </pic:spPr>
                </pic:pic>
              </a:graphicData>
            </a:graphic>
          </wp:anchor>
        </w:drawing>
      </w: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1st Quarter 2020 Highlights:</w:t>
      </w:r>
    </w:p>
    <w:p>
      <w:pPr>
        <w:spacing w:after="0" w:line="5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Consolidated Adjusted EBITDA of $8.1 Billion, Adjusted EPS of $0.71 and Free Cash Flow of $3.3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Customer Relationships Across Cable Communications and Sky Increased 2.6% Year-Over-Year to 55.8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Relationships Increased by 371,000 in the Quarter, the Best First Quarter Result on Record</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High-Speed Internet Customer Net Additions Were 477,000 (Not Including 32,000 Free Internet Essentials Customers), the Best Quarterly Result in 12 Years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6.1% Driven by Strength in High-Speed Internet and Business Services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Responses to COVID-19:</w:t>
      </w:r>
    </w:p>
    <w:p>
      <w:pPr>
        <w:spacing w:after="0" w:line="36" w:lineRule="exact"/>
        <w:rPr>
          <w:sz w:val="20"/>
          <w:szCs w:val="20"/>
          <w:color w:val="auto"/>
        </w:rPr>
      </w:pPr>
    </w:p>
    <w:p>
      <w:pPr>
        <w:ind w:left="66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Maintained Network Reliability: </w:t>
      </w:r>
      <w:r>
        <w:rPr>
          <w:rFonts w:ascii="Arial" w:cs="Arial" w:eastAsia="Arial" w:hAnsi="Arial"/>
          <w:sz w:val="18"/>
          <w:szCs w:val="18"/>
          <w:color w:val="auto"/>
        </w:rPr>
        <w:t>Since March 1, Cable Communications Has Seen a 33% Increase in Upstream Traffic and a 40%</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Wireless Data Usage Over WiFi</w:t>
      </w:r>
    </w:p>
    <w:p>
      <w:pPr>
        <w:spacing w:after="0" w:line="1" w:lineRule="exact"/>
        <w:rPr>
          <w:rFonts w:ascii="Arial" w:cs="Arial" w:eastAsia="Arial" w:hAnsi="Arial"/>
          <w:sz w:val="18"/>
          <w:szCs w:val="18"/>
          <w:color w:val="auto"/>
        </w:rPr>
      </w:pPr>
    </w:p>
    <w:p>
      <w:pPr>
        <w:ind w:left="660" w:right="20" w:hanging="328"/>
        <w:spacing w:after="0" w:line="28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Keeping Customers Connected: </w:t>
      </w:r>
      <w:r>
        <w:rPr>
          <w:rFonts w:ascii="Arial" w:cs="Arial" w:eastAsia="Arial" w:hAnsi="Arial"/>
          <w:sz w:val="18"/>
          <w:szCs w:val="18"/>
          <w:color w:val="auto"/>
        </w:rPr>
        <w:t>Cable Communications and Sky are expanding access to vital internet and phone services, with</w:t>
      </w:r>
      <w:r>
        <w:rPr>
          <w:rFonts w:ascii="Arial" w:cs="Arial" w:eastAsia="Arial" w:hAnsi="Arial"/>
          <w:sz w:val="18"/>
          <w:szCs w:val="18"/>
          <w:b w:val="1"/>
          <w:bCs w:val="1"/>
          <w:color w:val="auto"/>
        </w:rPr>
        <w:t xml:space="preserve"> </w:t>
      </w:r>
      <w:r>
        <w:rPr>
          <w:rFonts w:ascii="Arial" w:cs="Arial" w:eastAsia="Arial" w:hAnsi="Arial"/>
          <w:sz w:val="18"/>
          <w:szCs w:val="18"/>
          <w:color w:val="auto"/>
        </w:rPr>
        <w:t>Xfinity WiFi outdoor and business hotspots open in the U.S. for free, and Sky Talk offering free calls to UK landlines any time of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 w:name="page5"/>
    <w:bookmarkEnd w:id="4"/>
    <w:p>
      <w:pPr>
        <w:jc w:val="both"/>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Supporting our People: </w:t>
      </w:r>
      <w:r>
        <w:rPr>
          <w:rFonts w:ascii="Arial" w:cs="Arial" w:eastAsia="Arial" w:hAnsi="Arial"/>
          <w:sz w:val="18"/>
          <w:szCs w:val="18"/>
          <w:color w:val="auto"/>
        </w:rPr>
        <w:t>Across Cable Communications, NBCUniversal and Sky, we have committed $500 Million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during this time. All employees who can work from home, are, including over 95% of Cable Communications’ call center employees, and ensuring customer-facing employees can do their job safely</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See More About Comcast’s Response to COVID-19 - </w:t>
      </w:r>
      <w:r>
        <w:rPr>
          <w:rFonts w:ascii="Arial" w:cs="Arial" w:eastAsia="Arial" w:hAnsi="Arial"/>
          <w:sz w:val="18"/>
          <w:szCs w:val="18"/>
          <w:u w:val="single" w:color="auto"/>
          <w:color w:val="0000EE"/>
        </w:rPr>
        <w:t>https://corporate.comcast.com/covid-19</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 Impacts</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Cable Communications results, while strong in the first quarter 2020, will be negatively affected in the second quarter by the significant deterioration in domestic economic conditions in recent weeks and by the costs associated with our support of customer connectivity as the population increasingly works and learns remotely from home. NBCUniversal and Sky results also will be negatively impacted to a greater extent in the second quarter 2020. As a result, we expect the impacts of COVID-19 to increase in significance in the second quarter 2020 and to have a material adverse impact on our consolidated results of operations over the near-to-medium term.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first quarter of 2020 decreased 0.9% to $26.6 billion .</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39.6% to $2.1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 </w:t>
      </w:r>
      <w:r>
        <w:rPr>
          <w:rFonts w:ascii="Arial" w:cs="Arial" w:eastAsia="Arial" w:hAnsi="Arial"/>
          <w:sz w:val="18"/>
          <w:szCs w:val="18"/>
          <w:b w:val="1"/>
          <w:bCs w:val="1"/>
          <w:i w:val="1"/>
          <w:iCs w:val="1"/>
          <w:color w:val="auto"/>
        </w:rPr>
        <w:t>Adjusted Net Income</w:t>
      </w:r>
      <w:r>
        <w:rPr>
          <w:rFonts w:ascii="Arial" w:cs="Arial" w:eastAsia="Arial" w:hAnsi="Arial"/>
          <w:sz w:val="18"/>
          <w:szCs w:val="18"/>
          <w:color w:val="auto"/>
        </w:rPr>
        <w:t xml:space="preserve"> decreased 6.1% to $ 3.3 billion.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decreased 4.9% to $8.1 billion .</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2020 was $0.46 , a decrease of 40.3% compared to the first quarter of 2019 .</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decreased 6.6% to $0.71 .</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10.1% to $1.9 billion in the first quarter of 2020 . Cable Communications’ capital expenditures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6.9% to $1.3 billion in the first quarter of 2020 . NBCUniversal’s capital expenditures decreased 16.7% to $377 million . Sky's capital expenditures decreased 24.1% to $197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$5.8 billion in the first quarter of 2020 .</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$3.3 billion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paid during the first quarter of 2020 totaled $977 million .</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20" w:type="dxa"/>
            <w:vAlign w:val="bottom"/>
            <w:shd w:val="clear" w:color="auto" w:fill="D9D9D6"/>
          </w:tcPr>
          <w:p>
            <w:pPr>
              <w:spacing w:after="0"/>
              <w:rPr>
                <w:sz w:val="24"/>
                <w:szCs w:val="24"/>
                <w:color w:val="auto"/>
              </w:rPr>
            </w:pPr>
          </w:p>
        </w:tc>
        <w:tc>
          <w:tcPr>
            <w:tcW w:w="75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260" w:type="dxa"/>
            <w:vAlign w:val="bottom"/>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305"/>
        </w:trPr>
        <w:tc>
          <w:tcPr>
            <w:tcW w:w="120" w:type="dxa"/>
            <w:vAlign w:val="bottom"/>
            <w:tcBorders>
              <w:bottom w:val="single" w:sz="8" w:color="D9D9D6"/>
            </w:tcBorders>
            <w:shd w:val="clear" w:color="auto" w:fill="D9D9D6"/>
          </w:tcPr>
          <w:p>
            <w:pPr>
              <w:spacing w:after="0"/>
              <w:rPr>
                <w:sz w:val="24"/>
                <w:szCs w:val="24"/>
                <w:color w:val="auto"/>
              </w:rPr>
            </w:pPr>
          </w:p>
        </w:tc>
        <w:tc>
          <w:tcPr>
            <w:tcW w:w="7520" w:type="dxa"/>
            <w:vAlign w:val="bottom"/>
            <w:tcBorders>
              <w:bottom w:val="single" w:sz="8" w:color="D9D9D6"/>
            </w:tcBorders>
            <w:shd w:val="clear" w:color="auto" w:fill="D9D9D6"/>
          </w:tcPr>
          <w:p>
            <w:pPr>
              <w:spacing w:after="0"/>
              <w:rPr>
                <w:sz w:val="24"/>
                <w:szCs w:val="24"/>
                <w:color w:val="auto"/>
              </w:rPr>
            </w:pPr>
          </w:p>
        </w:tc>
        <w:tc>
          <w:tcPr>
            <w:tcW w:w="660" w:type="dxa"/>
            <w:vAlign w:val="bottom"/>
            <w:tcBorders>
              <w:bottom w:val="single" w:sz="8" w:color="D9D9D6"/>
            </w:tcBorders>
            <w:shd w:val="clear" w:color="auto" w:fill="D9D9D6"/>
          </w:tcPr>
          <w:p>
            <w:pPr>
              <w:spacing w:after="0"/>
              <w:rPr>
                <w:sz w:val="24"/>
                <w:szCs w:val="24"/>
                <w:color w:val="auto"/>
              </w:rPr>
            </w:pPr>
          </w:p>
        </w:tc>
        <w:tc>
          <w:tcPr>
            <w:tcW w:w="320" w:type="dxa"/>
            <w:vAlign w:val="bottom"/>
            <w:tcBorders>
              <w:bottom w:val="single" w:sz="8" w:color="D9D9D6"/>
            </w:tcBorders>
            <w:shd w:val="clear" w:color="auto" w:fill="D9D9D6"/>
          </w:tcPr>
          <w:p>
            <w:pPr>
              <w:spacing w:after="0"/>
              <w:rPr>
                <w:sz w:val="24"/>
                <w:szCs w:val="24"/>
                <w:color w:val="auto"/>
              </w:rPr>
            </w:pPr>
          </w:p>
        </w:tc>
        <w:tc>
          <w:tcPr>
            <w:tcW w:w="160" w:type="dxa"/>
            <w:vAlign w:val="bottom"/>
            <w:tcBorders>
              <w:bottom w:val="single" w:sz="8" w:color="D9D9D6"/>
            </w:tcBorders>
            <w:shd w:val="clear" w:color="auto" w:fill="D9D9D6"/>
          </w:tcPr>
          <w:p>
            <w:pPr>
              <w:spacing w:after="0"/>
              <w:rPr>
                <w:sz w:val="24"/>
                <w:szCs w:val="24"/>
                <w:color w:val="auto"/>
              </w:rPr>
            </w:pPr>
          </w:p>
        </w:tc>
        <w:tc>
          <w:tcPr>
            <w:tcW w:w="260" w:type="dxa"/>
            <w:vAlign w:val="bottom"/>
            <w:tcBorders>
              <w:bottom w:val="single" w:sz="8" w:color="D9D9D6"/>
            </w:tcBorders>
            <w:shd w:val="clear" w:color="auto" w:fill="D9D9D6"/>
          </w:tcPr>
          <w:p>
            <w:pPr>
              <w:spacing w:after="0"/>
              <w:rPr>
                <w:sz w:val="24"/>
                <w:szCs w:val="24"/>
                <w:color w:val="auto"/>
              </w:rPr>
            </w:pPr>
          </w:p>
        </w:tc>
        <w:tc>
          <w:tcPr>
            <w:tcW w:w="7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w w:val="99"/>
              </w:rPr>
              <w:t>1st Quarter</w:t>
            </w:r>
          </w:p>
        </w:tc>
        <w:tc>
          <w:tcPr>
            <w:tcW w:w="180" w:type="dxa"/>
            <w:vAlign w:val="bottom"/>
            <w:tcBorders>
              <w:bottom w:val="single" w:sz="8" w:color="D9D9D6"/>
            </w:tcBorders>
            <w:shd w:val="clear" w:color="auto" w:fill="D9D9D6"/>
          </w:tcPr>
          <w:p>
            <w:pPr>
              <w:spacing w:after="0"/>
              <w:rPr>
                <w:sz w:val="24"/>
                <w:szCs w:val="24"/>
                <w:color w:val="auto"/>
              </w:rPr>
            </w:pPr>
          </w:p>
        </w:tc>
        <w:tc>
          <w:tcPr>
            <w:tcW w:w="520" w:type="dxa"/>
            <w:vAlign w:val="bottom"/>
            <w:tcBorders>
              <w:bottom w:val="single" w:sz="8" w:color="D9D9D6"/>
            </w:tcBorders>
            <w:shd w:val="clear" w:color="auto" w:fill="D9D9D6"/>
          </w:tcPr>
          <w:p>
            <w:pPr>
              <w:spacing w:after="0"/>
              <w:rPr>
                <w:sz w:val="24"/>
                <w:szCs w:val="24"/>
                <w:color w:val="auto"/>
              </w:rPr>
            </w:pPr>
          </w:p>
        </w:tc>
        <w:tc>
          <w:tcPr>
            <w:tcW w:w="460" w:type="dxa"/>
            <w:vAlign w:val="bottom"/>
            <w:tcBorders>
              <w:bottom w:val="single" w:sz="8" w:color="D9D9D6"/>
            </w:tcBorders>
            <w:shd w:val="clear" w:color="auto" w:fill="D9D9D6"/>
          </w:tcPr>
          <w:p>
            <w:pPr>
              <w:spacing w:after="0"/>
              <w:rPr>
                <w:sz w:val="24"/>
                <w:szCs w:val="24"/>
                <w:color w:val="auto"/>
              </w:rPr>
            </w:pPr>
          </w:p>
        </w:tc>
        <w:tc>
          <w:tcPr>
            <w:tcW w:w="220" w:type="dxa"/>
            <w:vAlign w:val="bottom"/>
            <w:tcBorders>
              <w:bottom w:val="single" w:sz="8" w:color="D9D9D6"/>
            </w:tcBorders>
            <w:shd w:val="clear" w:color="auto" w:fill="D9D9D6"/>
          </w:tcPr>
          <w:p>
            <w:pPr>
              <w:spacing w:after="0"/>
              <w:rPr>
                <w:sz w:val="24"/>
                <w:szCs w:val="24"/>
                <w:color w:val="auto"/>
              </w:rPr>
            </w:pPr>
          </w:p>
        </w:tc>
        <w:tc>
          <w:tcPr>
            <w:tcW w:w="100" w:type="dxa"/>
            <w:vAlign w:val="bottom"/>
            <w:tcBorders>
              <w:bottom w:val="single" w:sz="8" w:color="D9D9D6"/>
            </w:tcBorders>
            <w:shd w:val="clear" w:color="auto" w:fill="D9D9D6"/>
          </w:tcPr>
          <w:p>
            <w:pPr>
              <w:spacing w:after="0"/>
              <w:rPr>
                <w:sz w:val="24"/>
                <w:szCs w:val="24"/>
                <w:color w:val="auto"/>
              </w:rPr>
            </w:pPr>
          </w:p>
        </w:tc>
      </w:tr>
      <w:tr>
        <w:trPr>
          <w:trHeight w:val="223"/>
        </w:trPr>
        <w:tc>
          <w:tcPr>
            <w:tcW w:w="120" w:type="dxa"/>
            <w:vAlign w:val="bottom"/>
            <w:shd w:val="clear" w:color="auto" w:fill="D9D9D6"/>
          </w:tcPr>
          <w:p>
            <w:pPr>
              <w:spacing w:after="0"/>
              <w:rPr>
                <w:sz w:val="19"/>
                <w:szCs w:val="19"/>
                <w:color w:val="auto"/>
              </w:rPr>
            </w:pPr>
          </w:p>
        </w:tc>
        <w:tc>
          <w:tcPr>
            <w:tcW w:w="7520" w:type="dxa"/>
            <w:vAlign w:val="bottom"/>
            <w:shd w:val="clear" w:color="auto" w:fill="D9D9D6"/>
          </w:tcPr>
          <w:p>
            <w:pPr>
              <w:spacing w:after="0"/>
              <w:rPr>
                <w:sz w:val="19"/>
                <w:szCs w:val="19"/>
                <w:color w:val="auto"/>
              </w:rPr>
            </w:pPr>
          </w:p>
        </w:tc>
        <w:tc>
          <w:tcPr>
            <w:tcW w:w="1140" w:type="dxa"/>
            <w:vAlign w:val="bottom"/>
            <w:gridSpan w:val="3"/>
            <w:shd w:val="clear" w:color="auto" w:fill="D9D9D6"/>
          </w:tcPr>
          <w:p>
            <w:pPr>
              <w:jc w:val="right"/>
              <w:ind w:right="160"/>
              <w:spacing w:after="0"/>
              <w:rPr>
                <w:sz w:val="20"/>
                <w:szCs w:val="20"/>
                <w:color w:val="auto"/>
              </w:rPr>
            </w:pPr>
            <w:r>
              <w:rPr>
                <w:rFonts w:ascii="Arial" w:cs="Arial" w:eastAsia="Arial" w:hAnsi="Arial"/>
                <w:sz w:val="14"/>
                <w:szCs w:val="14"/>
                <w:color w:val="auto"/>
              </w:rPr>
              <w:t>2020</w:t>
            </w:r>
          </w:p>
        </w:tc>
        <w:tc>
          <w:tcPr>
            <w:tcW w:w="1160" w:type="dxa"/>
            <w:vAlign w:val="bottom"/>
            <w:gridSpan w:val="4"/>
            <w:shd w:val="clear" w:color="auto" w:fill="D9D9D6"/>
          </w:tcPr>
          <w:p>
            <w:pPr>
              <w:jc w:val="right"/>
              <w:ind w:right="180"/>
              <w:spacing w:after="0"/>
              <w:rPr>
                <w:sz w:val="20"/>
                <w:szCs w:val="20"/>
                <w:color w:val="auto"/>
              </w:rPr>
            </w:pPr>
            <w:r>
              <w:rPr>
                <w:rFonts w:ascii="Arial" w:cs="Arial" w:eastAsia="Arial" w:hAnsi="Arial"/>
                <w:sz w:val="14"/>
                <w:szCs w:val="14"/>
                <w:color w:val="auto"/>
              </w:rPr>
              <w:t>2019</w:t>
            </w:r>
          </w:p>
        </w:tc>
        <w:tc>
          <w:tcPr>
            <w:tcW w:w="520" w:type="dxa"/>
            <w:vAlign w:val="bottom"/>
            <w:shd w:val="clear" w:color="auto" w:fill="D9D9D6"/>
          </w:tcPr>
          <w:p>
            <w:pPr>
              <w:spacing w:after="0"/>
              <w:rPr>
                <w:sz w:val="19"/>
                <w:szCs w:val="19"/>
                <w:color w:val="auto"/>
              </w:rPr>
            </w:pPr>
          </w:p>
        </w:tc>
        <w:tc>
          <w:tcPr>
            <w:tcW w:w="78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Growth</w:t>
            </w:r>
          </w:p>
        </w:tc>
      </w:tr>
      <w:tr>
        <w:trPr>
          <w:trHeight w:val="305"/>
        </w:trPr>
        <w:tc>
          <w:tcPr>
            <w:tcW w:w="120" w:type="dxa"/>
            <w:vAlign w:val="bottom"/>
            <w:tcBorders>
              <w:top w:val="single" w:sz="8" w:color="D9D9D6"/>
            </w:tcBorders>
            <w:shd w:val="clear" w:color="auto" w:fill="D9D9D6"/>
          </w:tcPr>
          <w:p>
            <w:pPr>
              <w:spacing w:after="0"/>
              <w:rPr>
                <w:sz w:val="24"/>
                <w:szCs w:val="24"/>
                <w:color w:val="auto"/>
              </w:rPr>
            </w:pPr>
          </w:p>
        </w:tc>
        <w:tc>
          <w:tcPr>
            <w:tcW w:w="752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6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260" w:type="dxa"/>
            <w:vAlign w:val="bottom"/>
            <w:tcBorders>
              <w:top w:val="single" w:sz="8" w:color="D9D9D6"/>
            </w:tcBorders>
            <w:shd w:val="clear" w:color="auto" w:fill="D9D9D6"/>
          </w:tcPr>
          <w:p>
            <w:pPr>
              <w:spacing w:after="0"/>
              <w:rPr>
                <w:sz w:val="24"/>
                <w:szCs w:val="24"/>
                <w:color w:val="auto"/>
              </w:rPr>
            </w:pPr>
          </w:p>
        </w:tc>
        <w:tc>
          <w:tcPr>
            <w:tcW w:w="40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52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r>
      <w:tr>
        <w:trPr>
          <w:trHeight w:val="282"/>
        </w:trPr>
        <w:tc>
          <w:tcPr>
            <w:tcW w:w="120" w:type="dxa"/>
            <w:vAlign w:val="bottom"/>
            <w:shd w:val="clear" w:color="auto" w:fill="D9D9D6"/>
          </w:tcPr>
          <w:p>
            <w:pPr>
              <w:spacing w:after="0"/>
              <w:rPr>
                <w:sz w:val="24"/>
                <w:szCs w:val="24"/>
                <w:color w:val="auto"/>
              </w:rPr>
            </w:pPr>
          </w:p>
        </w:tc>
        <w:tc>
          <w:tcPr>
            <w:tcW w:w="7520" w:type="dxa"/>
            <w:vAlign w:val="bottom"/>
            <w:shd w:val="clear" w:color="auto" w:fill="D9D9D6"/>
          </w:tcPr>
          <w:p>
            <w:pPr>
              <w:ind w:left="160"/>
              <w:spacing w:after="0"/>
              <w:rPr>
                <w:sz w:val="20"/>
                <w:szCs w:val="20"/>
                <w:color w:val="auto"/>
              </w:rPr>
            </w:pPr>
            <w:r>
              <w:rPr>
                <w:rFonts w:ascii="Arial" w:cs="Arial" w:eastAsia="Arial" w:hAnsi="Arial"/>
                <w:sz w:val="14"/>
                <w:szCs w:val="14"/>
                <w:color w:val="auto"/>
              </w:rPr>
              <w:t>High-Speed Internet</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$5,001</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$4,577</w:t>
            </w:r>
          </w:p>
        </w:tc>
        <w:tc>
          <w:tcPr>
            <w:tcW w:w="120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D9D9D6"/>
          </w:tcPr>
          <w:p>
            <w:pPr>
              <w:spacing w:after="0"/>
              <w:rPr>
                <w:sz w:val="24"/>
                <w:szCs w:val="24"/>
                <w:color w:val="auto"/>
              </w:rPr>
            </w:pPr>
          </w:p>
        </w:tc>
      </w:tr>
      <w:tr>
        <w:trPr>
          <w:trHeight w:val="258"/>
        </w:trPr>
        <w:tc>
          <w:tcPr>
            <w:tcW w:w="120" w:type="dxa"/>
            <w:vAlign w:val="bottom"/>
            <w:shd w:val="clear" w:color="auto" w:fill="D9D9D6"/>
          </w:tcPr>
          <w:p>
            <w:pPr>
              <w:spacing w:after="0"/>
              <w:rPr>
                <w:sz w:val="22"/>
                <w:szCs w:val="22"/>
                <w:color w:val="auto"/>
              </w:rPr>
            </w:pPr>
          </w:p>
        </w:tc>
        <w:tc>
          <w:tcPr>
            <w:tcW w:w="7520" w:type="dxa"/>
            <w:vAlign w:val="bottom"/>
            <w:shd w:val="clear" w:color="auto" w:fill="D9D9D6"/>
          </w:tcPr>
          <w:p>
            <w:pPr>
              <w:ind w:left="160"/>
              <w:spacing w:after="0"/>
              <w:rPr>
                <w:sz w:val="20"/>
                <w:szCs w:val="20"/>
                <w:color w:val="auto"/>
              </w:rPr>
            </w:pPr>
            <w:r>
              <w:rPr>
                <w:rFonts w:ascii="Arial" w:cs="Arial" w:eastAsia="Arial" w:hAnsi="Arial"/>
                <w:sz w:val="14"/>
                <w:szCs w:val="14"/>
                <w:color w:val="auto"/>
              </w:rPr>
              <w:t>Video</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5,632</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5,628</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r>
      <w:tr>
        <w:trPr>
          <w:trHeight w:val="270"/>
        </w:trPr>
        <w:tc>
          <w:tcPr>
            <w:tcW w:w="120" w:type="dxa"/>
            <w:vAlign w:val="bottom"/>
            <w:shd w:val="clear" w:color="auto" w:fill="D9D9D6"/>
          </w:tcPr>
          <w:p>
            <w:pPr>
              <w:spacing w:after="0"/>
              <w:rPr>
                <w:sz w:val="23"/>
                <w:szCs w:val="23"/>
                <w:color w:val="auto"/>
              </w:rPr>
            </w:pPr>
          </w:p>
        </w:tc>
        <w:tc>
          <w:tcPr>
            <w:tcW w:w="7520" w:type="dxa"/>
            <w:vAlign w:val="bottom"/>
            <w:shd w:val="clear" w:color="auto" w:fill="D9D9D6"/>
          </w:tcPr>
          <w:p>
            <w:pPr>
              <w:ind w:left="160"/>
              <w:spacing w:after="0"/>
              <w:rPr>
                <w:sz w:val="20"/>
                <w:szCs w:val="20"/>
                <w:color w:val="auto"/>
              </w:rPr>
            </w:pPr>
            <w:r>
              <w:rPr>
                <w:rFonts w:ascii="Arial" w:cs="Arial" w:eastAsia="Arial" w:hAnsi="Arial"/>
                <w:sz w:val="14"/>
                <w:szCs w:val="14"/>
                <w:color w:val="auto"/>
              </w:rPr>
              <w:t>Voice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899</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990</w:t>
            </w:r>
          </w:p>
        </w:tc>
        <w:tc>
          <w:tcPr>
            <w:tcW w:w="1200" w:type="dxa"/>
            <w:vAlign w:val="bottom"/>
            <w:gridSpan w:val="3"/>
          </w:tcPr>
          <w:p>
            <w:pPr>
              <w:jc w:val="right"/>
              <w:ind w:right="40"/>
              <w:spacing w:after="0"/>
              <w:rPr>
                <w:sz w:val="20"/>
                <w:szCs w:val="20"/>
                <w:color w:val="auto"/>
              </w:rPr>
            </w:pPr>
            <w:r>
              <w:rPr>
                <w:rFonts w:ascii="Arial" w:cs="Arial" w:eastAsia="Arial" w:hAnsi="Arial"/>
                <w:sz w:val="14"/>
                <w:szCs w:val="14"/>
                <w:color w:val="auto"/>
              </w:rPr>
              <w:t>(9.2%)</w:t>
            </w:r>
          </w:p>
        </w:tc>
        <w:tc>
          <w:tcPr>
            <w:tcW w:w="100" w:type="dxa"/>
            <w:vAlign w:val="bottom"/>
            <w:shd w:val="clear" w:color="auto" w:fill="D9D9D6"/>
          </w:tcPr>
          <w:p>
            <w:pPr>
              <w:spacing w:after="0"/>
              <w:rPr>
                <w:sz w:val="23"/>
                <w:szCs w:val="23"/>
                <w:color w:val="auto"/>
              </w:rPr>
            </w:pPr>
          </w:p>
        </w:tc>
      </w:tr>
      <w:tr>
        <w:trPr>
          <w:trHeight w:val="270"/>
        </w:trPr>
        <w:tc>
          <w:tcPr>
            <w:tcW w:w="120" w:type="dxa"/>
            <w:vAlign w:val="bottom"/>
            <w:shd w:val="clear" w:color="auto" w:fill="D9D9D6"/>
          </w:tcPr>
          <w:p>
            <w:pPr>
              <w:spacing w:after="0"/>
              <w:rPr>
                <w:sz w:val="23"/>
                <w:szCs w:val="23"/>
                <w:color w:val="auto"/>
              </w:rPr>
            </w:pPr>
          </w:p>
        </w:tc>
        <w:tc>
          <w:tcPr>
            <w:tcW w:w="7520" w:type="dxa"/>
            <w:vAlign w:val="bottom"/>
            <w:shd w:val="clear" w:color="auto" w:fill="D9D9D6"/>
          </w:tcPr>
          <w:p>
            <w:pPr>
              <w:ind w:left="160"/>
              <w:spacing w:after="0"/>
              <w:rPr>
                <w:sz w:val="20"/>
                <w:szCs w:val="20"/>
                <w:color w:val="auto"/>
              </w:rPr>
            </w:pPr>
            <w:r>
              <w:rPr>
                <w:rFonts w:ascii="Arial" w:cs="Arial" w:eastAsia="Arial" w:hAnsi="Arial"/>
                <w:sz w:val="14"/>
                <w:szCs w:val="14"/>
                <w:color w:val="auto"/>
              </w:rPr>
              <w:t>Wireless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343</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225</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D9D9D6"/>
          </w:tcPr>
          <w:p>
            <w:pPr>
              <w:spacing w:after="0"/>
              <w:rPr>
                <w:sz w:val="23"/>
                <w:szCs w:val="23"/>
                <w:color w:val="auto"/>
              </w:rPr>
            </w:pPr>
          </w:p>
        </w:tc>
      </w:tr>
      <w:tr>
        <w:trPr>
          <w:trHeight w:val="270"/>
        </w:trPr>
        <w:tc>
          <w:tcPr>
            <w:tcW w:w="120" w:type="dxa"/>
            <w:vAlign w:val="bottom"/>
            <w:shd w:val="clear" w:color="auto" w:fill="D9D9D6"/>
          </w:tcPr>
          <w:p>
            <w:pPr>
              <w:spacing w:after="0"/>
              <w:rPr>
                <w:sz w:val="23"/>
                <w:szCs w:val="23"/>
                <w:color w:val="auto"/>
              </w:rPr>
            </w:pPr>
          </w:p>
        </w:tc>
        <w:tc>
          <w:tcPr>
            <w:tcW w:w="7520" w:type="dxa"/>
            <w:vAlign w:val="bottom"/>
            <w:shd w:val="clear" w:color="auto" w:fill="D9D9D6"/>
          </w:tcPr>
          <w:p>
            <w:pPr>
              <w:ind w:left="160"/>
              <w:spacing w:after="0"/>
              <w:rPr>
                <w:sz w:val="20"/>
                <w:szCs w:val="20"/>
                <w:color w:val="auto"/>
              </w:rPr>
            </w:pPr>
            <w:r>
              <w:rPr>
                <w:rFonts w:ascii="Arial" w:cs="Arial" w:eastAsia="Arial" w:hAnsi="Arial"/>
                <w:sz w:val="14"/>
                <w:szCs w:val="14"/>
                <w:color w:val="auto"/>
              </w:rPr>
              <w:t>Business Services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2,043</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1,891</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D9D9D6"/>
          </w:tcPr>
          <w:p>
            <w:pPr>
              <w:spacing w:after="0"/>
              <w:rPr>
                <w:sz w:val="23"/>
                <w:szCs w:val="23"/>
                <w:color w:val="auto"/>
              </w:rPr>
            </w:pPr>
          </w:p>
        </w:tc>
      </w:tr>
      <w:tr>
        <w:trPr>
          <w:trHeight w:val="270"/>
        </w:trPr>
        <w:tc>
          <w:tcPr>
            <w:tcW w:w="120" w:type="dxa"/>
            <w:vAlign w:val="bottom"/>
            <w:shd w:val="clear" w:color="auto" w:fill="D9D9D6"/>
          </w:tcPr>
          <w:p>
            <w:pPr>
              <w:spacing w:after="0"/>
              <w:rPr>
                <w:sz w:val="23"/>
                <w:szCs w:val="23"/>
                <w:color w:val="auto"/>
              </w:rPr>
            </w:pPr>
          </w:p>
        </w:tc>
        <w:tc>
          <w:tcPr>
            <w:tcW w:w="7520" w:type="dxa"/>
            <w:vAlign w:val="bottom"/>
            <w:shd w:val="clear" w:color="auto" w:fill="D9D9D6"/>
          </w:tcPr>
          <w:p>
            <w:pPr>
              <w:ind w:left="160"/>
              <w:spacing w:after="0"/>
              <w:rPr>
                <w:sz w:val="20"/>
                <w:szCs w:val="20"/>
                <w:color w:val="auto"/>
              </w:rPr>
            </w:pPr>
            <w:r>
              <w:rPr>
                <w:rFonts w:ascii="Arial" w:cs="Arial" w:eastAsia="Arial" w:hAnsi="Arial"/>
                <w:sz w:val="14"/>
                <w:szCs w:val="14"/>
                <w:color w:val="auto"/>
              </w:rPr>
              <w:t>Advertising</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557</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556</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D9D9D6"/>
          </w:tcPr>
          <w:p>
            <w:pPr>
              <w:spacing w:after="0"/>
              <w:rPr>
                <w:sz w:val="23"/>
                <w:szCs w:val="23"/>
                <w:color w:val="auto"/>
              </w:rPr>
            </w:pPr>
          </w:p>
        </w:tc>
      </w:tr>
      <w:tr>
        <w:trPr>
          <w:trHeight w:val="276"/>
        </w:trPr>
        <w:tc>
          <w:tcPr>
            <w:tcW w:w="120" w:type="dxa"/>
            <w:vAlign w:val="bottom"/>
            <w:tcBorders>
              <w:bottom w:val="single" w:sz="8" w:color="D9D9D6"/>
            </w:tcBorders>
            <w:shd w:val="clear" w:color="auto" w:fill="D9D9D6"/>
          </w:tcPr>
          <w:p>
            <w:pPr>
              <w:spacing w:after="0"/>
              <w:rPr>
                <w:sz w:val="24"/>
                <w:szCs w:val="24"/>
                <w:color w:val="auto"/>
              </w:rPr>
            </w:pPr>
          </w:p>
        </w:tc>
        <w:tc>
          <w:tcPr>
            <w:tcW w:w="752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443</w:t>
            </w:r>
          </w:p>
        </w:tc>
        <w:tc>
          <w:tcPr>
            <w:tcW w:w="116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413</w:t>
            </w: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D9D9D6"/>
            </w:tcBorders>
            <w:shd w:val="clear" w:color="auto" w:fill="D9D9D6"/>
          </w:tcPr>
          <w:p>
            <w:pPr>
              <w:spacing w:after="0"/>
              <w:rPr>
                <w:sz w:val="24"/>
                <w:szCs w:val="24"/>
                <w:color w:val="auto"/>
              </w:rPr>
            </w:pPr>
          </w:p>
        </w:tc>
      </w:tr>
      <w:tr>
        <w:trPr>
          <w:trHeight w:val="250"/>
        </w:trPr>
        <w:tc>
          <w:tcPr>
            <w:tcW w:w="120" w:type="dxa"/>
            <w:vAlign w:val="bottom"/>
            <w:shd w:val="clear" w:color="auto" w:fill="D9D9D6"/>
          </w:tcPr>
          <w:p>
            <w:pPr>
              <w:spacing w:after="0"/>
              <w:rPr>
                <w:sz w:val="21"/>
                <w:szCs w:val="21"/>
                <w:color w:val="auto"/>
              </w:rPr>
            </w:pPr>
          </w:p>
        </w:tc>
        <w:tc>
          <w:tcPr>
            <w:tcW w:w="75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$14,918</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$14,280</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4.5%</w:t>
            </w:r>
          </w:p>
        </w:tc>
        <w:tc>
          <w:tcPr>
            <w:tcW w:w="100" w:type="dxa"/>
            <w:vAlign w:val="bottom"/>
            <w:shd w:val="clear" w:color="auto" w:fill="D9D9D6"/>
          </w:tcPr>
          <w:p>
            <w:pPr>
              <w:spacing w:after="0"/>
              <w:rPr>
                <w:sz w:val="21"/>
                <w:szCs w:val="21"/>
                <w:color w:val="auto"/>
              </w:rPr>
            </w:pPr>
          </w:p>
        </w:tc>
      </w:tr>
      <w:tr>
        <w:trPr>
          <w:trHeight w:val="534"/>
        </w:trPr>
        <w:tc>
          <w:tcPr>
            <w:tcW w:w="120" w:type="dxa"/>
            <w:vAlign w:val="bottom"/>
            <w:shd w:val="clear" w:color="auto" w:fill="D9D9D6"/>
          </w:tcPr>
          <w:p>
            <w:pPr>
              <w:spacing w:after="0"/>
              <w:rPr>
                <w:sz w:val="24"/>
                <w:szCs w:val="24"/>
                <w:color w:val="auto"/>
              </w:rPr>
            </w:pPr>
          </w:p>
        </w:tc>
        <w:tc>
          <w:tcPr>
            <w:tcW w:w="75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$6,076</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$5,728</w:t>
            </w:r>
          </w:p>
        </w:tc>
        <w:tc>
          <w:tcPr>
            <w:tcW w:w="120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6.1%</w:t>
            </w:r>
          </w:p>
        </w:tc>
        <w:tc>
          <w:tcPr>
            <w:tcW w:w="100" w:type="dxa"/>
            <w:vAlign w:val="bottom"/>
            <w:shd w:val="clear" w:color="auto" w:fill="D9D9D6"/>
          </w:tcPr>
          <w:p>
            <w:pPr>
              <w:spacing w:after="0"/>
              <w:rPr>
                <w:sz w:val="24"/>
                <w:szCs w:val="24"/>
                <w:color w:val="auto"/>
              </w:rPr>
            </w:pPr>
          </w:p>
        </w:tc>
      </w:tr>
      <w:tr>
        <w:trPr>
          <w:trHeight w:val="270"/>
        </w:trPr>
        <w:tc>
          <w:tcPr>
            <w:tcW w:w="120" w:type="dxa"/>
            <w:vAlign w:val="bottom"/>
            <w:shd w:val="clear" w:color="auto" w:fill="D9D9D6"/>
          </w:tcPr>
          <w:p>
            <w:pPr>
              <w:spacing w:after="0"/>
              <w:rPr>
                <w:sz w:val="23"/>
                <w:szCs w:val="23"/>
                <w:color w:val="auto"/>
              </w:rPr>
            </w:pPr>
          </w:p>
        </w:tc>
        <w:tc>
          <w:tcPr>
            <w:tcW w:w="752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Adjusted EBITDA Margin</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40.7%</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40.1%</w:t>
            </w:r>
          </w:p>
        </w:tc>
        <w:tc>
          <w:tcPr>
            <w:tcW w:w="520" w:type="dxa"/>
            <w:vAlign w:val="bottom"/>
            <w:shd w:val="clear" w:color="auto" w:fill="D9D9D6"/>
          </w:tcPr>
          <w:p>
            <w:pPr>
              <w:spacing w:after="0"/>
              <w:rPr>
                <w:sz w:val="23"/>
                <w:szCs w:val="23"/>
                <w:color w:val="auto"/>
              </w:rPr>
            </w:pPr>
          </w:p>
        </w:tc>
        <w:tc>
          <w:tcPr>
            <w:tcW w:w="46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r>
      <w:tr>
        <w:trPr>
          <w:trHeight w:val="540"/>
        </w:trPr>
        <w:tc>
          <w:tcPr>
            <w:tcW w:w="120" w:type="dxa"/>
            <w:vAlign w:val="bottom"/>
            <w:shd w:val="clear" w:color="auto" w:fill="D9D9D6"/>
          </w:tcPr>
          <w:p>
            <w:pPr>
              <w:spacing w:after="0"/>
              <w:rPr>
                <w:sz w:val="24"/>
                <w:szCs w:val="24"/>
                <w:color w:val="auto"/>
              </w:rPr>
            </w:pPr>
          </w:p>
        </w:tc>
        <w:tc>
          <w:tcPr>
            <w:tcW w:w="75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$1,269</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$1,363</w:t>
            </w:r>
          </w:p>
        </w:tc>
        <w:tc>
          <w:tcPr>
            <w:tcW w:w="120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D9D9D6"/>
          </w:tcPr>
          <w:p>
            <w:pPr>
              <w:spacing w:after="0"/>
              <w:rPr>
                <w:sz w:val="24"/>
                <w:szCs w:val="24"/>
                <w:color w:val="auto"/>
              </w:rPr>
            </w:pPr>
          </w:p>
        </w:tc>
      </w:tr>
      <w:tr>
        <w:trPr>
          <w:trHeight w:val="270"/>
        </w:trPr>
        <w:tc>
          <w:tcPr>
            <w:tcW w:w="120" w:type="dxa"/>
            <w:vAlign w:val="bottom"/>
            <w:shd w:val="clear" w:color="auto" w:fill="D9D9D6"/>
          </w:tcPr>
          <w:p>
            <w:pPr>
              <w:spacing w:after="0"/>
              <w:rPr>
                <w:sz w:val="23"/>
                <w:szCs w:val="23"/>
                <w:color w:val="auto"/>
              </w:rPr>
            </w:pPr>
          </w:p>
        </w:tc>
        <w:tc>
          <w:tcPr>
            <w:tcW w:w="752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Percent of Cable Communications Revenue</w:t>
            </w:r>
          </w:p>
        </w:tc>
        <w:tc>
          <w:tcPr>
            <w:tcW w:w="114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8.5%</w:t>
            </w:r>
          </w:p>
        </w:tc>
        <w:tc>
          <w:tcPr>
            <w:tcW w:w="116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9.5%</w:t>
            </w:r>
          </w:p>
        </w:tc>
        <w:tc>
          <w:tcPr>
            <w:tcW w:w="520" w:type="dxa"/>
            <w:vAlign w:val="bottom"/>
            <w:shd w:val="clear" w:color="auto" w:fill="D9D9D6"/>
          </w:tcPr>
          <w:p>
            <w:pPr>
              <w:spacing w:after="0"/>
              <w:rPr>
                <w:sz w:val="23"/>
                <w:szCs w:val="23"/>
                <w:color w:val="auto"/>
              </w:rPr>
            </w:pPr>
          </w:p>
        </w:tc>
        <w:tc>
          <w:tcPr>
            <w:tcW w:w="46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r>
      <w:tr>
        <w:trPr>
          <w:trHeight w:val="147"/>
        </w:trPr>
        <w:tc>
          <w:tcPr>
            <w:tcW w:w="120" w:type="dxa"/>
            <w:vAlign w:val="bottom"/>
            <w:shd w:val="clear" w:color="auto" w:fill="D9D9D6"/>
          </w:tcPr>
          <w:p>
            <w:pPr>
              <w:spacing w:after="0"/>
              <w:rPr>
                <w:sz w:val="12"/>
                <w:szCs w:val="12"/>
                <w:color w:val="auto"/>
              </w:rPr>
            </w:pPr>
          </w:p>
        </w:tc>
        <w:tc>
          <w:tcPr>
            <w:tcW w:w="7520" w:type="dxa"/>
            <w:vAlign w:val="bottom"/>
            <w:shd w:val="clear" w:color="auto" w:fill="D9D9D6"/>
          </w:tcPr>
          <w:p>
            <w:pPr>
              <w:spacing w:after="0"/>
              <w:rPr>
                <w:sz w:val="12"/>
                <w:szCs w:val="12"/>
                <w:color w:val="auto"/>
              </w:rPr>
            </w:pPr>
          </w:p>
        </w:tc>
        <w:tc>
          <w:tcPr>
            <w:tcW w:w="6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160" w:type="dxa"/>
            <w:vAlign w:val="bottom"/>
            <w:shd w:val="clear" w:color="auto" w:fill="D9D9D6"/>
          </w:tcPr>
          <w:p>
            <w:pPr>
              <w:spacing w:after="0"/>
              <w:rPr>
                <w:sz w:val="12"/>
                <w:szCs w:val="12"/>
                <w:color w:val="auto"/>
              </w:rPr>
            </w:pPr>
          </w:p>
        </w:tc>
        <w:tc>
          <w:tcPr>
            <w:tcW w:w="260" w:type="dxa"/>
            <w:vAlign w:val="bottom"/>
            <w:shd w:val="clear" w:color="auto" w:fill="D9D9D6"/>
          </w:tcPr>
          <w:p>
            <w:pPr>
              <w:spacing w:after="0"/>
              <w:rPr>
                <w:sz w:val="12"/>
                <w:szCs w:val="12"/>
                <w:color w:val="auto"/>
              </w:rPr>
            </w:pPr>
          </w:p>
        </w:tc>
        <w:tc>
          <w:tcPr>
            <w:tcW w:w="40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520" w:type="dxa"/>
            <w:vAlign w:val="bottom"/>
            <w:shd w:val="clear" w:color="auto" w:fill="D9D9D6"/>
          </w:tcPr>
          <w:p>
            <w:pPr>
              <w:spacing w:after="0"/>
              <w:rPr>
                <w:sz w:val="12"/>
                <w:szCs w:val="12"/>
                <w:color w:val="auto"/>
              </w:rPr>
            </w:pPr>
          </w:p>
        </w:tc>
        <w:tc>
          <w:tcPr>
            <w:tcW w:w="460" w:type="dxa"/>
            <w:vAlign w:val="bottom"/>
            <w:shd w:val="clear" w:color="auto" w:fill="D9D9D6"/>
          </w:tcPr>
          <w:p>
            <w:pPr>
              <w:spacing w:after="0"/>
              <w:rPr>
                <w:sz w:val="12"/>
                <w:szCs w:val="12"/>
                <w:color w:val="auto"/>
              </w:rPr>
            </w:pPr>
          </w:p>
        </w:tc>
        <w:tc>
          <w:tcPr>
            <w:tcW w:w="220" w:type="dxa"/>
            <w:vAlign w:val="bottom"/>
            <w:shd w:val="clear" w:color="auto" w:fill="D9D9D6"/>
          </w:tcPr>
          <w:p>
            <w:pPr>
              <w:spacing w:after="0"/>
              <w:rPr>
                <w:sz w:val="12"/>
                <w:szCs w:val="12"/>
                <w:color w:val="auto"/>
              </w:rPr>
            </w:pPr>
          </w:p>
        </w:tc>
        <w:tc>
          <w:tcPr>
            <w:tcW w:w="100" w:type="dxa"/>
            <w:vAlign w:val="bottom"/>
            <w:shd w:val="clear" w:color="auto" w:fill="D9D9D6"/>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-2485390</wp:posOffset>
            </wp:positionV>
            <wp:extent cx="831215" cy="1371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1215" cy="1371600"/>
                    </a:xfrm>
                    <a:prstGeom prst="rect">
                      <a:avLst/>
                    </a:prstGeom>
                    <a:noFill/>
                  </pic:spPr>
                </pic:pic>
              </a:graphicData>
            </a:graphic>
          </wp:anchor>
        </w:drawing>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4.5% to $14.9 billion in the first quarter of 2020 ,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business services and wireless revenue. High-speed internet revenue increased 9.3% , driven by an increase in the number of residential high-speed internet customers as well</w:t>
      </w:r>
    </w:p>
    <w:p>
      <w:pPr>
        <w:sectPr>
          <w:pgSz w:w="11900" w:h="16838" w:orient="portrait"/>
          <w:cols w:equalWidth="0" w:num="1">
            <w:col w:w="11240"/>
          </w:cols>
          <w:pgMar w:left="320" w:top="333"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both"/>
        <w:spacing w:after="0" w:line="252" w:lineRule="auto"/>
        <w:rPr>
          <w:sz w:val="20"/>
          <w:szCs w:val="20"/>
          <w:color w:val="auto"/>
        </w:rPr>
      </w:pPr>
      <w:r>
        <w:rPr>
          <w:rFonts w:ascii="Arial" w:cs="Arial" w:eastAsia="Arial" w:hAnsi="Arial"/>
          <w:sz w:val="18"/>
          <w:szCs w:val="18"/>
          <w:color w:val="auto"/>
        </w:rPr>
        <w:t>as an increase in average rates. Business services revenue increased 8.0% , reflecting an increase in average rates and an increase in the number of customers receiving our services. Wireless revenue increased 52.1% , primarily due to an increase in the number of customer lines. Other revenue increased 7.0% , primarily reflecting increases in revenue from our security and automation services and from licensing our X1 and technology platforms. Video revenue was consistent with the prior year period, due to an increase in average rates, offset by a decline in the number of residential video customers. Advertising revenue was consistent with the prior year period, primarily reflecting an increase in political advertising revenue, offset by reduced advertiser spending due to COVID-19. Excluding political advertising revenue, advertising revenue decreased 4.6%. Voice revenue decreased 9.2% , due to decreases in average rates and in the number of residential voice customers.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371,000 to 31.9 million in the first quarter of 2020 .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360,000 and business customer relationships increased by 11,000 . Total high -speed internet customer net additions were 477,000 , total video customer net losses were 409,000 and total voice customer net losses were 89,000 . In addition, Cable Communications added 216,000 wireless lines in the quarter.</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315"/>
        </w:trPr>
        <w:tc>
          <w:tcPr>
            <w:tcW w:w="100" w:type="dxa"/>
            <w:vAlign w:val="bottom"/>
            <w:shd w:val="clear" w:color="auto" w:fill="D9D9D6"/>
          </w:tcPr>
          <w:p>
            <w:pPr>
              <w:spacing w:after="0"/>
              <w:rPr>
                <w:sz w:val="24"/>
                <w:szCs w:val="24"/>
                <w:color w:val="auto"/>
              </w:rPr>
            </w:pPr>
          </w:p>
        </w:tc>
        <w:tc>
          <w:tcPr>
            <w:tcW w:w="6120" w:type="dxa"/>
            <w:vAlign w:val="bottom"/>
            <w:shd w:val="clear" w:color="auto" w:fill="D9D9D6"/>
          </w:tcPr>
          <w:p>
            <w:pPr>
              <w:ind w:left="40"/>
              <w:spacing w:after="0"/>
              <w:rPr>
                <w:sz w:val="20"/>
                <w:szCs w:val="20"/>
                <w:color w:val="auto"/>
              </w:rPr>
            </w:pPr>
            <w:r>
              <w:rPr>
                <w:rFonts w:ascii="Arial" w:cs="Arial" w:eastAsia="Arial" w:hAnsi="Arial"/>
                <w:sz w:val="11"/>
                <w:szCs w:val="11"/>
                <w:i w:val="1"/>
                <w:iCs w:val="1"/>
                <w:color w:val="auto"/>
              </w:rPr>
              <w:t>(in thousands)</w:t>
            </w: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900" w:type="dxa"/>
            <w:vAlign w:val="bottom"/>
            <w:shd w:val="clear" w:color="auto" w:fill="D9D9D6"/>
          </w:tcPr>
          <w:p>
            <w:pPr>
              <w:spacing w:after="0"/>
              <w:rPr>
                <w:sz w:val="24"/>
                <w:szCs w:val="24"/>
                <w:color w:val="auto"/>
              </w:rPr>
            </w:pPr>
          </w:p>
        </w:tc>
        <w:tc>
          <w:tcPr>
            <w:tcW w:w="58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640" w:type="dxa"/>
            <w:vAlign w:val="bottom"/>
            <w:tcBorders>
              <w:right w:val="single" w:sz="8" w:color="D9D9D6"/>
            </w:tcBorders>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306"/>
        </w:trPr>
        <w:tc>
          <w:tcPr>
            <w:tcW w:w="100" w:type="dxa"/>
            <w:vAlign w:val="bottom"/>
            <w:shd w:val="clear" w:color="auto" w:fill="D9D9D6"/>
          </w:tcPr>
          <w:p>
            <w:pPr>
              <w:spacing w:after="0"/>
              <w:rPr>
                <w:sz w:val="24"/>
                <w:szCs w:val="24"/>
                <w:color w:val="auto"/>
              </w:rPr>
            </w:pPr>
          </w:p>
        </w:tc>
        <w:tc>
          <w:tcPr>
            <w:tcW w:w="612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900" w:type="dxa"/>
            <w:vAlign w:val="bottom"/>
            <w:shd w:val="clear" w:color="auto" w:fill="D9D9D6"/>
          </w:tcPr>
          <w:p>
            <w:pPr>
              <w:spacing w:after="0"/>
              <w:rPr>
                <w:sz w:val="24"/>
                <w:szCs w:val="24"/>
                <w:color w:val="auto"/>
              </w:rPr>
            </w:pPr>
          </w:p>
        </w:tc>
        <w:tc>
          <w:tcPr>
            <w:tcW w:w="580" w:type="dxa"/>
            <w:vAlign w:val="bottom"/>
            <w:tcBorders>
              <w:right w:val="single" w:sz="8" w:color="D9D9D6"/>
            </w:tcBorders>
            <w:shd w:val="clear" w:color="auto" w:fill="D9D9D6"/>
          </w:tcPr>
          <w:p>
            <w:pPr>
              <w:spacing w:after="0"/>
              <w:rPr>
                <w:sz w:val="24"/>
                <w:szCs w:val="24"/>
                <w:color w:val="auto"/>
              </w:rPr>
            </w:pPr>
          </w:p>
        </w:tc>
        <w:tc>
          <w:tcPr>
            <w:tcW w:w="960" w:type="dxa"/>
            <w:vAlign w:val="bottom"/>
            <w:tcBorders>
              <w:right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Net Additions</w:t>
            </w: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1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5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900" w:type="dxa"/>
            <w:vAlign w:val="bottom"/>
            <w:shd w:val="clear" w:color="auto" w:fill="D9D9D6"/>
          </w:tcPr>
          <w:p>
            <w:pPr>
              <w:spacing w:after="0" w:line="20" w:lineRule="exact"/>
              <w:rPr>
                <w:sz w:val="1"/>
                <w:szCs w:val="1"/>
                <w:color w:val="auto"/>
              </w:rPr>
            </w:pPr>
          </w:p>
        </w:tc>
        <w:tc>
          <w:tcPr>
            <w:tcW w:w="58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Borders>
              <w:right w:val="single" w:sz="8" w:color="D9D9D6"/>
            </w:tcBorders>
            <w:shd w:val="clear" w:color="auto" w:fill="000000"/>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223"/>
        </w:trPr>
        <w:tc>
          <w:tcPr>
            <w:tcW w:w="100" w:type="dxa"/>
            <w:vAlign w:val="bottom"/>
            <w:shd w:val="clear" w:color="auto" w:fill="D9D9D6"/>
          </w:tcPr>
          <w:p>
            <w:pPr>
              <w:spacing w:after="0"/>
              <w:rPr>
                <w:sz w:val="19"/>
                <w:szCs w:val="19"/>
                <w:color w:val="auto"/>
              </w:rPr>
            </w:pPr>
          </w:p>
        </w:tc>
        <w:tc>
          <w:tcPr>
            <w:tcW w:w="6120" w:type="dxa"/>
            <w:vAlign w:val="bottom"/>
            <w:shd w:val="clear" w:color="auto" w:fill="D9D9D6"/>
          </w:tcPr>
          <w:p>
            <w:pPr>
              <w:spacing w:after="0"/>
              <w:rPr>
                <w:sz w:val="19"/>
                <w:szCs w:val="19"/>
                <w:color w:val="auto"/>
              </w:rPr>
            </w:pP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1Q20</w:t>
            </w: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1Q19</w:t>
            </w:r>
          </w:p>
        </w:tc>
        <w:tc>
          <w:tcPr>
            <w:tcW w:w="900" w:type="dxa"/>
            <w:vAlign w:val="bottom"/>
            <w:shd w:val="clear" w:color="auto" w:fill="D9D9D6"/>
          </w:tcPr>
          <w:p>
            <w:pPr>
              <w:spacing w:after="0"/>
              <w:rPr>
                <w:sz w:val="19"/>
                <w:szCs w:val="19"/>
                <w:color w:val="auto"/>
              </w:rPr>
            </w:pPr>
          </w:p>
        </w:tc>
        <w:tc>
          <w:tcPr>
            <w:tcW w:w="1540" w:type="dxa"/>
            <w:vAlign w:val="bottom"/>
            <w:tcBorders>
              <w:right w:val="single" w:sz="8" w:color="D9D9D6"/>
            </w:tcBorders>
            <w:gridSpan w:val="3"/>
            <w:shd w:val="clear" w:color="auto" w:fill="D9D9D6"/>
          </w:tcPr>
          <w:p>
            <w:pPr>
              <w:jc w:val="right"/>
              <w:ind w:right="640"/>
              <w:spacing w:after="0"/>
              <w:rPr>
                <w:sz w:val="20"/>
                <w:szCs w:val="20"/>
                <w:color w:val="auto"/>
              </w:rPr>
            </w:pPr>
            <w:r>
              <w:rPr>
                <w:rFonts w:ascii="Arial" w:cs="Arial" w:eastAsia="Arial" w:hAnsi="Arial"/>
                <w:sz w:val="14"/>
                <w:szCs w:val="14"/>
                <w:color w:val="auto"/>
              </w:rPr>
              <w:t>1Q20</w:t>
            </w:r>
          </w:p>
        </w:tc>
        <w:tc>
          <w:tcPr>
            <w:tcW w:w="560" w:type="dxa"/>
            <w:vAlign w:val="bottom"/>
            <w:gridSpan w:val="3"/>
            <w:shd w:val="clear" w:color="auto" w:fill="D9D9D6"/>
          </w:tcPr>
          <w:p>
            <w:pPr>
              <w:jc w:val="right"/>
              <w:ind w:right="200"/>
              <w:spacing w:after="0"/>
              <w:rPr>
                <w:sz w:val="20"/>
                <w:szCs w:val="20"/>
                <w:color w:val="auto"/>
              </w:rPr>
            </w:pPr>
            <w:r>
              <w:rPr>
                <w:rFonts w:ascii="Arial" w:cs="Arial" w:eastAsia="Arial" w:hAnsi="Arial"/>
                <w:sz w:val="14"/>
                <w:szCs w:val="14"/>
                <w:color w:val="auto"/>
                <w:w w:val="99"/>
              </w:rPr>
              <w:t>1Q19</w:t>
            </w:r>
          </w:p>
        </w:tc>
      </w:tr>
      <w:tr>
        <w:trPr>
          <w:trHeight w:val="305"/>
        </w:trPr>
        <w:tc>
          <w:tcPr>
            <w:tcW w:w="100" w:type="dxa"/>
            <w:vAlign w:val="bottom"/>
            <w:tcBorders>
              <w:top w:val="single" w:sz="8" w:color="D9D9D6"/>
            </w:tcBorders>
            <w:shd w:val="clear" w:color="auto" w:fill="D9D9D6"/>
          </w:tcPr>
          <w:p>
            <w:pPr>
              <w:spacing w:after="0"/>
              <w:rPr>
                <w:sz w:val="24"/>
                <w:szCs w:val="24"/>
                <w:color w:val="auto"/>
              </w:rPr>
            </w:pPr>
          </w:p>
        </w:tc>
        <w:tc>
          <w:tcPr>
            <w:tcW w:w="6120" w:type="dxa"/>
            <w:vAlign w:val="bottom"/>
            <w:tcBorders>
              <w:top w:val="single" w:sz="8" w:color="D9D9D6"/>
            </w:tcBorders>
            <w:shd w:val="clear" w:color="auto" w:fill="D9D9D6"/>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540" w:type="dxa"/>
            <w:vAlign w:val="bottom"/>
            <w:tcBorders>
              <w:top w:val="single" w:sz="8" w:color="D9D9D6"/>
            </w:tcBorders>
            <w:shd w:val="clear" w:color="auto" w:fill="D9D9D6"/>
          </w:tcPr>
          <w:p>
            <w:pPr>
              <w:spacing w:after="0"/>
              <w:rPr>
                <w:sz w:val="24"/>
                <w:szCs w:val="24"/>
                <w:color w:val="auto"/>
              </w:rPr>
            </w:pPr>
          </w:p>
        </w:tc>
        <w:tc>
          <w:tcPr>
            <w:tcW w:w="340" w:type="dxa"/>
            <w:vAlign w:val="bottom"/>
            <w:tcBorders>
              <w:top w:val="single" w:sz="8" w:color="auto"/>
            </w:tcBorders>
            <w:shd w:val="clear" w:color="auto" w:fill="D9D9D6"/>
          </w:tcPr>
          <w:p>
            <w:pPr>
              <w:spacing w:after="0"/>
              <w:rPr>
                <w:sz w:val="24"/>
                <w:szCs w:val="24"/>
                <w:color w:val="auto"/>
              </w:rPr>
            </w:pPr>
          </w:p>
        </w:tc>
        <w:tc>
          <w:tcPr>
            <w:tcW w:w="120" w:type="dxa"/>
            <w:vAlign w:val="bottom"/>
            <w:tcBorders>
              <w:top w:val="single" w:sz="8" w:color="D9D9D6"/>
            </w:tcBorders>
            <w:shd w:val="clear" w:color="auto" w:fill="D9D9D6"/>
          </w:tcPr>
          <w:p>
            <w:pPr>
              <w:spacing w:after="0"/>
              <w:rPr>
                <w:sz w:val="24"/>
                <w:szCs w:val="24"/>
                <w:color w:val="auto"/>
              </w:rPr>
            </w:pPr>
          </w:p>
        </w:tc>
        <w:tc>
          <w:tcPr>
            <w:tcW w:w="52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900" w:type="dxa"/>
            <w:vAlign w:val="bottom"/>
            <w:tcBorders>
              <w:top w:val="single" w:sz="8" w:color="D9D9D6"/>
            </w:tcBorders>
            <w:shd w:val="clear" w:color="auto" w:fill="D9D9D6"/>
          </w:tcPr>
          <w:p>
            <w:pPr>
              <w:spacing w:after="0"/>
              <w:rPr>
                <w:sz w:val="24"/>
                <w:szCs w:val="24"/>
                <w:color w:val="auto"/>
              </w:rPr>
            </w:pPr>
          </w:p>
        </w:tc>
        <w:tc>
          <w:tcPr>
            <w:tcW w:w="580" w:type="dxa"/>
            <w:vAlign w:val="bottom"/>
            <w:tcBorders>
              <w:top w:val="single" w:sz="8" w:color="D9D9D6"/>
              <w:right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640" w:type="dxa"/>
            <w:vAlign w:val="bottom"/>
            <w:tcBorders>
              <w:top w:val="single" w:sz="8" w:color="D9D9D6"/>
              <w:right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r>
      <w:tr>
        <w:trPr>
          <w:trHeight w:val="270"/>
        </w:trPr>
        <w:tc>
          <w:tcPr>
            <w:tcW w:w="100" w:type="dxa"/>
            <w:vAlign w:val="bottom"/>
            <w:shd w:val="clear" w:color="auto" w:fill="D9D9D6"/>
          </w:tcPr>
          <w:p>
            <w:pPr>
              <w:spacing w:after="0"/>
              <w:rPr>
                <w:sz w:val="23"/>
                <w:szCs w:val="23"/>
                <w:color w:val="auto"/>
              </w:rPr>
            </w:pPr>
          </w:p>
        </w:tc>
        <w:tc>
          <w:tcPr>
            <w:tcW w:w="61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29,509</w:t>
            </w:r>
          </w:p>
        </w:tc>
        <w:tc>
          <w:tcPr>
            <w:tcW w:w="120" w:type="dxa"/>
            <w:vAlign w:val="bottom"/>
            <w:shd w:val="clear" w:color="auto" w:fill="D9D9D6"/>
          </w:tcPr>
          <w:p>
            <w:pPr>
              <w:spacing w:after="0"/>
              <w:rPr>
                <w:sz w:val="23"/>
                <w:szCs w:val="23"/>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28,385</w:t>
            </w:r>
          </w:p>
        </w:tc>
        <w:tc>
          <w:tcPr>
            <w:tcW w:w="2440" w:type="dxa"/>
            <w:vAlign w:val="bottom"/>
            <w:tcBorders>
              <w:right w:val="single" w:sz="8" w:color="D9D9D6"/>
            </w:tcBorders>
            <w:gridSpan w:val="4"/>
            <w:shd w:val="clear" w:color="auto" w:fill="D9D9D6"/>
          </w:tcPr>
          <w:p>
            <w:pPr>
              <w:jc w:val="right"/>
              <w:ind w:right="640"/>
              <w:spacing w:after="0"/>
              <w:rPr>
                <w:sz w:val="20"/>
                <w:szCs w:val="20"/>
                <w:color w:val="auto"/>
              </w:rPr>
            </w:pPr>
            <w:r>
              <w:rPr>
                <w:rFonts w:ascii="Arial" w:cs="Arial" w:eastAsia="Arial" w:hAnsi="Arial"/>
                <w:sz w:val="14"/>
                <w:szCs w:val="14"/>
                <w:color w:val="auto"/>
              </w:rPr>
              <w:t>360</w:t>
            </w: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D9D9D6"/>
          </w:tcPr>
          <w:p>
            <w:pPr>
              <w:spacing w:after="0"/>
              <w:rPr>
                <w:sz w:val="23"/>
                <w:szCs w:val="23"/>
                <w:color w:val="auto"/>
              </w:rPr>
            </w:pPr>
          </w:p>
        </w:tc>
      </w:tr>
      <w:tr>
        <w:trPr>
          <w:trHeight w:val="276"/>
        </w:trPr>
        <w:tc>
          <w:tcPr>
            <w:tcW w:w="100" w:type="dxa"/>
            <w:vAlign w:val="bottom"/>
            <w:tcBorders>
              <w:bottom w:val="single" w:sz="8" w:color="D9D9D6"/>
            </w:tcBorders>
            <w:shd w:val="clear" w:color="auto" w:fill="D9D9D6"/>
          </w:tcPr>
          <w:p>
            <w:pPr>
              <w:spacing w:after="0"/>
              <w:rPr>
                <w:sz w:val="24"/>
                <w:szCs w:val="24"/>
                <w:color w:val="auto"/>
              </w:rPr>
            </w:pPr>
          </w:p>
        </w:tc>
        <w:tc>
          <w:tcPr>
            <w:tcW w:w="61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2,408</w:t>
            </w:r>
          </w:p>
        </w:tc>
        <w:tc>
          <w:tcPr>
            <w:tcW w:w="120" w:type="dxa"/>
            <w:vAlign w:val="bottom"/>
            <w:tcBorders>
              <w:bottom w:val="single" w:sz="8" w:color="auto"/>
            </w:tcBorders>
            <w:shd w:val="clear" w:color="auto" w:fill="D9D9D6"/>
          </w:tcPr>
          <w:p>
            <w:pPr>
              <w:spacing w:after="0"/>
              <w:rPr>
                <w:sz w:val="24"/>
                <w:szCs w:val="24"/>
                <w:color w:val="auto"/>
              </w:rPr>
            </w:pPr>
          </w:p>
        </w:tc>
        <w:tc>
          <w:tcPr>
            <w:tcW w:w="980" w:type="dxa"/>
            <w:vAlign w:val="bottom"/>
            <w:tcBorders>
              <w:bottom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2,327</w:t>
            </w:r>
          </w:p>
        </w:tc>
        <w:tc>
          <w:tcPr>
            <w:tcW w:w="900" w:type="dxa"/>
            <w:vAlign w:val="bottom"/>
            <w:tcBorders>
              <w:bottom w:val="single" w:sz="8" w:color="D9D9D6"/>
            </w:tcBorders>
            <w:shd w:val="clear" w:color="auto" w:fill="D9D9D6"/>
          </w:tcPr>
          <w:p>
            <w:pPr>
              <w:spacing w:after="0"/>
              <w:rPr>
                <w:sz w:val="24"/>
                <w:szCs w:val="24"/>
                <w:color w:val="auto"/>
              </w:rPr>
            </w:pPr>
          </w:p>
        </w:tc>
        <w:tc>
          <w:tcPr>
            <w:tcW w:w="1540" w:type="dxa"/>
            <w:vAlign w:val="bottom"/>
            <w:tcBorders>
              <w:bottom w:val="single" w:sz="8" w:color="auto"/>
              <w:right w:val="single" w:sz="8" w:color="D9D9D6"/>
            </w:tcBorders>
            <w:gridSpan w:val="3"/>
            <w:shd w:val="clear" w:color="auto" w:fill="D9D9D6"/>
          </w:tcPr>
          <w:p>
            <w:pPr>
              <w:jc w:val="right"/>
              <w:ind w:right="640"/>
              <w:spacing w:after="0"/>
              <w:rPr>
                <w:sz w:val="20"/>
                <w:szCs w:val="20"/>
                <w:color w:val="auto"/>
              </w:rPr>
            </w:pPr>
            <w:r>
              <w:rPr>
                <w:rFonts w:ascii="Arial" w:cs="Arial" w:eastAsia="Arial" w:hAnsi="Arial"/>
                <w:sz w:val="14"/>
                <w:szCs w:val="14"/>
                <w:color w:val="auto"/>
              </w:rPr>
              <w:t>11</w:t>
            </w:r>
          </w:p>
        </w:tc>
        <w:tc>
          <w:tcPr>
            <w:tcW w:w="460" w:type="dxa"/>
            <w:vAlign w:val="bottom"/>
            <w:tcBorders>
              <w:bottom w:val="single" w:sz="8" w:color="auto"/>
            </w:tcBorders>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D9D9D6"/>
            </w:tcBorders>
            <w:shd w:val="clear" w:color="auto" w:fill="D9D9D6"/>
          </w:tcPr>
          <w:p>
            <w:pPr>
              <w:spacing w:after="0"/>
              <w:rPr>
                <w:sz w:val="24"/>
                <w:szCs w:val="24"/>
                <w:color w:val="auto"/>
              </w:rPr>
            </w:pPr>
          </w:p>
        </w:tc>
      </w:tr>
      <w:tr>
        <w:trPr>
          <w:trHeight w:val="244"/>
        </w:trPr>
        <w:tc>
          <w:tcPr>
            <w:tcW w:w="100" w:type="dxa"/>
            <w:vAlign w:val="bottom"/>
            <w:shd w:val="clear" w:color="auto" w:fill="D9D9D6"/>
          </w:tcPr>
          <w:p>
            <w:pPr>
              <w:spacing w:after="0"/>
              <w:rPr>
                <w:sz w:val="21"/>
                <w:szCs w:val="21"/>
                <w:color w:val="auto"/>
              </w:rPr>
            </w:pPr>
          </w:p>
        </w:tc>
        <w:tc>
          <w:tcPr>
            <w:tcW w:w="61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31,917</w:t>
            </w:r>
          </w:p>
        </w:tc>
        <w:tc>
          <w:tcPr>
            <w:tcW w:w="120" w:type="dxa"/>
            <w:vAlign w:val="bottom"/>
            <w:shd w:val="clear" w:color="auto" w:fill="D9D9D6"/>
          </w:tcPr>
          <w:p>
            <w:pPr>
              <w:spacing w:after="0"/>
              <w:rPr>
                <w:sz w:val="21"/>
                <w:szCs w:val="21"/>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30,712</w:t>
            </w:r>
          </w:p>
        </w:tc>
        <w:tc>
          <w:tcPr>
            <w:tcW w:w="2440" w:type="dxa"/>
            <w:vAlign w:val="bottom"/>
            <w:tcBorders>
              <w:right w:val="single" w:sz="8" w:color="D9D9D6"/>
            </w:tcBorders>
            <w:gridSpan w:val="4"/>
            <w:shd w:val="clear" w:color="auto" w:fill="D9D9D6"/>
          </w:tcPr>
          <w:p>
            <w:pPr>
              <w:jc w:val="right"/>
              <w:ind w:right="640"/>
              <w:spacing w:after="0"/>
              <w:rPr>
                <w:sz w:val="20"/>
                <w:szCs w:val="20"/>
                <w:color w:val="auto"/>
              </w:rPr>
            </w:pPr>
            <w:r>
              <w:rPr>
                <w:rFonts w:ascii="Arial" w:cs="Arial" w:eastAsia="Arial" w:hAnsi="Arial"/>
                <w:sz w:val="14"/>
                <w:szCs w:val="14"/>
                <w:b w:val="1"/>
                <w:bCs w:val="1"/>
                <w:color w:val="auto"/>
              </w:rPr>
              <w:t>371</w:t>
            </w: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300</w:t>
            </w:r>
          </w:p>
        </w:tc>
        <w:tc>
          <w:tcPr>
            <w:tcW w:w="100" w:type="dxa"/>
            <w:vAlign w:val="bottom"/>
            <w:shd w:val="clear" w:color="auto" w:fill="D9D9D6"/>
          </w:tcPr>
          <w:p>
            <w:pPr>
              <w:spacing w:after="0"/>
              <w:rPr>
                <w:sz w:val="21"/>
                <w:szCs w:val="21"/>
                <w:color w:val="auto"/>
              </w:rPr>
            </w:pPr>
          </w:p>
        </w:tc>
      </w:tr>
      <w:tr>
        <w:trPr>
          <w:trHeight w:val="540"/>
        </w:trPr>
        <w:tc>
          <w:tcPr>
            <w:tcW w:w="100" w:type="dxa"/>
            <w:vAlign w:val="bottom"/>
            <w:shd w:val="clear" w:color="auto" w:fill="D9D9D6"/>
          </w:tcPr>
          <w:p>
            <w:pPr>
              <w:spacing w:after="0"/>
              <w:rPr>
                <w:sz w:val="24"/>
                <w:szCs w:val="24"/>
                <w:color w:val="auto"/>
              </w:rPr>
            </w:pPr>
          </w:p>
        </w:tc>
        <w:tc>
          <w:tcPr>
            <w:tcW w:w="61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Residential Customer Relationships Mix</w:t>
            </w:r>
          </w:p>
        </w:tc>
        <w:tc>
          <w:tcPr>
            <w:tcW w:w="54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900" w:type="dxa"/>
            <w:vAlign w:val="bottom"/>
            <w:shd w:val="clear" w:color="auto" w:fill="D9D9D6"/>
          </w:tcPr>
          <w:p>
            <w:pPr>
              <w:spacing w:after="0"/>
              <w:rPr>
                <w:sz w:val="24"/>
                <w:szCs w:val="24"/>
                <w:color w:val="auto"/>
              </w:rPr>
            </w:pPr>
          </w:p>
        </w:tc>
        <w:tc>
          <w:tcPr>
            <w:tcW w:w="580" w:type="dxa"/>
            <w:vAlign w:val="bottom"/>
            <w:tcBorders>
              <w:right w:val="single" w:sz="8" w:color="D9D9D6"/>
            </w:tcBorders>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640" w:type="dxa"/>
            <w:vAlign w:val="bottom"/>
            <w:tcBorders>
              <w:right w:val="single" w:sz="8" w:color="D9D9D6"/>
            </w:tcBorders>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70"/>
        </w:trPr>
        <w:tc>
          <w:tcPr>
            <w:tcW w:w="100" w:type="dxa"/>
            <w:vAlign w:val="bottom"/>
            <w:shd w:val="clear" w:color="auto" w:fill="D9D9D6"/>
          </w:tcPr>
          <w:p>
            <w:pPr>
              <w:spacing w:after="0"/>
              <w:rPr>
                <w:sz w:val="23"/>
                <w:szCs w:val="23"/>
                <w:color w:val="auto"/>
              </w:rPr>
            </w:pPr>
          </w:p>
        </w:tc>
        <w:tc>
          <w:tcPr>
            <w:tcW w:w="61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10,801</w:t>
            </w:r>
          </w:p>
        </w:tc>
        <w:tc>
          <w:tcPr>
            <w:tcW w:w="120" w:type="dxa"/>
            <w:vAlign w:val="bottom"/>
            <w:shd w:val="clear" w:color="auto" w:fill="D9D9D6"/>
          </w:tcPr>
          <w:p>
            <w:pPr>
              <w:spacing w:after="0"/>
              <w:rPr>
                <w:sz w:val="23"/>
                <w:szCs w:val="23"/>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9,295</w:t>
            </w:r>
          </w:p>
        </w:tc>
        <w:tc>
          <w:tcPr>
            <w:tcW w:w="900" w:type="dxa"/>
            <w:vAlign w:val="bottom"/>
            <w:shd w:val="clear" w:color="auto" w:fill="D9D9D6"/>
          </w:tcPr>
          <w:p>
            <w:pPr>
              <w:spacing w:after="0"/>
              <w:rPr>
                <w:sz w:val="23"/>
                <w:szCs w:val="23"/>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554</w:t>
            </w:r>
          </w:p>
        </w:tc>
        <w:tc>
          <w:tcPr>
            <w:tcW w:w="640" w:type="dxa"/>
            <w:vAlign w:val="bottom"/>
            <w:tcBorders>
              <w:right w:val="single" w:sz="8" w:color="D9D9D6"/>
            </w:tcBorders>
            <w:shd w:val="clear" w:color="auto" w:fill="D9D9D6"/>
          </w:tcPr>
          <w:p>
            <w:pPr>
              <w:spacing w:after="0"/>
              <w:rPr>
                <w:sz w:val="23"/>
                <w:szCs w:val="23"/>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D9D9D6"/>
          </w:tcPr>
          <w:p>
            <w:pPr>
              <w:spacing w:after="0"/>
              <w:rPr>
                <w:sz w:val="23"/>
                <w:szCs w:val="23"/>
                <w:color w:val="auto"/>
              </w:rPr>
            </w:pPr>
          </w:p>
        </w:tc>
      </w:tr>
      <w:tr>
        <w:trPr>
          <w:trHeight w:val="270"/>
        </w:trPr>
        <w:tc>
          <w:tcPr>
            <w:tcW w:w="100" w:type="dxa"/>
            <w:vAlign w:val="bottom"/>
            <w:shd w:val="clear" w:color="auto" w:fill="D9D9D6"/>
          </w:tcPr>
          <w:p>
            <w:pPr>
              <w:spacing w:after="0"/>
              <w:rPr>
                <w:sz w:val="23"/>
                <w:szCs w:val="23"/>
                <w:color w:val="auto"/>
              </w:rPr>
            </w:pPr>
          </w:p>
        </w:tc>
        <w:tc>
          <w:tcPr>
            <w:tcW w:w="61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8,848</w:t>
            </w:r>
          </w:p>
        </w:tc>
        <w:tc>
          <w:tcPr>
            <w:tcW w:w="120" w:type="dxa"/>
            <w:vAlign w:val="bottom"/>
            <w:shd w:val="clear" w:color="auto" w:fill="D9D9D6"/>
          </w:tcPr>
          <w:p>
            <w:pPr>
              <w:spacing w:after="0"/>
              <w:rPr>
                <w:sz w:val="23"/>
                <w:szCs w:val="23"/>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9,009</w:t>
            </w:r>
          </w:p>
        </w:tc>
        <w:tc>
          <w:tcPr>
            <w:tcW w:w="900" w:type="dxa"/>
            <w:vAlign w:val="bottom"/>
            <w:shd w:val="clear" w:color="auto" w:fill="D9D9D6"/>
          </w:tcPr>
          <w:p>
            <w:pPr>
              <w:spacing w:after="0"/>
              <w:rPr>
                <w:sz w:val="23"/>
                <w:szCs w:val="23"/>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(75)</w:t>
            </w:r>
          </w:p>
        </w:tc>
        <w:tc>
          <w:tcPr>
            <w:tcW w:w="640" w:type="dxa"/>
            <w:vAlign w:val="bottom"/>
            <w:tcBorders>
              <w:right w:val="single" w:sz="8" w:color="D9D9D6"/>
            </w:tcBorders>
            <w:shd w:val="clear" w:color="auto" w:fill="D9D9D6"/>
          </w:tcPr>
          <w:p>
            <w:pPr>
              <w:spacing w:after="0"/>
              <w:rPr>
                <w:sz w:val="23"/>
                <w:szCs w:val="23"/>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D9D9D6"/>
          </w:tcPr>
          <w:p>
            <w:pPr>
              <w:spacing w:after="0"/>
              <w:rPr>
                <w:sz w:val="23"/>
                <w:szCs w:val="23"/>
                <w:color w:val="auto"/>
              </w:rPr>
            </w:pPr>
          </w:p>
        </w:tc>
      </w:tr>
      <w:tr>
        <w:trPr>
          <w:trHeight w:val="270"/>
        </w:trPr>
        <w:tc>
          <w:tcPr>
            <w:tcW w:w="100" w:type="dxa"/>
            <w:vAlign w:val="bottom"/>
            <w:shd w:val="clear" w:color="auto" w:fill="D9D9D6"/>
          </w:tcPr>
          <w:p>
            <w:pPr>
              <w:spacing w:after="0"/>
              <w:rPr>
                <w:sz w:val="23"/>
                <w:szCs w:val="23"/>
                <w:color w:val="auto"/>
              </w:rPr>
            </w:pPr>
          </w:p>
        </w:tc>
        <w:tc>
          <w:tcPr>
            <w:tcW w:w="61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9,860</w:t>
            </w:r>
          </w:p>
        </w:tc>
        <w:tc>
          <w:tcPr>
            <w:tcW w:w="120" w:type="dxa"/>
            <w:vAlign w:val="bottom"/>
            <w:shd w:val="clear" w:color="auto" w:fill="D9D9D6"/>
          </w:tcPr>
          <w:p>
            <w:pPr>
              <w:spacing w:after="0"/>
              <w:rPr>
                <w:sz w:val="23"/>
                <w:szCs w:val="23"/>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10,081</w:t>
            </w:r>
          </w:p>
        </w:tc>
        <w:tc>
          <w:tcPr>
            <w:tcW w:w="900" w:type="dxa"/>
            <w:vAlign w:val="bottom"/>
            <w:shd w:val="clear" w:color="auto" w:fill="D9D9D6"/>
          </w:tcPr>
          <w:p>
            <w:pPr>
              <w:spacing w:after="0"/>
              <w:rPr>
                <w:sz w:val="23"/>
                <w:szCs w:val="23"/>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(119)</w:t>
            </w:r>
          </w:p>
        </w:tc>
        <w:tc>
          <w:tcPr>
            <w:tcW w:w="640" w:type="dxa"/>
            <w:vAlign w:val="bottom"/>
            <w:tcBorders>
              <w:right w:val="single" w:sz="8" w:color="D9D9D6"/>
            </w:tcBorders>
            <w:shd w:val="clear" w:color="auto" w:fill="D9D9D6"/>
          </w:tcPr>
          <w:p>
            <w:pPr>
              <w:spacing w:after="0"/>
              <w:rPr>
                <w:sz w:val="23"/>
                <w:szCs w:val="23"/>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D9D9D6"/>
          </w:tcPr>
          <w:p>
            <w:pPr>
              <w:spacing w:after="0"/>
              <w:rPr>
                <w:sz w:val="23"/>
                <w:szCs w:val="23"/>
                <w:color w:val="auto"/>
              </w:rPr>
            </w:pPr>
          </w:p>
        </w:tc>
      </w:tr>
      <w:tr>
        <w:trPr>
          <w:trHeight w:val="540"/>
        </w:trPr>
        <w:tc>
          <w:tcPr>
            <w:tcW w:w="100" w:type="dxa"/>
            <w:vAlign w:val="bottom"/>
            <w:shd w:val="clear" w:color="auto" w:fill="D9D9D6"/>
          </w:tcPr>
          <w:p>
            <w:pPr>
              <w:spacing w:after="0"/>
              <w:rPr>
                <w:sz w:val="24"/>
                <w:szCs w:val="24"/>
                <w:color w:val="auto"/>
              </w:rPr>
            </w:pPr>
          </w:p>
        </w:tc>
        <w:tc>
          <w:tcPr>
            <w:tcW w:w="61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Residential High-Speed Internet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26,880</w:t>
            </w:r>
          </w:p>
        </w:tc>
        <w:tc>
          <w:tcPr>
            <w:tcW w:w="1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25,449</w:t>
            </w:r>
          </w:p>
        </w:tc>
        <w:tc>
          <w:tcPr>
            <w:tcW w:w="900" w:type="dxa"/>
            <w:vAlign w:val="bottom"/>
            <w:shd w:val="clear" w:color="auto" w:fill="D9D9D6"/>
          </w:tcPr>
          <w:p>
            <w:pPr>
              <w:spacing w:after="0"/>
              <w:rPr>
                <w:sz w:val="24"/>
                <w:szCs w:val="24"/>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466</w:t>
            </w:r>
          </w:p>
        </w:tc>
        <w:tc>
          <w:tcPr>
            <w:tcW w:w="640" w:type="dxa"/>
            <w:vAlign w:val="bottom"/>
            <w:tcBorders>
              <w:right w:val="single" w:sz="8" w:color="D9D9D6"/>
            </w:tcBorders>
            <w:shd w:val="clear" w:color="auto" w:fill="D9D9D6"/>
          </w:tcPr>
          <w:p>
            <w:pPr>
              <w:spacing w:after="0"/>
              <w:rPr>
                <w:sz w:val="24"/>
                <w:szCs w:val="24"/>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D9D9D6"/>
          </w:tcPr>
          <w:p>
            <w:pPr>
              <w:spacing w:after="0"/>
              <w:rPr>
                <w:sz w:val="24"/>
                <w:szCs w:val="24"/>
                <w:color w:val="auto"/>
              </w:rPr>
            </w:pPr>
          </w:p>
        </w:tc>
      </w:tr>
      <w:tr>
        <w:trPr>
          <w:trHeight w:val="276"/>
        </w:trPr>
        <w:tc>
          <w:tcPr>
            <w:tcW w:w="100" w:type="dxa"/>
            <w:vAlign w:val="bottom"/>
            <w:tcBorders>
              <w:bottom w:val="single" w:sz="8" w:color="D9D9D6"/>
            </w:tcBorders>
            <w:shd w:val="clear" w:color="auto" w:fill="D9D9D6"/>
          </w:tcPr>
          <w:p>
            <w:pPr>
              <w:spacing w:after="0"/>
              <w:rPr>
                <w:sz w:val="24"/>
                <w:szCs w:val="24"/>
                <w:color w:val="auto"/>
              </w:rPr>
            </w:pPr>
          </w:p>
        </w:tc>
        <w:tc>
          <w:tcPr>
            <w:tcW w:w="61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Business Services High-Speed Internet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2,226</w:t>
            </w:r>
          </w:p>
        </w:tc>
        <w:tc>
          <w:tcPr>
            <w:tcW w:w="120" w:type="dxa"/>
            <w:vAlign w:val="bottom"/>
            <w:tcBorders>
              <w:bottom w:val="single" w:sz="8" w:color="auto"/>
            </w:tcBorders>
            <w:shd w:val="clear" w:color="auto" w:fill="D9D9D6"/>
          </w:tcPr>
          <w:p>
            <w:pPr>
              <w:spacing w:after="0"/>
              <w:rPr>
                <w:sz w:val="24"/>
                <w:szCs w:val="24"/>
                <w:color w:val="auto"/>
              </w:rPr>
            </w:pPr>
          </w:p>
        </w:tc>
        <w:tc>
          <w:tcPr>
            <w:tcW w:w="980" w:type="dxa"/>
            <w:vAlign w:val="bottom"/>
            <w:tcBorders>
              <w:bottom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2,148</w:t>
            </w:r>
          </w:p>
        </w:tc>
        <w:tc>
          <w:tcPr>
            <w:tcW w:w="900" w:type="dxa"/>
            <w:vAlign w:val="bottom"/>
            <w:tcBorders>
              <w:bottom w:val="single" w:sz="8" w:color="D9D9D6"/>
            </w:tcBorders>
            <w:shd w:val="clear" w:color="auto" w:fill="D9D9D6"/>
          </w:tcPr>
          <w:p>
            <w:pPr>
              <w:spacing w:after="0"/>
              <w:rPr>
                <w:sz w:val="24"/>
                <w:szCs w:val="24"/>
                <w:color w:val="auto"/>
              </w:rPr>
            </w:pP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640" w:type="dxa"/>
            <w:vAlign w:val="bottom"/>
            <w:tcBorders>
              <w:bottom w:val="single" w:sz="8" w:color="auto"/>
              <w:right w:val="single" w:sz="8" w:color="D9D9D6"/>
            </w:tcBorders>
            <w:shd w:val="clear" w:color="auto" w:fill="D9D9D6"/>
          </w:tcPr>
          <w:p>
            <w:pPr>
              <w:spacing w:after="0"/>
              <w:rPr>
                <w:sz w:val="24"/>
                <w:szCs w:val="24"/>
                <w:color w:val="auto"/>
              </w:rPr>
            </w:pPr>
          </w:p>
        </w:tc>
        <w:tc>
          <w:tcPr>
            <w:tcW w:w="460" w:type="dxa"/>
            <w:vAlign w:val="bottom"/>
            <w:tcBorders>
              <w:bottom w:val="single" w:sz="8" w:color="auto"/>
            </w:tcBorders>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D9D9D6"/>
            </w:tcBorders>
            <w:shd w:val="clear" w:color="auto" w:fill="D9D9D6"/>
          </w:tcPr>
          <w:p>
            <w:pPr>
              <w:spacing w:after="0"/>
              <w:rPr>
                <w:sz w:val="24"/>
                <w:szCs w:val="24"/>
                <w:color w:val="auto"/>
              </w:rPr>
            </w:pPr>
          </w:p>
        </w:tc>
      </w:tr>
      <w:tr>
        <w:trPr>
          <w:trHeight w:val="244"/>
        </w:trPr>
        <w:tc>
          <w:tcPr>
            <w:tcW w:w="100" w:type="dxa"/>
            <w:vAlign w:val="bottom"/>
            <w:shd w:val="clear" w:color="auto" w:fill="D9D9D6"/>
          </w:tcPr>
          <w:p>
            <w:pPr>
              <w:spacing w:after="0"/>
              <w:rPr>
                <w:sz w:val="21"/>
                <w:szCs w:val="21"/>
                <w:color w:val="auto"/>
              </w:rPr>
            </w:pPr>
          </w:p>
        </w:tc>
        <w:tc>
          <w:tcPr>
            <w:tcW w:w="61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29,106</w:t>
            </w:r>
          </w:p>
        </w:tc>
        <w:tc>
          <w:tcPr>
            <w:tcW w:w="120" w:type="dxa"/>
            <w:vAlign w:val="bottom"/>
            <w:shd w:val="clear" w:color="auto" w:fill="D9D9D6"/>
          </w:tcPr>
          <w:p>
            <w:pPr>
              <w:spacing w:after="0"/>
              <w:rPr>
                <w:sz w:val="21"/>
                <w:szCs w:val="21"/>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27,598</w:t>
            </w:r>
          </w:p>
        </w:tc>
        <w:tc>
          <w:tcPr>
            <w:tcW w:w="900" w:type="dxa"/>
            <w:vAlign w:val="bottom"/>
            <w:shd w:val="clear" w:color="auto" w:fill="D9D9D6"/>
          </w:tcPr>
          <w:p>
            <w:pPr>
              <w:spacing w:after="0"/>
              <w:rPr>
                <w:sz w:val="21"/>
                <w:szCs w:val="21"/>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477</w:t>
            </w:r>
          </w:p>
        </w:tc>
        <w:tc>
          <w:tcPr>
            <w:tcW w:w="640" w:type="dxa"/>
            <w:vAlign w:val="bottom"/>
            <w:tcBorders>
              <w:right w:val="single" w:sz="8" w:color="D9D9D6"/>
            </w:tcBorders>
            <w:shd w:val="clear" w:color="auto" w:fill="D9D9D6"/>
          </w:tcPr>
          <w:p>
            <w:pPr>
              <w:spacing w:after="0"/>
              <w:rPr>
                <w:sz w:val="21"/>
                <w:szCs w:val="21"/>
                <w:color w:val="auto"/>
              </w:rPr>
            </w:pP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375</w:t>
            </w:r>
          </w:p>
        </w:tc>
        <w:tc>
          <w:tcPr>
            <w:tcW w:w="100" w:type="dxa"/>
            <w:vAlign w:val="bottom"/>
            <w:shd w:val="clear" w:color="auto" w:fill="D9D9D6"/>
          </w:tcPr>
          <w:p>
            <w:pPr>
              <w:spacing w:after="0"/>
              <w:rPr>
                <w:sz w:val="21"/>
                <w:szCs w:val="21"/>
                <w:color w:val="auto"/>
              </w:rPr>
            </w:pPr>
          </w:p>
        </w:tc>
      </w:tr>
      <w:tr>
        <w:trPr>
          <w:trHeight w:val="540"/>
        </w:trPr>
        <w:tc>
          <w:tcPr>
            <w:tcW w:w="100" w:type="dxa"/>
            <w:vAlign w:val="bottom"/>
            <w:shd w:val="clear" w:color="auto" w:fill="D9D9D6"/>
          </w:tcPr>
          <w:p>
            <w:pPr>
              <w:spacing w:after="0"/>
              <w:rPr>
                <w:sz w:val="24"/>
                <w:szCs w:val="24"/>
                <w:color w:val="auto"/>
              </w:rPr>
            </w:pPr>
          </w:p>
        </w:tc>
        <w:tc>
          <w:tcPr>
            <w:tcW w:w="61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19,900</w:t>
            </w:r>
          </w:p>
        </w:tc>
        <w:tc>
          <w:tcPr>
            <w:tcW w:w="1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20,852</w:t>
            </w:r>
          </w:p>
        </w:tc>
        <w:tc>
          <w:tcPr>
            <w:tcW w:w="900" w:type="dxa"/>
            <w:vAlign w:val="bottom"/>
            <w:shd w:val="clear" w:color="auto" w:fill="D9D9D6"/>
          </w:tcPr>
          <w:p>
            <w:pPr>
              <w:spacing w:after="0"/>
              <w:rPr>
                <w:sz w:val="24"/>
                <w:szCs w:val="24"/>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(388)</w:t>
            </w:r>
          </w:p>
        </w:tc>
        <w:tc>
          <w:tcPr>
            <w:tcW w:w="640" w:type="dxa"/>
            <w:vAlign w:val="bottom"/>
            <w:tcBorders>
              <w:right w:val="single" w:sz="8" w:color="D9D9D6"/>
            </w:tcBorders>
            <w:shd w:val="clear" w:color="auto" w:fill="D9D9D6"/>
          </w:tcPr>
          <w:p>
            <w:pPr>
              <w:spacing w:after="0"/>
              <w:rPr>
                <w:sz w:val="24"/>
                <w:szCs w:val="24"/>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D9D9D6"/>
          </w:tcPr>
          <w:p>
            <w:pPr>
              <w:spacing w:after="0"/>
              <w:rPr>
                <w:sz w:val="24"/>
                <w:szCs w:val="24"/>
                <w:color w:val="auto"/>
              </w:rPr>
            </w:pPr>
          </w:p>
        </w:tc>
      </w:tr>
      <w:tr>
        <w:trPr>
          <w:trHeight w:val="276"/>
        </w:trPr>
        <w:tc>
          <w:tcPr>
            <w:tcW w:w="100" w:type="dxa"/>
            <w:vAlign w:val="bottom"/>
            <w:tcBorders>
              <w:bottom w:val="single" w:sz="8" w:color="D9D9D6"/>
            </w:tcBorders>
            <w:shd w:val="clear" w:color="auto" w:fill="D9D9D6"/>
          </w:tcPr>
          <w:p>
            <w:pPr>
              <w:spacing w:after="0"/>
              <w:rPr>
                <w:sz w:val="24"/>
                <w:szCs w:val="24"/>
                <w:color w:val="auto"/>
              </w:rPr>
            </w:pPr>
          </w:p>
        </w:tc>
        <w:tc>
          <w:tcPr>
            <w:tcW w:w="61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944</w:t>
            </w:r>
          </w:p>
        </w:tc>
        <w:tc>
          <w:tcPr>
            <w:tcW w:w="120" w:type="dxa"/>
            <w:vAlign w:val="bottom"/>
            <w:tcBorders>
              <w:bottom w:val="single" w:sz="8" w:color="auto"/>
            </w:tcBorders>
            <w:shd w:val="clear" w:color="auto" w:fill="D9D9D6"/>
          </w:tcPr>
          <w:p>
            <w:pPr>
              <w:spacing w:after="0"/>
              <w:rPr>
                <w:sz w:val="24"/>
                <w:szCs w:val="24"/>
                <w:color w:val="auto"/>
              </w:rPr>
            </w:pPr>
          </w:p>
        </w:tc>
        <w:tc>
          <w:tcPr>
            <w:tcW w:w="980" w:type="dxa"/>
            <w:vAlign w:val="bottom"/>
            <w:tcBorders>
              <w:bottom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1,014</w:t>
            </w:r>
          </w:p>
        </w:tc>
        <w:tc>
          <w:tcPr>
            <w:tcW w:w="900" w:type="dxa"/>
            <w:vAlign w:val="bottom"/>
            <w:tcBorders>
              <w:bottom w:val="single" w:sz="8" w:color="D9D9D6"/>
            </w:tcBorders>
            <w:shd w:val="clear" w:color="auto" w:fill="D9D9D6"/>
          </w:tcPr>
          <w:p>
            <w:pPr>
              <w:spacing w:after="0"/>
              <w:rPr>
                <w:sz w:val="24"/>
                <w:szCs w:val="24"/>
                <w:color w:val="auto"/>
              </w:rPr>
            </w:pP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w:t>
            </w:r>
          </w:p>
        </w:tc>
        <w:tc>
          <w:tcPr>
            <w:tcW w:w="640" w:type="dxa"/>
            <w:vAlign w:val="bottom"/>
            <w:tcBorders>
              <w:bottom w:val="single" w:sz="8" w:color="auto"/>
              <w:right w:val="single" w:sz="8" w:color="D9D9D6"/>
            </w:tcBorders>
            <w:shd w:val="clear" w:color="auto" w:fill="D9D9D6"/>
          </w:tcPr>
          <w:p>
            <w:pPr>
              <w:spacing w:after="0"/>
              <w:rPr>
                <w:sz w:val="24"/>
                <w:szCs w:val="24"/>
                <w:color w:val="auto"/>
              </w:rPr>
            </w:pPr>
          </w:p>
        </w:tc>
        <w:tc>
          <w:tcPr>
            <w:tcW w:w="4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D9D9D6"/>
            </w:tcBorders>
            <w:shd w:val="clear" w:color="auto" w:fill="D9D9D6"/>
          </w:tcPr>
          <w:p>
            <w:pPr>
              <w:spacing w:after="0"/>
              <w:rPr>
                <w:sz w:val="24"/>
                <w:szCs w:val="24"/>
                <w:color w:val="auto"/>
              </w:rPr>
            </w:pPr>
          </w:p>
        </w:tc>
      </w:tr>
      <w:tr>
        <w:trPr>
          <w:trHeight w:val="244"/>
        </w:trPr>
        <w:tc>
          <w:tcPr>
            <w:tcW w:w="100" w:type="dxa"/>
            <w:vAlign w:val="bottom"/>
            <w:shd w:val="clear" w:color="auto" w:fill="D9D9D6"/>
          </w:tcPr>
          <w:p>
            <w:pPr>
              <w:spacing w:after="0"/>
              <w:rPr>
                <w:sz w:val="21"/>
                <w:szCs w:val="21"/>
                <w:color w:val="auto"/>
              </w:rPr>
            </w:pPr>
          </w:p>
        </w:tc>
        <w:tc>
          <w:tcPr>
            <w:tcW w:w="61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20,845</w:t>
            </w:r>
          </w:p>
        </w:tc>
        <w:tc>
          <w:tcPr>
            <w:tcW w:w="120" w:type="dxa"/>
            <w:vAlign w:val="bottom"/>
            <w:shd w:val="clear" w:color="auto" w:fill="D9D9D6"/>
          </w:tcPr>
          <w:p>
            <w:pPr>
              <w:spacing w:after="0"/>
              <w:rPr>
                <w:sz w:val="21"/>
                <w:szCs w:val="21"/>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21,865</w:t>
            </w:r>
          </w:p>
        </w:tc>
        <w:tc>
          <w:tcPr>
            <w:tcW w:w="900" w:type="dxa"/>
            <w:vAlign w:val="bottom"/>
            <w:shd w:val="clear" w:color="auto" w:fill="D9D9D6"/>
          </w:tcPr>
          <w:p>
            <w:pPr>
              <w:spacing w:after="0"/>
              <w:rPr>
                <w:sz w:val="21"/>
                <w:szCs w:val="21"/>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(409)</w:t>
            </w:r>
          </w:p>
        </w:tc>
        <w:tc>
          <w:tcPr>
            <w:tcW w:w="640" w:type="dxa"/>
            <w:vAlign w:val="bottom"/>
            <w:tcBorders>
              <w:right w:val="single" w:sz="8" w:color="D9D9D6"/>
            </w:tcBorders>
            <w:shd w:val="clear" w:color="auto" w:fill="D9D9D6"/>
          </w:tcPr>
          <w:p>
            <w:pPr>
              <w:spacing w:after="0"/>
              <w:rPr>
                <w:sz w:val="21"/>
                <w:szCs w:val="21"/>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(121)</w:t>
            </w:r>
          </w:p>
        </w:tc>
        <w:tc>
          <w:tcPr>
            <w:tcW w:w="100" w:type="dxa"/>
            <w:vAlign w:val="bottom"/>
            <w:shd w:val="clear" w:color="auto" w:fill="D9D9D6"/>
          </w:tcPr>
          <w:p>
            <w:pPr>
              <w:spacing w:after="0"/>
              <w:rPr>
                <w:sz w:val="21"/>
                <w:szCs w:val="21"/>
                <w:color w:val="auto"/>
              </w:rPr>
            </w:pPr>
          </w:p>
        </w:tc>
      </w:tr>
      <w:tr>
        <w:trPr>
          <w:trHeight w:val="540"/>
        </w:trPr>
        <w:tc>
          <w:tcPr>
            <w:tcW w:w="100" w:type="dxa"/>
            <w:vAlign w:val="bottom"/>
            <w:shd w:val="clear" w:color="auto" w:fill="D9D9D6"/>
          </w:tcPr>
          <w:p>
            <w:pPr>
              <w:spacing w:after="0"/>
              <w:rPr>
                <w:sz w:val="24"/>
                <w:szCs w:val="24"/>
                <w:color w:val="auto"/>
              </w:rPr>
            </w:pPr>
          </w:p>
        </w:tc>
        <w:tc>
          <w:tcPr>
            <w:tcW w:w="6120" w:type="dxa"/>
            <w:vAlign w:val="bottom"/>
            <w:shd w:val="clear" w:color="auto" w:fill="D9D9D6"/>
          </w:tcPr>
          <w:p>
            <w:pPr>
              <w:ind w:left="18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9,840</w:t>
            </w:r>
          </w:p>
        </w:tc>
        <w:tc>
          <w:tcPr>
            <w:tcW w:w="1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10,089</w:t>
            </w:r>
          </w:p>
        </w:tc>
        <w:tc>
          <w:tcPr>
            <w:tcW w:w="900" w:type="dxa"/>
            <w:vAlign w:val="bottom"/>
            <w:shd w:val="clear" w:color="auto" w:fill="D9D9D6"/>
          </w:tcPr>
          <w:p>
            <w:pPr>
              <w:spacing w:after="0"/>
              <w:rPr>
                <w:sz w:val="24"/>
                <w:szCs w:val="24"/>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(94)</w:t>
            </w:r>
          </w:p>
        </w:tc>
        <w:tc>
          <w:tcPr>
            <w:tcW w:w="640" w:type="dxa"/>
            <w:vAlign w:val="bottom"/>
            <w:tcBorders>
              <w:right w:val="single" w:sz="8" w:color="D9D9D6"/>
            </w:tcBorders>
            <w:shd w:val="clear" w:color="auto" w:fill="D9D9D6"/>
          </w:tcPr>
          <w:p>
            <w:pPr>
              <w:spacing w:after="0"/>
              <w:rPr>
                <w:sz w:val="24"/>
                <w:szCs w:val="24"/>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D9D9D6"/>
          </w:tcPr>
          <w:p>
            <w:pPr>
              <w:spacing w:after="0"/>
              <w:rPr>
                <w:sz w:val="24"/>
                <w:szCs w:val="24"/>
                <w:color w:val="auto"/>
              </w:rPr>
            </w:pPr>
          </w:p>
        </w:tc>
      </w:tr>
      <w:tr>
        <w:trPr>
          <w:trHeight w:val="276"/>
        </w:trPr>
        <w:tc>
          <w:tcPr>
            <w:tcW w:w="100" w:type="dxa"/>
            <w:vAlign w:val="bottom"/>
            <w:tcBorders>
              <w:bottom w:val="single" w:sz="8" w:color="D9D9D6"/>
            </w:tcBorders>
            <w:shd w:val="clear" w:color="auto" w:fill="D9D9D6"/>
          </w:tcPr>
          <w:p>
            <w:pPr>
              <w:spacing w:after="0"/>
              <w:rPr>
                <w:sz w:val="24"/>
                <w:szCs w:val="24"/>
                <w:color w:val="auto"/>
              </w:rPr>
            </w:pPr>
          </w:p>
        </w:tc>
        <w:tc>
          <w:tcPr>
            <w:tcW w:w="6120" w:type="dxa"/>
            <w:vAlign w:val="bottom"/>
            <w:tcBorders>
              <w:bottom w:val="single" w:sz="8" w:color="D9D9D6"/>
            </w:tcBorders>
            <w:shd w:val="clear" w:color="auto" w:fill="D9D9D6"/>
          </w:tcPr>
          <w:p>
            <w:pPr>
              <w:ind w:left="18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1,347</w:t>
            </w:r>
          </w:p>
        </w:tc>
        <w:tc>
          <w:tcPr>
            <w:tcW w:w="120" w:type="dxa"/>
            <w:vAlign w:val="bottom"/>
            <w:tcBorders>
              <w:bottom w:val="single" w:sz="8" w:color="auto"/>
            </w:tcBorders>
            <w:shd w:val="clear" w:color="auto" w:fill="D9D9D6"/>
          </w:tcPr>
          <w:p>
            <w:pPr>
              <w:spacing w:after="0"/>
              <w:rPr>
                <w:sz w:val="24"/>
                <w:szCs w:val="24"/>
                <w:color w:val="auto"/>
              </w:rPr>
            </w:pPr>
          </w:p>
        </w:tc>
        <w:tc>
          <w:tcPr>
            <w:tcW w:w="980" w:type="dxa"/>
            <w:vAlign w:val="bottom"/>
            <w:tcBorders>
              <w:bottom w:val="single" w:sz="8" w:color="auto"/>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1,307</w:t>
            </w:r>
          </w:p>
        </w:tc>
        <w:tc>
          <w:tcPr>
            <w:tcW w:w="900" w:type="dxa"/>
            <w:vAlign w:val="bottom"/>
            <w:tcBorders>
              <w:bottom w:val="single" w:sz="8" w:color="D9D9D6"/>
            </w:tcBorders>
            <w:shd w:val="clear" w:color="auto" w:fill="D9D9D6"/>
          </w:tcPr>
          <w:p>
            <w:pPr>
              <w:spacing w:after="0"/>
              <w:rPr>
                <w:sz w:val="24"/>
                <w:szCs w:val="24"/>
                <w:color w:val="auto"/>
              </w:rPr>
            </w:pP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w:t>
            </w:r>
          </w:p>
        </w:tc>
        <w:tc>
          <w:tcPr>
            <w:tcW w:w="640" w:type="dxa"/>
            <w:vAlign w:val="bottom"/>
            <w:tcBorders>
              <w:bottom w:val="single" w:sz="8" w:color="auto"/>
              <w:right w:val="single" w:sz="8" w:color="D9D9D6"/>
            </w:tcBorders>
            <w:shd w:val="clear" w:color="auto" w:fill="D9D9D6"/>
          </w:tcPr>
          <w:p>
            <w:pPr>
              <w:spacing w:after="0"/>
              <w:rPr>
                <w:sz w:val="24"/>
                <w:szCs w:val="24"/>
                <w:color w:val="auto"/>
              </w:rPr>
            </w:pPr>
          </w:p>
        </w:tc>
        <w:tc>
          <w:tcPr>
            <w:tcW w:w="460" w:type="dxa"/>
            <w:vAlign w:val="bottom"/>
            <w:tcBorders>
              <w:bottom w:val="single" w:sz="8" w:color="auto"/>
            </w:tcBorders>
            <w:gridSpan w:val="2"/>
            <w:shd w:val="clear" w:color="auto" w:fill="D9D9D6"/>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D9D9D6"/>
            </w:tcBorders>
            <w:shd w:val="clear" w:color="auto" w:fill="D9D9D6"/>
          </w:tcPr>
          <w:p>
            <w:pPr>
              <w:spacing w:after="0"/>
              <w:rPr>
                <w:sz w:val="24"/>
                <w:szCs w:val="24"/>
                <w:color w:val="auto"/>
              </w:rPr>
            </w:pPr>
          </w:p>
        </w:tc>
      </w:tr>
      <w:tr>
        <w:trPr>
          <w:trHeight w:val="244"/>
        </w:trPr>
        <w:tc>
          <w:tcPr>
            <w:tcW w:w="100" w:type="dxa"/>
            <w:vAlign w:val="bottom"/>
            <w:shd w:val="clear" w:color="auto" w:fill="D9D9D6"/>
          </w:tcPr>
          <w:p>
            <w:pPr>
              <w:spacing w:after="0"/>
              <w:rPr>
                <w:sz w:val="21"/>
                <w:szCs w:val="21"/>
                <w:color w:val="auto"/>
              </w:rPr>
            </w:pPr>
          </w:p>
        </w:tc>
        <w:tc>
          <w:tcPr>
            <w:tcW w:w="61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11,187</w:t>
            </w:r>
          </w:p>
        </w:tc>
        <w:tc>
          <w:tcPr>
            <w:tcW w:w="120" w:type="dxa"/>
            <w:vAlign w:val="bottom"/>
            <w:shd w:val="clear" w:color="auto" w:fill="D9D9D6"/>
          </w:tcPr>
          <w:p>
            <w:pPr>
              <w:spacing w:after="0"/>
              <w:rPr>
                <w:sz w:val="21"/>
                <w:szCs w:val="21"/>
                <w:color w:val="auto"/>
              </w:rPr>
            </w:pP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11,396</w:t>
            </w:r>
          </w:p>
        </w:tc>
        <w:tc>
          <w:tcPr>
            <w:tcW w:w="900" w:type="dxa"/>
            <w:vAlign w:val="bottom"/>
            <w:shd w:val="clear" w:color="auto" w:fill="D9D9D6"/>
          </w:tcPr>
          <w:p>
            <w:pPr>
              <w:spacing w:after="0"/>
              <w:rPr>
                <w:sz w:val="21"/>
                <w:szCs w:val="21"/>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(89)</w:t>
            </w:r>
          </w:p>
        </w:tc>
        <w:tc>
          <w:tcPr>
            <w:tcW w:w="640" w:type="dxa"/>
            <w:vAlign w:val="bottom"/>
            <w:tcBorders>
              <w:right w:val="single" w:sz="8" w:color="D9D9D6"/>
            </w:tcBorders>
            <w:shd w:val="clear" w:color="auto" w:fill="D9D9D6"/>
          </w:tcPr>
          <w:p>
            <w:pPr>
              <w:spacing w:after="0"/>
              <w:rPr>
                <w:sz w:val="21"/>
                <w:szCs w:val="21"/>
                <w:color w:val="auto"/>
              </w:rPr>
            </w:pPr>
          </w:p>
        </w:tc>
        <w:tc>
          <w:tcPr>
            <w:tcW w:w="4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D9D9D6"/>
          </w:tcPr>
          <w:p>
            <w:pPr>
              <w:spacing w:after="0"/>
              <w:rPr>
                <w:sz w:val="21"/>
                <w:szCs w:val="21"/>
                <w:color w:val="auto"/>
              </w:rPr>
            </w:pPr>
          </w:p>
        </w:tc>
      </w:tr>
      <w:tr>
        <w:trPr>
          <w:trHeight w:val="540"/>
        </w:trPr>
        <w:tc>
          <w:tcPr>
            <w:tcW w:w="100" w:type="dxa"/>
            <w:vAlign w:val="bottom"/>
            <w:shd w:val="clear" w:color="auto" w:fill="D9D9D6"/>
          </w:tcPr>
          <w:p>
            <w:pPr>
              <w:spacing w:after="0"/>
              <w:rPr>
                <w:sz w:val="24"/>
                <w:szCs w:val="24"/>
                <w:color w:val="auto"/>
              </w:rPr>
            </w:pPr>
          </w:p>
        </w:tc>
        <w:tc>
          <w:tcPr>
            <w:tcW w:w="61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Total Wireless Lines</w:t>
            </w:r>
          </w:p>
        </w:tc>
        <w:tc>
          <w:tcPr>
            <w:tcW w:w="100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2,267</w:t>
            </w:r>
          </w:p>
        </w:tc>
        <w:tc>
          <w:tcPr>
            <w:tcW w:w="98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1,405</w:t>
            </w:r>
          </w:p>
        </w:tc>
        <w:tc>
          <w:tcPr>
            <w:tcW w:w="900" w:type="dxa"/>
            <w:vAlign w:val="bottom"/>
            <w:shd w:val="clear" w:color="auto" w:fill="D9D9D6"/>
          </w:tcPr>
          <w:p>
            <w:pPr>
              <w:spacing w:after="0"/>
              <w:rPr>
                <w:sz w:val="24"/>
                <w:szCs w:val="24"/>
                <w:color w:val="auto"/>
              </w:rPr>
            </w:pPr>
          </w:p>
        </w:tc>
        <w:tc>
          <w:tcPr>
            <w:tcW w:w="1540" w:type="dxa"/>
            <w:vAlign w:val="bottom"/>
            <w:tcBorders>
              <w:right w:val="single" w:sz="8" w:color="D9D9D6"/>
            </w:tcBorders>
            <w:gridSpan w:val="3"/>
            <w:shd w:val="clear" w:color="auto" w:fill="D9D9D6"/>
          </w:tcPr>
          <w:p>
            <w:pPr>
              <w:jc w:val="right"/>
              <w:ind w:right="640"/>
              <w:spacing w:after="0"/>
              <w:rPr>
                <w:sz w:val="20"/>
                <w:szCs w:val="20"/>
                <w:color w:val="auto"/>
              </w:rPr>
            </w:pPr>
            <w:r>
              <w:rPr>
                <w:rFonts w:ascii="Arial" w:cs="Arial" w:eastAsia="Arial" w:hAnsi="Arial"/>
                <w:sz w:val="14"/>
                <w:szCs w:val="14"/>
                <w:b w:val="1"/>
                <w:bCs w:val="1"/>
                <w:color w:val="auto"/>
              </w:rPr>
              <w:t>216</w:t>
            </w:r>
          </w:p>
        </w:tc>
        <w:tc>
          <w:tcPr>
            <w:tcW w:w="460" w:type="dxa"/>
            <w:vAlign w:val="bottom"/>
            <w:gridSpan w:val="2"/>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170</w:t>
            </w:r>
          </w:p>
        </w:tc>
        <w:tc>
          <w:tcPr>
            <w:tcW w:w="100" w:type="dxa"/>
            <w:vAlign w:val="bottom"/>
            <w:shd w:val="clear" w:color="auto" w:fill="D9D9D6"/>
          </w:tcPr>
          <w:p>
            <w:pPr>
              <w:spacing w:after="0"/>
              <w:rPr>
                <w:sz w:val="24"/>
                <w:szCs w:val="24"/>
                <w:color w:val="auto"/>
              </w:rPr>
            </w:pPr>
          </w:p>
        </w:tc>
      </w:tr>
      <w:tr>
        <w:trPr>
          <w:trHeight w:val="133"/>
        </w:trPr>
        <w:tc>
          <w:tcPr>
            <w:tcW w:w="100" w:type="dxa"/>
            <w:vAlign w:val="bottom"/>
            <w:shd w:val="clear" w:color="auto" w:fill="D9D9D6"/>
          </w:tcPr>
          <w:p>
            <w:pPr>
              <w:spacing w:after="0"/>
              <w:rPr>
                <w:sz w:val="11"/>
                <w:szCs w:val="11"/>
                <w:color w:val="auto"/>
              </w:rPr>
            </w:pPr>
          </w:p>
        </w:tc>
        <w:tc>
          <w:tcPr>
            <w:tcW w:w="6120" w:type="dxa"/>
            <w:vAlign w:val="bottom"/>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34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520" w:type="dxa"/>
            <w:vAlign w:val="bottom"/>
            <w:shd w:val="clear" w:color="auto" w:fill="D9D9D6"/>
          </w:tcPr>
          <w:p>
            <w:pPr>
              <w:spacing w:after="0"/>
              <w:rPr>
                <w:sz w:val="11"/>
                <w:szCs w:val="11"/>
                <w:color w:val="auto"/>
              </w:rPr>
            </w:pPr>
          </w:p>
        </w:tc>
        <w:tc>
          <w:tcPr>
            <w:tcW w:w="36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900" w:type="dxa"/>
            <w:vAlign w:val="bottom"/>
            <w:shd w:val="clear" w:color="auto" w:fill="D9D9D6"/>
          </w:tcPr>
          <w:p>
            <w:pPr>
              <w:spacing w:after="0"/>
              <w:rPr>
                <w:sz w:val="11"/>
                <w:szCs w:val="11"/>
                <w:color w:val="auto"/>
              </w:rPr>
            </w:pPr>
          </w:p>
        </w:tc>
        <w:tc>
          <w:tcPr>
            <w:tcW w:w="580" w:type="dxa"/>
            <w:vAlign w:val="bottom"/>
            <w:tcBorders>
              <w:right w:val="single" w:sz="8" w:color="D9D9D6"/>
            </w:tcBorders>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640" w:type="dxa"/>
            <w:vAlign w:val="bottom"/>
            <w:tcBorders>
              <w:right w:val="single" w:sz="8" w:color="D9D9D6"/>
            </w:tcBorders>
            <w:shd w:val="clear" w:color="auto" w:fill="D9D9D6"/>
          </w:tcPr>
          <w:p>
            <w:pPr>
              <w:spacing w:after="0"/>
              <w:rPr>
                <w:sz w:val="11"/>
                <w:szCs w:val="11"/>
                <w:color w:val="auto"/>
              </w:rPr>
            </w:pPr>
          </w:p>
        </w:tc>
        <w:tc>
          <w:tcPr>
            <w:tcW w:w="36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r>
    </w:tbl>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6.1% to $6.1 billion in the first quarter of 2020 ,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3.4% increase in operating expenses. Non-programming expenses increased 4.5% , primarily reflecting increases in technical and product support expenses and other operating costs, partially offset by a decrease in advertising, marketing and promotion costs. Technical and product support expenses increased 7.0% , primarily due to increased costs associated with our wireless phone service and additional compensation costs for certain personnel as a result of COVID-19. Other operating costs increased 7.1% , primarily due to an increase in the allowance for doubtful accounts as a result of COVID-19 and an increase in administrative expenses. Advertising, marketing and promotion costs decreased 1.9% , primarily due to a decrease in spending. Non-programming expenses per customer relationship increased 0.6%. Programming costs increased 1.7% , reflecting an increase in retransmission consent and sports programming fees, partially offset by video subscriber declines. This quarter’s Adjusted EBITDA per customer relationship increased 2.2% , and Adjusted EBITDA margin was 40.7% , compared to 40.1% in the first quarter of 2019 . Cable Communications results include a loss of $59 million from our wireless business, compared to a loss of $103 million in the prior year period.</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6" w:name="page7"/>
    <w:bookmarkEnd w:id="6"/>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decreased 6.9% to $ 1.3 billion in the first quarter of 2020 . Cable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represented 8.5% of Cable revenue in the first quarter of 2020 compared to 9.5% in last year's first quarter.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60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600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0" w:type="dxa"/>
            <w:vAlign w:val="bottom"/>
            <w:shd w:val="clear" w:color="auto" w:fill="D9D9D6"/>
          </w:tcPr>
          <w:p>
            <w:pPr>
              <w:spacing w:after="0"/>
              <w:rPr>
                <w:sz w:val="10"/>
                <w:szCs w:val="10"/>
                <w:color w:val="auto"/>
              </w:rPr>
            </w:pPr>
          </w:p>
        </w:tc>
        <w:tc>
          <w:tcPr>
            <w:tcW w:w="7900" w:type="dxa"/>
            <w:vAlign w:val="bottom"/>
            <w:vMerge w:val="restart"/>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8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360" w:type="dxa"/>
            <w:vAlign w:val="bottom"/>
            <w:shd w:val="clear" w:color="auto" w:fill="D9D9D6"/>
          </w:tcPr>
          <w:p>
            <w:pPr>
              <w:spacing w:after="0"/>
              <w:rPr>
                <w:sz w:val="10"/>
                <w:szCs w:val="10"/>
                <w:color w:val="auto"/>
              </w:rPr>
            </w:pPr>
          </w:p>
        </w:tc>
        <w:tc>
          <w:tcPr>
            <w:tcW w:w="320" w:type="dxa"/>
            <w:vAlign w:val="bottom"/>
            <w:shd w:val="clear" w:color="auto" w:fill="D9D9D6"/>
          </w:tcPr>
          <w:p>
            <w:pPr>
              <w:spacing w:after="0"/>
              <w:rPr>
                <w:sz w:val="10"/>
                <w:szCs w:val="10"/>
                <w:color w:val="auto"/>
              </w:rPr>
            </w:pPr>
          </w:p>
        </w:tc>
        <w:tc>
          <w:tcPr>
            <w:tcW w:w="100" w:type="dxa"/>
            <w:vAlign w:val="bottom"/>
            <w:tcBorders>
              <w:right w:val="single" w:sz="8" w:color="D9D9D6"/>
            </w:tcBorders>
            <w:shd w:val="clear" w:color="auto" w:fill="D9D9D6"/>
          </w:tcPr>
          <w:p>
            <w:pPr>
              <w:spacing w:after="0"/>
              <w:rPr>
                <w:sz w:val="10"/>
                <w:szCs w:val="10"/>
                <w:color w:val="auto"/>
              </w:rPr>
            </w:pPr>
          </w:p>
        </w:tc>
        <w:tc>
          <w:tcPr>
            <w:tcW w:w="440" w:type="dxa"/>
            <w:vAlign w:val="bottom"/>
            <w:shd w:val="clear" w:color="auto" w:fill="D9D9D6"/>
          </w:tcPr>
          <w:p>
            <w:pPr>
              <w:spacing w:after="0"/>
              <w:rPr>
                <w:sz w:val="10"/>
                <w:szCs w:val="10"/>
                <w:color w:val="auto"/>
              </w:rPr>
            </w:pPr>
          </w:p>
        </w:tc>
        <w:tc>
          <w:tcPr>
            <w:tcW w:w="460" w:type="dxa"/>
            <w:vAlign w:val="bottom"/>
            <w:shd w:val="clear" w:color="auto" w:fill="D9D9D6"/>
          </w:tcPr>
          <w:p>
            <w:pPr>
              <w:spacing w:after="0"/>
              <w:rPr>
                <w:sz w:val="10"/>
                <w:szCs w:val="10"/>
                <w:color w:val="auto"/>
              </w:rPr>
            </w:pPr>
          </w:p>
        </w:tc>
        <w:tc>
          <w:tcPr>
            <w:tcW w:w="220" w:type="dxa"/>
            <w:vAlign w:val="bottom"/>
            <w:shd w:val="clear" w:color="auto" w:fill="D9D9D6"/>
          </w:tcPr>
          <w:p>
            <w:pPr>
              <w:spacing w:after="0"/>
              <w:rPr>
                <w:sz w:val="10"/>
                <w:szCs w:val="10"/>
                <w:color w:val="auto"/>
              </w:rPr>
            </w:pPr>
          </w:p>
        </w:tc>
        <w:tc>
          <w:tcPr>
            <w:tcW w:w="100" w:type="dxa"/>
            <w:vAlign w:val="bottom"/>
            <w:shd w:val="clear" w:color="auto" w:fill="D9D9D6"/>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900" w:type="dxa"/>
            <w:vAlign w:val="bottom"/>
            <w:tcBorders>
              <w:bottom w:val="single" w:sz="8" w:color="D9D9D6"/>
            </w:tcBorders>
            <w:vMerge w:val="continue"/>
            <w:shd w:val="clear" w:color="auto" w:fill="D9D9D6"/>
          </w:tcPr>
          <w:p>
            <w:pPr>
              <w:spacing w:after="0"/>
              <w:rPr>
                <w:sz w:val="21"/>
                <w:szCs w:val="21"/>
                <w:color w:val="auto"/>
              </w:rPr>
            </w:pPr>
          </w:p>
        </w:tc>
        <w:tc>
          <w:tcPr>
            <w:tcW w:w="58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10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360" w:type="dxa"/>
            <w:vAlign w:val="bottom"/>
            <w:tcBorders>
              <w:bottom w:val="single" w:sz="8" w:color="D9D9D6"/>
            </w:tcBorders>
            <w:shd w:val="clear" w:color="auto" w:fill="D9D9D6"/>
          </w:tcPr>
          <w:p>
            <w:pPr>
              <w:spacing w:after="0"/>
              <w:rPr>
                <w:sz w:val="21"/>
                <w:szCs w:val="21"/>
                <w:color w:val="auto"/>
              </w:rPr>
            </w:pPr>
          </w:p>
        </w:tc>
        <w:tc>
          <w:tcPr>
            <w:tcW w:w="320" w:type="dxa"/>
            <w:vAlign w:val="bottom"/>
            <w:tcBorders>
              <w:bottom w:val="single" w:sz="8" w:color="D9D9D6"/>
            </w:tcBorders>
            <w:shd w:val="clear" w:color="auto" w:fill="D9D9D6"/>
          </w:tcPr>
          <w:p>
            <w:pPr>
              <w:spacing w:after="0"/>
              <w:rPr>
                <w:sz w:val="21"/>
                <w:szCs w:val="21"/>
                <w:color w:val="auto"/>
              </w:rPr>
            </w:pPr>
          </w:p>
        </w:tc>
        <w:tc>
          <w:tcPr>
            <w:tcW w:w="100" w:type="dxa"/>
            <w:vAlign w:val="bottom"/>
            <w:tcBorders>
              <w:bottom w:val="single" w:sz="8" w:color="D9D9D6"/>
              <w:right w:val="single" w:sz="8" w:color="D9D9D6"/>
            </w:tcBorders>
            <w:shd w:val="clear" w:color="auto" w:fill="D9D9D6"/>
          </w:tcPr>
          <w:p>
            <w:pPr>
              <w:spacing w:after="0"/>
              <w:rPr>
                <w:sz w:val="21"/>
                <w:szCs w:val="21"/>
                <w:color w:val="auto"/>
              </w:rPr>
            </w:pPr>
          </w:p>
        </w:tc>
        <w:tc>
          <w:tcPr>
            <w:tcW w:w="440" w:type="dxa"/>
            <w:vAlign w:val="bottom"/>
            <w:tcBorders>
              <w:bottom w:val="single" w:sz="8" w:color="D9D9D6"/>
            </w:tcBorders>
            <w:shd w:val="clear" w:color="auto" w:fill="D9D9D6"/>
          </w:tcPr>
          <w:p>
            <w:pPr>
              <w:spacing w:after="0"/>
              <w:rPr>
                <w:sz w:val="21"/>
                <w:szCs w:val="21"/>
                <w:color w:val="auto"/>
              </w:rPr>
            </w:pPr>
          </w:p>
        </w:tc>
        <w:tc>
          <w:tcPr>
            <w:tcW w:w="460" w:type="dxa"/>
            <w:vAlign w:val="bottom"/>
            <w:tcBorders>
              <w:bottom w:val="single" w:sz="8" w:color="D9D9D6"/>
            </w:tcBorders>
            <w:shd w:val="clear" w:color="auto" w:fill="D9D9D6"/>
          </w:tcPr>
          <w:p>
            <w:pPr>
              <w:spacing w:after="0"/>
              <w:rPr>
                <w:sz w:val="21"/>
                <w:szCs w:val="21"/>
                <w:color w:val="auto"/>
              </w:rPr>
            </w:pPr>
          </w:p>
        </w:tc>
        <w:tc>
          <w:tcPr>
            <w:tcW w:w="220" w:type="dxa"/>
            <w:vAlign w:val="bottom"/>
            <w:tcBorders>
              <w:bottom w:val="single" w:sz="8" w:color="D9D9D6"/>
            </w:tcBorders>
            <w:shd w:val="clear" w:color="auto" w:fill="D9D9D6"/>
          </w:tcPr>
          <w:p>
            <w:pPr>
              <w:spacing w:after="0"/>
              <w:rPr>
                <w:sz w:val="21"/>
                <w:szCs w:val="21"/>
                <w:color w:val="auto"/>
              </w:rPr>
            </w:pPr>
          </w:p>
        </w:tc>
        <w:tc>
          <w:tcPr>
            <w:tcW w:w="100" w:type="dxa"/>
            <w:vAlign w:val="bottom"/>
            <w:tcBorders>
              <w:bottom w:val="single" w:sz="8" w:color="D9D9D6"/>
            </w:tcBorders>
            <w:shd w:val="clear" w:color="auto" w:fill="D9D9D6"/>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580" w:type="dxa"/>
            <w:vAlign w:val="bottom"/>
            <w:tcBorders>
              <w:bottom w:val="single" w:sz="8" w:color="D9D9D6"/>
            </w:tcBorders>
            <w:shd w:val="clear" w:color="auto" w:fill="D9D9D6"/>
          </w:tcPr>
          <w:p>
            <w:pPr>
              <w:spacing w:after="0"/>
              <w:rPr>
                <w:sz w:val="19"/>
                <w:szCs w:val="19"/>
                <w:color w:val="auto"/>
              </w:rPr>
            </w:pPr>
          </w:p>
        </w:tc>
        <w:tc>
          <w:tcPr>
            <w:tcW w:w="320" w:type="dxa"/>
            <w:vAlign w:val="bottom"/>
            <w:tcBorders>
              <w:bottom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c>
          <w:tcPr>
            <w:tcW w:w="220" w:type="dxa"/>
            <w:vAlign w:val="bottom"/>
            <w:tcBorders>
              <w:bottom w:val="single" w:sz="8" w:color="D9D9D6"/>
            </w:tcBorders>
            <w:shd w:val="clear" w:color="auto" w:fill="D9D9D6"/>
          </w:tcPr>
          <w:p>
            <w:pPr>
              <w:spacing w:after="0"/>
              <w:rPr>
                <w:sz w:val="19"/>
                <w:szCs w:val="19"/>
                <w:color w:val="auto"/>
              </w:rPr>
            </w:pPr>
          </w:p>
        </w:tc>
        <w:tc>
          <w:tcPr>
            <w:tcW w:w="780" w:type="dxa"/>
            <w:vAlign w:val="bottom"/>
            <w:tcBorders>
              <w:bottom w:val="single" w:sz="8" w:color="auto"/>
              <w:right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rPr>
              <w:t>1st Quarter</w:t>
            </w:r>
          </w:p>
        </w:tc>
        <w:tc>
          <w:tcPr>
            <w:tcW w:w="440" w:type="dxa"/>
            <w:vAlign w:val="bottom"/>
            <w:tcBorders>
              <w:bottom w:val="single" w:sz="8" w:color="D9D9D6"/>
            </w:tcBorders>
            <w:shd w:val="clear" w:color="auto" w:fill="D9D9D6"/>
          </w:tcPr>
          <w:p>
            <w:pPr>
              <w:spacing w:after="0"/>
              <w:rPr>
                <w:sz w:val="19"/>
                <w:szCs w:val="19"/>
                <w:color w:val="auto"/>
              </w:rPr>
            </w:pPr>
          </w:p>
        </w:tc>
        <w:tc>
          <w:tcPr>
            <w:tcW w:w="460" w:type="dxa"/>
            <w:vAlign w:val="bottom"/>
            <w:tcBorders>
              <w:bottom w:val="single" w:sz="8" w:color="D9D9D6"/>
            </w:tcBorders>
            <w:shd w:val="clear" w:color="auto" w:fill="D9D9D6"/>
          </w:tcPr>
          <w:p>
            <w:pPr>
              <w:spacing w:after="0"/>
              <w:rPr>
                <w:sz w:val="19"/>
                <w:szCs w:val="19"/>
                <w:color w:val="auto"/>
              </w:rPr>
            </w:pPr>
          </w:p>
        </w:tc>
        <w:tc>
          <w:tcPr>
            <w:tcW w:w="220" w:type="dxa"/>
            <w:vAlign w:val="bottom"/>
            <w:tcBorders>
              <w:bottom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00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2020</w:t>
            </w: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2019</w:t>
            </w:r>
          </w:p>
        </w:tc>
        <w:tc>
          <w:tcPr>
            <w:tcW w:w="440" w:type="dxa"/>
            <w:vAlign w:val="bottom"/>
            <w:shd w:val="clear" w:color="auto" w:fill="D9D9D6"/>
          </w:tcPr>
          <w:p>
            <w:pPr>
              <w:spacing w:after="0"/>
              <w:rPr>
                <w:sz w:val="21"/>
                <w:szCs w:val="21"/>
                <w:color w:val="auto"/>
              </w:rPr>
            </w:pPr>
          </w:p>
        </w:tc>
        <w:tc>
          <w:tcPr>
            <w:tcW w:w="780" w:type="dxa"/>
            <w:vAlign w:val="bottom"/>
            <w:gridSpan w:val="3"/>
            <w:shd w:val="clear" w:color="auto" w:fill="D9D9D6"/>
          </w:tcPr>
          <w:p>
            <w:pPr>
              <w:jc w:val="right"/>
              <w:ind w:right="320"/>
              <w:spacing w:after="0"/>
              <w:rPr>
                <w:sz w:val="20"/>
                <w:szCs w:val="20"/>
                <w:color w:val="auto"/>
              </w:rPr>
            </w:pPr>
            <w:r>
              <w:rPr>
                <w:rFonts w:ascii="Arial" w:cs="Arial" w:eastAsia="Arial" w:hAnsi="Arial"/>
                <w:sz w:val="14"/>
                <w:szCs w:val="14"/>
                <w:color w:val="auto"/>
                <w:w w:val="97"/>
              </w:rPr>
              <w:t>Growth</w:t>
            </w:r>
          </w:p>
        </w:tc>
        <w:tc>
          <w:tcPr>
            <w:tcW w:w="0" w:type="dxa"/>
            <w:vAlign w:val="bottom"/>
          </w:tcPr>
          <w:p>
            <w:pPr>
              <w:spacing w:after="0"/>
              <w:rPr>
                <w:sz w:val="1"/>
                <w:szCs w:val="1"/>
                <w:color w:val="auto"/>
              </w:rPr>
            </w:pPr>
          </w:p>
        </w:tc>
      </w:tr>
      <w:tr>
        <w:trPr>
          <w:trHeight w:val="278"/>
        </w:trPr>
        <w:tc>
          <w:tcPr>
            <w:tcW w:w="120" w:type="dxa"/>
            <w:vAlign w:val="bottom"/>
          </w:tcPr>
          <w:p>
            <w:pPr>
              <w:spacing w:after="0"/>
              <w:rPr>
                <w:sz w:val="24"/>
                <w:szCs w:val="24"/>
                <w:color w:val="auto"/>
              </w:rPr>
            </w:pPr>
          </w:p>
        </w:tc>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5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00" w:type="dxa"/>
            <w:vAlign w:val="bottom"/>
            <w:tcBorders>
              <w:top w:val="single" w:sz="8" w:color="D9D9D6"/>
              <w:right w:val="single" w:sz="8" w:color="D9D9D6"/>
            </w:tcBorders>
            <w:shd w:val="clear" w:color="auto" w:fill="D9D9D6"/>
          </w:tcPr>
          <w:p>
            <w:pPr>
              <w:spacing w:after="0"/>
              <w:rPr>
                <w:sz w:val="24"/>
                <w:szCs w:val="24"/>
                <w:color w:val="auto"/>
              </w:rPr>
            </w:pPr>
          </w:p>
        </w:tc>
        <w:tc>
          <w:tcPr>
            <w:tcW w:w="440" w:type="dxa"/>
            <w:vAlign w:val="bottom"/>
            <w:tcBorders>
              <w:top w:val="single" w:sz="8" w:color="D9D9D6"/>
            </w:tcBorders>
            <w:shd w:val="clear" w:color="auto" w:fill="D9D9D6"/>
          </w:tcPr>
          <w:p>
            <w:pPr>
              <w:spacing w:after="0"/>
              <w:rPr>
                <w:sz w:val="24"/>
                <w:szCs w:val="24"/>
                <w:color w:val="auto"/>
              </w:rPr>
            </w:pPr>
          </w:p>
        </w:tc>
        <w:tc>
          <w:tcPr>
            <w:tcW w:w="46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Cable Networks</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$2,859</w:t>
            </w:r>
          </w:p>
        </w:tc>
        <w:tc>
          <w:tcPr>
            <w:tcW w:w="100" w:type="dxa"/>
            <w:vAlign w:val="bottom"/>
            <w:shd w:val="clear" w:color="auto" w:fill="D9D9D6"/>
          </w:tcPr>
          <w:p>
            <w:pPr>
              <w:spacing w:after="0"/>
              <w:rPr>
                <w:sz w:val="23"/>
                <w:szCs w:val="23"/>
                <w:color w:val="auto"/>
              </w:rPr>
            </w:pP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$2,868</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Broadcast Television</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2,684</w:t>
            </w:r>
          </w:p>
        </w:tc>
        <w:tc>
          <w:tcPr>
            <w:tcW w:w="100" w:type="dxa"/>
            <w:vAlign w:val="bottom"/>
            <w:shd w:val="clear" w:color="auto" w:fill="D9D9D6"/>
          </w:tcPr>
          <w:p>
            <w:pPr>
              <w:spacing w:after="0"/>
              <w:rPr>
                <w:sz w:val="23"/>
                <w:szCs w:val="23"/>
                <w:color w:val="auto"/>
              </w:rPr>
            </w:pP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2,467</w:t>
            </w:r>
          </w:p>
        </w:tc>
        <w:tc>
          <w:tcPr>
            <w:tcW w:w="11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8.8%</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Filmed Entertainment</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1,370</w:t>
            </w:r>
          </w:p>
        </w:tc>
        <w:tc>
          <w:tcPr>
            <w:tcW w:w="100" w:type="dxa"/>
            <w:vAlign w:val="bottom"/>
            <w:shd w:val="clear" w:color="auto" w:fill="D9D9D6"/>
          </w:tcPr>
          <w:p>
            <w:pPr>
              <w:spacing w:after="0"/>
              <w:rPr>
                <w:sz w:val="23"/>
                <w:szCs w:val="23"/>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1,768</w:t>
            </w:r>
          </w:p>
        </w:tc>
        <w:tc>
          <w:tcPr>
            <w:tcW w:w="100" w:type="dxa"/>
            <w:vAlign w:val="bottom"/>
            <w:tcBorders>
              <w:right w:val="single" w:sz="8" w:color="D9D9D6"/>
            </w:tcBorders>
            <w:shd w:val="clear" w:color="auto" w:fill="D9D9D6"/>
          </w:tcPr>
          <w:p>
            <w:pPr>
              <w:spacing w:after="0"/>
              <w:rPr>
                <w:sz w:val="23"/>
                <w:szCs w:val="23"/>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Theme Parks</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869</w:t>
            </w:r>
          </w:p>
        </w:tc>
        <w:tc>
          <w:tcPr>
            <w:tcW w:w="100" w:type="dxa"/>
            <w:vAlign w:val="bottom"/>
            <w:shd w:val="clear" w:color="auto" w:fill="D9D9D6"/>
          </w:tcPr>
          <w:p>
            <w:pPr>
              <w:spacing w:after="0"/>
              <w:rPr>
                <w:sz w:val="23"/>
                <w:szCs w:val="23"/>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1,276</w:t>
            </w:r>
          </w:p>
        </w:tc>
        <w:tc>
          <w:tcPr>
            <w:tcW w:w="100" w:type="dxa"/>
            <w:vAlign w:val="bottom"/>
            <w:tcBorders>
              <w:right w:val="single" w:sz="8" w:color="D9D9D6"/>
            </w:tcBorders>
            <w:shd w:val="clear" w:color="auto" w:fill="D9D9D6"/>
          </w:tcPr>
          <w:p>
            <w:pPr>
              <w:spacing w:after="0"/>
              <w:rPr>
                <w:sz w:val="23"/>
                <w:szCs w:val="23"/>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Headquarters, other and eliminations</w:t>
            </w: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auto"/>
            </w:tcBorders>
            <w:shd w:val="clear" w:color="auto" w:fill="D9D9D6"/>
          </w:tcPr>
          <w:p>
            <w:pPr>
              <w:spacing w:after="0"/>
              <w:rPr>
                <w:sz w:val="24"/>
                <w:szCs w:val="24"/>
                <w:color w:val="auto"/>
              </w:rPr>
            </w:pPr>
          </w:p>
        </w:tc>
        <w:tc>
          <w:tcPr>
            <w:tcW w:w="9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auto"/>
              <w:right w:val="single" w:sz="8" w:color="D9D9D6"/>
            </w:tcBorders>
            <w:shd w:val="clear" w:color="auto" w:fill="D9D9D6"/>
          </w:tcPr>
          <w:p>
            <w:pPr>
              <w:spacing w:after="0"/>
              <w:rPr>
                <w:sz w:val="24"/>
                <w:szCs w:val="24"/>
                <w:color w:val="auto"/>
              </w:rPr>
            </w:pPr>
          </w:p>
        </w:tc>
        <w:tc>
          <w:tcPr>
            <w:tcW w:w="440" w:type="dxa"/>
            <w:vAlign w:val="bottom"/>
            <w:tcBorders>
              <w:bottom w:val="single" w:sz="8" w:color="auto"/>
            </w:tcBorders>
            <w:shd w:val="clear" w:color="auto" w:fill="D9D9D6"/>
          </w:tcPr>
          <w:p>
            <w:pPr>
              <w:spacing w:after="0"/>
              <w:rPr>
                <w:sz w:val="24"/>
                <w:szCs w:val="24"/>
                <w:color w:val="auto"/>
              </w:rPr>
            </w:pPr>
          </w:p>
        </w:tc>
        <w:tc>
          <w:tcPr>
            <w:tcW w:w="4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NM</w:t>
            </w:r>
          </w:p>
        </w:tc>
        <w:tc>
          <w:tcPr>
            <w:tcW w:w="220" w:type="dxa"/>
            <w:vAlign w:val="bottom"/>
            <w:tcBorders>
              <w:bottom w:val="single" w:sz="8" w:color="auto"/>
            </w:tcBorders>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$7,734</w:t>
            </w:r>
          </w:p>
        </w:tc>
        <w:tc>
          <w:tcPr>
            <w:tcW w:w="100" w:type="dxa"/>
            <w:vAlign w:val="bottom"/>
            <w:shd w:val="clear" w:color="auto" w:fill="D9D9D6"/>
          </w:tcPr>
          <w:p>
            <w:pPr>
              <w:spacing w:after="0"/>
              <w:rPr>
                <w:sz w:val="22"/>
                <w:szCs w:val="22"/>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$8,313</w:t>
            </w:r>
          </w:p>
        </w:tc>
        <w:tc>
          <w:tcPr>
            <w:tcW w:w="100" w:type="dxa"/>
            <w:vAlign w:val="bottom"/>
            <w:tcBorders>
              <w:right w:val="single" w:sz="8" w:color="D9D9D6"/>
            </w:tcBorders>
            <w:shd w:val="clear" w:color="auto" w:fill="D9D9D6"/>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00" w:type="dxa"/>
            <w:vAlign w:val="bottom"/>
            <w:tcBorders>
              <w:right w:val="single" w:sz="8" w:color="D9D9D6"/>
            </w:tcBorders>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Cable Networks</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$1,248</w:t>
            </w:r>
          </w:p>
        </w:tc>
        <w:tc>
          <w:tcPr>
            <w:tcW w:w="100" w:type="dxa"/>
            <w:vAlign w:val="bottom"/>
            <w:shd w:val="clear" w:color="auto" w:fill="D9D9D6"/>
          </w:tcPr>
          <w:p>
            <w:pPr>
              <w:spacing w:after="0"/>
              <w:rPr>
                <w:sz w:val="23"/>
                <w:szCs w:val="23"/>
                <w:color w:val="auto"/>
              </w:rPr>
            </w:pP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$1,262</w:t>
            </w: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Broadcast Television</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D9D9D6"/>
          </w:tcPr>
          <w:p>
            <w:pPr>
              <w:spacing w:after="0"/>
              <w:rPr>
                <w:sz w:val="23"/>
                <w:szCs w:val="23"/>
                <w:color w:val="auto"/>
              </w:rPr>
            </w:pPr>
          </w:p>
        </w:tc>
        <w:tc>
          <w:tcPr>
            <w:tcW w:w="1000" w:type="dxa"/>
            <w:vAlign w:val="bottom"/>
            <w:tcBorders>
              <w:right w:val="single" w:sz="8" w:color="D9D9D6"/>
            </w:tcBorders>
            <w:gridSpan w:val="4"/>
            <w:shd w:val="clear" w:color="auto" w:fill="D9D9D6"/>
          </w:tcPr>
          <w:p>
            <w:pPr>
              <w:jc w:val="right"/>
              <w:ind w:right="100"/>
              <w:spacing w:after="0"/>
              <w:rPr>
                <w:sz w:val="20"/>
                <w:szCs w:val="20"/>
                <w:color w:val="auto"/>
              </w:rPr>
            </w:pPr>
            <w:r>
              <w:rPr>
                <w:rFonts w:ascii="Arial" w:cs="Arial" w:eastAsia="Arial" w:hAnsi="Arial"/>
                <w:sz w:val="14"/>
                <w:szCs w:val="14"/>
                <w:color w:val="auto"/>
              </w:rPr>
              <w:t>387</w:t>
            </w:r>
          </w:p>
        </w:tc>
        <w:tc>
          <w:tcPr>
            <w:tcW w:w="1120" w:type="dxa"/>
            <w:vAlign w:val="bottom"/>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Filmed Entertainment</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D9D9D6"/>
          </w:tcPr>
          <w:p>
            <w:pPr>
              <w:spacing w:after="0"/>
              <w:rPr>
                <w:sz w:val="23"/>
                <w:szCs w:val="23"/>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right w:val="single" w:sz="8" w:color="D9D9D6"/>
            </w:tcBorders>
            <w:shd w:val="clear" w:color="auto" w:fill="D9D9D6"/>
          </w:tcPr>
          <w:p>
            <w:pPr>
              <w:spacing w:after="0"/>
              <w:rPr>
                <w:sz w:val="23"/>
                <w:szCs w:val="23"/>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Theme Parks</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D9D9D6"/>
          </w:tcPr>
          <w:p>
            <w:pPr>
              <w:spacing w:after="0"/>
              <w:rPr>
                <w:sz w:val="23"/>
                <w:szCs w:val="23"/>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Borders>
              <w:right w:val="single" w:sz="8" w:color="D9D9D6"/>
            </w:tcBorders>
            <w:shd w:val="clear" w:color="auto" w:fill="D9D9D6"/>
          </w:tcPr>
          <w:p>
            <w:pPr>
              <w:spacing w:after="0"/>
              <w:rPr>
                <w:sz w:val="23"/>
                <w:szCs w:val="23"/>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3"/>
                <w:szCs w:val="23"/>
                <w:color w:val="auto"/>
              </w:rPr>
            </w:pPr>
          </w:p>
        </w:tc>
        <w:tc>
          <w:tcPr>
            <w:tcW w:w="7900" w:type="dxa"/>
            <w:vAlign w:val="bottom"/>
          </w:tcPr>
          <w:p>
            <w:pPr>
              <w:ind w:left="160"/>
              <w:spacing w:after="0"/>
              <w:rPr>
                <w:sz w:val="20"/>
                <w:szCs w:val="20"/>
                <w:color w:val="auto"/>
              </w:rPr>
            </w:pPr>
            <w:r>
              <w:rPr>
                <w:rFonts w:ascii="Arial" w:cs="Arial" w:eastAsia="Arial" w:hAnsi="Arial"/>
                <w:sz w:val="14"/>
                <w:szCs w:val="14"/>
                <w:color w:val="auto"/>
              </w:rPr>
              <w:t>Headquarters, other and eliminations</w:t>
            </w: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auto"/>
            </w:tcBorders>
            <w:shd w:val="clear" w:color="auto" w:fill="D9D9D6"/>
          </w:tcPr>
          <w:p>
            <w:pPr>
              <w:spacing w:after="0"/>
              <w:rPr>
                <w:sz w:val="23"/>
                <w:szCs w:val="23"/>
                <w:color w:val="auto"/>
              </w:rPr>
            </w:pPr>
          </w:p>
        </w:tc>
        <w:tc>
          <w:tcPr>
            <w:tcW w:w="9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auto"/>
              <w:right w:val="single" w:sz="8" w:color="D9D9D6"/>
            </w:tcBorders>
            <w:shd w:val="clear" w:color="auto" w:fill="D9D9D6"/>
          </w:tcPr>
          <w:p>
            <w:pPr>
              <w:spacing w:after="0"/>
              <w:rPr>
                <w:sz w:val="23"/>
                <w:szCs w:val="23"/>
                <w:color w:val="auto"/>
              </w:rPr>
            </w:pPr>
          </w:p>
        </w:tc>
        <w:tc>
          <w:tcPr>
            <w:tcW w:w="440" w:type="dxa"/>
            <w:vAlign w:val="bottom"/>
            <w:tcBorders>
              <w:bottom w:val="single" w:sz="8" w:color="auto"/>
            </w:tcBorders>
            <w:shd w:val="clear" w:color="auto" w:fill="D9D9D6"/>
          </w:tcPr>
          <w:p>
            <w:pPr>
              <w:spacing w:after="0"/>
              <w:rPr>
                <w:sz w:val="23"/>
                <w:szCs w:val="23"/>
                <w:color w:val="auto"/>
              </w:rPr>
            </w:pPr>
          </w:p>
        </w:tc>
        <w:tc>
          <w:tcPr>
            <w:tcW w:w="4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NM</w:t>
            </w:r>
          </w:p>
        </w:tc>
        <w:tc>
          <w:tcPr>
            <w:tcW w:w="220" w:type="dxa"/>
            <w:vAlign w:val="bottom"/>
            <w:tcBorders>
              <w:bottom w:val="single" w:sz="8" w:color="auto"/>
            </w:tcBorders>
            <w:shd w:val="clear" w:color="auto" w:fill="D9D9D6"/>
          </w:tcPr>
          <w:p>
            <w:pPr>
              <w:spacing w:after="0"/>
              <w:rPr>
                <w:sz w:val="23"/>
                <w:szCs w:val="23"/>
                <w:color w:val="auto"/>
              </w:rPr>
            </w:pPr>
          </w:p>
        </w:tc>
        <w:tc>
          <w:tcPr>
            <w:tcW w:w="100" w:type="dxa"/>
            <w:vAlign w:val="bottom"/>
            <w:tcBorders>
              <w:bottom w:val="single" w:sz="8" w:color="D9D9D6"/>
            </w:tcBorders>
            <w:shd w:val="clear" w:color="auto" w:fill="D9D9D6"/>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90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b w:val="1"/>
                <w:bCs w:val="1"/>
                <w:color w:val="auto"/>
              </w:rPr>
              <w:t>$1,747</w:t>
            </w:r>
          </w:p>
        </w:tc>
        <w:tc>
          <w:tcPr>
            <w:tcW w:w="100" w:type="dxa"/>
            <w:vAlign w:val="bottom"/>
            <w:shd w:val="clear" w:color="auto" w:fill="D9D9D6"/>
          </w:tcPr>
          <w:p>
            <w:pPr>
              <w:spacing w:after="0"/>
              <w:rPr>
                <w:sz w:val="17"/>
                <w:szCs w:val="17"/>
                <w:color w:val="auto"/>
              </w:rPr>
            </w:pPr>
          </w:p>
        </w:tc>
        <w:tc>
          <w:tcPr>
            <w:tcW w:w="900" w:type="dxa"/>
            <w:vAlign w:val="bottom"/>
            <w:gridSpan w:val="3"/>
            <w:vMerge w:val="restart"/>
            <w:shd w:val="clear" w:color="auto" w:fill="D9D9D6"/>
          </w:tcPr>
          <w:p>
            <w:pPr>
              <w:jc w:val="right"/>
              <w:spacing w:after="0"/>
              <w:rPr>
                <w:sz w:val="20"/>
                <w:szCs w:val="20"/>
                <w:color w:val="auto"/>
              </w:rPr>
            </w:pPr>
            <w:r>
              <w:rPr>
                <w:rFonts w:ascii="Arial" w:cs="Arial" w:eastAsia="Arial" w:hAnsi="Arial"/>
                <w:sz w:val="14"/>
                <w:szCs w:val="14"/>
                <w:b w:val="1"/>
                <w:bCs w:val="1"/>
                <w:color w:val="auto"/>
              </w:rPr>
              <w:t>$2,337</w:t>
            </w:r>
          </w:p>
        </w:tc>
        <w:tc>
          <w:tcPr>
            <w:tcW w:w="100" w:type="dxa"/>
            <w:vAlign w:val="bottom"/>
            <w:tcBorders>
              <w:right w:val="single" w:sz="8" w:color="D9D9D6"/>
            </w:tcBorders>
            <w:shd w:val="clear" w:color="auto" w:fill="D9D9D6"/>
          </w:tcPr>
          <w:p>
            <w:pPr>
              <w:spacing w:after="0"/>
              <w:rPr>
                <w:sz w:val="17"/>
                <w:szCs w:val="17"/>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20" w:type="dxa"/>
            <w:vAlign w:val="bottom"/>
          </w:tcPr>
          <w:p>
            <w:pPr>
              <w:spacing w:after="0"/>
              <w:rPr>
                <w:sz w:val="5"/>
                <w:szCs w:val="5"/>
                <w:color w:val="auto"/>
              </w:rPr>
            </w:pPr>
          </w:p>
        </w:tc>
        <w:tc>
          <w:tcPr>
            <w:tcW w:w="7900" w:type="dxa"/>
            <w:vAlign w:val="bottom"/>
          </w:tcPr>
          <w:p>
            <w:pPr>
              <w:spacing w:after="0"/>
              <w:rPr>
                <w:sz w:val="5"/>
                <w:szCs w:val="5"/>
                <w:color w:val="auto"/>
              </w:rPr>
            </w:pPr>
          </w:p>
        </w:tc>
        <w:tc>
          <w:tcPr>
            <w:tcW w:w="900" w:type="dxa"/>
            <w:vAlign w:val="bottom"/>
            <w:gridSpan w:val="2"/>
            <w:vMerge w:val="continue"/>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900" w:type="dxa"/>
            <w:vAlign w:val="bottom"/>
            <w:gridSpan w:val="3"/>
            <w:vMerge w:val="continue"/>
            <w:shd w:val="clear" w:color="auto" w:fill="D9D9D6"/>
          </w:tcPr>
          <w:p>
            <w:pPr>
              <w:spacing w:after="0"/>
              <w:rPr>
                <w:sz w:val="5"/>
                <w:szCs w:val="5"/>
                <w:color w:val="auto"/>
              </w:rPr>
            </w:pPr>
          </w:p>
        </w:tc>
        <w:tc>
          <w:tcPr>
            <w:tcW w:w="100" w:type="dxa"/>
            <w:vAlign w:val="bottom"/>
            <w:tcBorders>
              <w:right w:val="single" w:sz="8" w:color="D9D9D6"/>
            </w:tcBorders>
            <w:shd w:val="clear" w:color="auto" w:fill="D9D9D6"/>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-3102610</wp:posOffset>
            </wp:positionV>
            <wp:extent cx="7063740" cy="3351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3351530"/>
                    </a:xfrm>
                    <a:prstGeom prst="rect">
                      <a:avLst/>
                    </a:prstGeom>
                    <a:noFill/>
                  </pic:spPr>
                </pic:pic>
              </a:graphicData>
            </a:graphic>
          </wp:anchor>
        </w:drawing>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7.0% to $7.7 billion in the first quarter of 2020.</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25.3% to $1.7 billion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Cable Networks revenue of $2.9 billion was consistent with the prior year period, reflecting decreases in distribution revenue and advertising revenue, offset by an increase in content licensing and other revenue. Distribution revenue decreased 1.5% , reflecting a decline in subscribers, partially offset by contractual rate increases and the timing of contract renewals. Advertising revenue decreased 2.2% , reflecting audience ratings declines and reduced advertiser spending resulting from the postponement of sports events due to COVID-19, partially offset by higher pricing. Content licensing and other revenue increased 13.0% due to the timing of content provided under licensing agreements. Adjusted EBITDA decreased 1.2% to $1.2 billion in the first quarter of 2020 , reflecting flat revenue, and flat operating expenses, as higher other operating and administrative costs were offset by lower programming and production costs. The decline in programming and production costs was primarily due to decreases in the recognition of sports programming costs as a result of the postponement of sports events due to COVID-19.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Broadcast Television revenue increased 8.8% to $2.7 billion in the first quarter of 2020 , reflecting increases in content licensing revenue and distribution and other revenue. Content licensing revenue increased 31.3% due to the timing of content provided under licensing agreements. Distribution and other revenue increased 6.9% , due to higher retransmission consent fees. Advertising revenue was consistent with the prior year period, reflecting higher pricing and local political advertising, offset by audience ratings declines and reduced advertiser spending due to COVID-19. Adjusted EBITDA increased 29.6% to $501 million in the first quarter of 2020 , reflecting higher revenue, partially offset by an increase in operating costs and expenses. The increase in operating costs and expenses was primarily due to an increase in programming and production costs, which was partially offset by the favorable impact of adopting updated accounting guidance.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Filmed Entertainment revenue decreased 22.5% to $ 1.4 billion in the first quarter of 2020 , reflecting decreases in theatrical revenue, content licensing revenue, home entertainment revenue and other revenue. Theatrical revenue decreased 28.8% , reflecting a difficult comparison to the success of films in the first quarter of 2019, including </w:t>
      </w:r>
      <w:r>
        <w:rPr>
          <w:rFonts w:ascii="Arial" w:cs="Arial" w:eastAsia="Arial" w:hAnsi="Arial"/>
          <w:sz w:val="18"/>
          <w:szCs w:val="18"/>
          <w:i w:val="1"/>
          <w:iCs w:val="1"/>
          <w:color w:val="auto"/>
        </w:rPr>
        <w:t>How to Train Your Dragon: The Hidden World, Us</w:t>
      </w:r>
      <w:r>
        <w:rPr>
          <w:rFonts w:ascii="Arial" w:cs="Arial" w:eastAsia="Arial" w:hAnsi="Arial"/>
          <w:sz w:val="18"/>
          <w:szCs w:val="18"/>
          <w:color w:val="auto"/>
        </w:rPr>
        <w:t xml:space="preserve"> and </w:t>
      </w:r>
      <w:r>
        <w:rPr>
          <w:rFonts w:ascii="Arial" w:cs="Arial" w:eastAsia="Arial" w:hAnsi="Arial"/>
          <w:sz w:val="18"/>
          <w:szCs w:val="18"/>
          <w:i w:val="1"/>
          <w:iCs w:val="1"/>
          <w:color w:val="auto"/>
        </w:rPr>
        <w:t>Glass</w:t>
      </w:r>
      <w:r>
        <w:rPr>
          <w:rFonts w:ascii="Arial" w:cs="Arial" w:eastAsia="Arial" w:hAnsi="Arial"/>
          <w:sz w:val="18"/>
          <w:szCs w:val="18"/>
          <w:color w:val="auto"/>
        </w:rPr>
        <w:t xml:space="preserve"> , partially offset by the performance of films in this year's first quarter, including </w:t>
      </w:r>
      <w:r>
        <w:rPr>
          <w:rFonts w:ascii="Arial" w:cs="Arial" w:eastAsia="Arial" w:hAnsi="Arial"/>
          <w:sz w:val="18"/>
          <w:szCs w:val="18"/>
          <w:i w:val="1"/>
          <w:iCs w:val="1"/>
          <w:color w:val="auto"/>
        </w:rPr>
        <w:t>1917, Dolittle</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Invisible Man.</w:t>
      </w:r>
      <w:r>
        <w:rPr>
          <w:rFonts w:ascii="Arial" w:cs="Arial" w:eastAsia="Arial" w:hAnsi="Arial"/>
          <w:sz w:val="18"/>
          <w:szCs w:val="18"/>
          <w:color w:val="auto"/>
        </w:rPr>
        <w:t xml:space="preserve"> Content licensing revenue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spacing w:after="0" w:line="252" w:lineRule="auto"/>
        <w:rPr>
          <w:sz w:val="20"/>
          <w:szCs w:val="20"/>
          <w:color w:val="auto"/>
        </w:rPr>
      </w:pPr>
      <w:r>
        <w:rPr>
          <w:rFonts w:ascii="Arial" w:cs="Arial" w:eastAsia="Arial" w:hAnsi="Arial"/>
          <w:sz w:val="18"/>
          <w:szCs w:val="18"/>
          <w:color w:val="auto"/>
        </w:rPr>
        <w:t xml:space="preserve">decreased 15.4% , driven by the timing of when content was made available under licensing agreements, partially offset by the performance of certain 2020 releases that were made available on premium video on demand after theater closures due to COVID-19, including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Invisible Man </w:t>
      </w:r>
      <w:r>
        <w:rPr>
          <w:rFonts w:ascii="Arial" w:cs="Arial" w:eastAsia="Arial" w:hAnsi="Arial"/>
          <w:sz w:val="18"/>
          <w:szCs w:val="18"/>
          <w:color w:val="auto"/>
        </w:rPr>
        <w:t>,</w:t>
      </w:r>
      <w:r>
        <w:rPr>
          <w:rFonts w:ascii="Arial" w:cs="Arial" w:eastAsia="Arial" w:hAnsi="Arial"/>
          <w:sz w:val="18"/>
          <w:szCs w:val="18"/>
          <w:i w:val="1"/>
          <w:iCs w:val="1"/>
          <w:color w:val="auto"/>
        </w:rPr>
        <w:t xml:space="preserve"> Emma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Hunt </w:t>
      </w:r>
      <w:r>
        <w:rPr>
          <w:rFonts w:ascii="Arial" w:cs="Arial" w:eastAsia="Arial" w:hAnsi="Arial"/>
          <w:sz w:val="18"/>
          <w:szCs w:val="18"/>
          <w:color w:val="auto"/>
        </w:rPr>
        <w:t>. Home entertainment revenue decreased 35.8% , reflecting the success of</w:t>
      </w:r>
      <w:r>
        <w:rPr>
          <w:rFonts w:ascii="Arial" w:cs="Arial" w:eastAsia="Arial" w:hAnsi="Arial"/>
          <w:sz w:val="18"/>
          <w:szCs w:val="18"/>
          <w:i w:val="1"/>
          <w:iCs w:val="1"/>
          <w:color w:val="auto"/>
        </w:rPr>
        <w:t xml:space="preserve"> Dr. Seuss' The Grinch, Halloween </w:t>
      </w:r>
      <w:r>
        <w:rPr>
          <w:rFonts w:ascii="Arial" w:cs="Arial" w:eastAsia="Arial" w:hAnsi="Arial"/>
          <w:sz w:val="18"/>
          <w:szCs w:val="18"/>
          <w:color w:val="auto"/>
        </w:rPr>
        <w:t>and</w:t>
      </w:r>
      <w:r>
        <w:rPr>
          <w:rFonts w:ascii="Arial" w:cs="Arial" w:eastAsia="Arial" w:hAnsi="Arial"/>
          <w:sz w:val="18"/>
          <w:szCs w:val="18"/>
          <w:i w:val="1"/>
          <w:iCs w:val="1"/>
          <w:color w:val="auto"/>
        </w:rPr>
        <w:t xml:space="preserve"> Night School </w:t>
      </w:r>
      <w:r>
        <w:rPr>
          <w:rFonts w:ascii="Arial" w:cs="Arial" w:eastAsia="Arial" w:hAnsi="Arial"/>
          <w:sz w:val="18"/>
          <w:szCs w:val="18"/>
          <w:color w:val="auto"/>
        </w:rPr>
        <w:t>in last year's first quarter, partially offset by the performance of</w:t>
      </w:r>
      <w:r>
        <w:rPr>
          <w:rFonts w:ascii="Arial" w:cs="Arial" w:eastAsia="Arial" w:hAnsi="Arial"/>
          <w:sz w:val="18"/>
          <w:szCs w:val="18"/>
          <w:i w:val="1"/>
          <w:iCs w:val="1"/>
          <w:color w:val="auto"/>
        </w:rPr>
        <w:t xml:space="preserve"> 1917, Downton Abbey </w:t>
      </w:r>
      <w:r>
        <w:rPr>
          <w:rFonts w:ascii="Arial" w:cs="Arial" w:eastAsia="Arial" w:hAnsi="Arial"/>
          <w:sz w:val="18"/>
          <w:szCs w:val="18"/>
          <w:color w:val="auto"/>
        </w:rPr>
        <w:t>and</w:t>
      </w:r>
      <w:r>
        <w:rPr>
          <w:rFonts w:ascii="Arial" w:cs="Arial" w:eastAsia="Arial" w:hAnsi="Arial"/>
          <w:sz w:val="18"/>
          <w:szCs w:val="18"/>
          <w:i w:val="1"/>
          <w:iCs w:val="1"/>
          <w:color w:val="auto"/>
        </w:rPr>
        <w:t xml:space="preserve"> Fast &amp; Furious Presents: Hobbs &amp; Shaw </w:t>
      </w:r>
      <w:r>
        <w:rPr>
          <w:rFonts w:ascii="Arial" w:cs="Arial" w:eastAsia="Arial" w:hAnsi="Arial"/>
          <w:sz w:val="18"/>
          <w:szCs w:val="18"/>
          <w:color w:val="auto"/>
        </w:rPr>
        <w:t>in this year's first quarter. Other revenue decreased 20.3% , primarily due to decreases in revenue from our live</w:t>
      </w:r>
      <w:r>
        <w:rPr>
          <w:rFonts w:ascii="Arial" w:cs="Arial" w:eastAsia="Arial" w:hAnsi="Arial"/>
          <w:sz w:val="18"/>
          <w:szCs w:val="18"/>
          <w:i w:val="1"/>
          <w:iCs w:val="1"/>
          <w:color w:val="auto"/>
        </w:rPr>
        <w:t xml:space="preserve"> </w:t>
      </w:r>
      <w:r>
        <w:rPr>
          <w:rFonts w:ascii="Arial" w:cs="Arial" w:eastAsia="Arial" w:hAnsi="Arial"/>
          <w:sz w:val="18"/>
          <w:szCs w:val="18"/>
          <w:color w:val="auto"/>
        </w:rPr>
        <w:t>stage play and movie ticketing and entertainment businesses, which were impacted by theater and entertainment venue closures as a result of COVID-19. Adjusted EBITDA decreased 70.9% to $106 million in the first quarter of 2020 , reflecting lower revenue, partially offset by lower programming and production costs, as well as lower advertising, marketing and promotion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Theme Parks revenue decreased 31.9% to $869 million in the first quarter of 2020 , primarily due to the closures of Universal Studios Japan in late February and Universal Orlando Resort and Universal Studios Hollywood in mid-March as a result of COVID-19. Adjusted EBITDA decreased 84.7% to $76 million in the first quarter of 2020 , reflecting lower revenue and higher operating costs. The increase in operating costs was primarily due to increases in employee-related costs and pre-opening costs associated with the Universal Beijing Resort and </w:t>
      </w:r>
      <w:r>
        <w:rPr>
          <w:rFonts w:ascii="Arial" w:cs="Arial" w:eastAsia="Arial" w:hAnsi="Arial"/>
          <w:sz w:val="18"/>
          <w:szCs w:val="18"/>
          <w:i w:val="1"/>
          <w:iCs w:val="1"/>
          <w:color w:val="auto"/>
        </w:rPr>
        <w:t xml:space="preserve">Super Nintendo World </w:t>
      </w:r>
      <w:r>
        <w:rPr>
          <w:rFonts w:ascii="Arial" w:cs="Arial" w:eastAsia="Arial" w:hAnsi="Arial"/>
          <w:sz w:val="14"/>
          <w:szCs w:val="14"/>
          <w:i w:val="1"/>
          <w:iCs w:val="1"/>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in Universal Studios Japan, partially offset by lower park operation costs due to the park 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March 31, 2020 , NBCUniversal Headquarters, Other and Eliminations Adjusted EBITDA loss was $184 million , compared to a loss of $174 million in the first quarter of 2019 .</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369"/>
        </w:trPr>
        <w:tc>
          <w:tcPr>
            <w:tcW w:w="200" w:type="dxa"/>
            <w:vAlign w:val="bottom"/>
            <w:shd w:val="clear" w:color="auto" w:fill="D9D9D6"/>
          </w:tcPr>
          <w:p>
            <w:pPr>
              <w:spacing w:after="0"/>
              <w:rPr>
                <w:sz w:val="24"/>
                <w:szCs w:val="24"/>
                <w:color w:val="auto"/>
              </w:rPr>
            </w:pPr>
          </w:p>
        </w:tc>
        <w:tc>
          <w:tcPr>
            <w:tcW w:w="68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6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r>
      <w:tr>
        <w:trPr>
          <w:trHeight w:val="252"/>
        </w:trPr>
        <w:tc>
          <w:tcPr>
            <w:tcW w:w="200" w:type="dxa"/>
            <w:vAlign w:val="bottom"/>
            <w:shd w:val="clear" w:color="auto" w:fill="D9D9D6"/>
          </w:tcPr>
          <w:p>
            <w:pPr>
              <w:spacing w:after="0"/>
              <w:rPr>
                <w:sz w:val="21"/>
                <w:szCs w:val="21"/>
                <w:color w:val="auto"/>
              </w:rPr>
            </w:pPr>
          </w:p>
        </w:tc>
        <w:tc>
          <w:tcPr>
            <w:tcW w:w="6840" w:type="dxa"/>
            <w:vAlign w:val="bottom"/>
            <w:shd w:val="clear" w:color="auto" w:fill="D9D9D6"/>
          </w:tcPr>
          <w:p>
            <w:pPr>
              <w:spacing w:after="0"/>
              <w:rPr>
                <w:sz w:val="21"/>
                <w:szCs w:val="21"/>
                <w:color w:val="auto"/>
              </w:rPr>
            </w:pPr>
          </w:p>
        </w:tc>
        <w:tc>
          <w:tcPr>
            <w:tcW w:w="540" w:type="dxa"/>
            <w:vAlign w:val="bottom"/>
            <w:shd w:val="clear" w:color="auto" w:fill="D9D9D6"/>
          </w:tcPr>
          <w:p>
            <w:pPr>
              <w:spacing w:after="0"/>
              <w:rPr>
                <w:sz w:val="21"/>
                <w:szCs w:val="21"/>
                <w:color w:val="auto"/>
              </w:rPr>
            </w:pPr>
          </w:p>
        </w:tc>
        <w:tc>
          <w:tcPr>
            <w:tcW w:w="320" w:type="dxa"/>
            <w:vAlign w:val="bottom"/>
            <w:shd w:val="clear" w:color="auto" w:fill="D9D9D6"/>
          </w:tcPr>
          <w:p>
            <w:pPr>
              <w:spacing w:after="0"/>
              <w:rPr>
                <w:sz w:val="21"/>
                <w:szCs w:val="21"/>
                <w:color w:val="auto"/>
              </w:rPr>
            </w:pPr>
          </w:p>
        </w:tc>
        <w:tc>
          <w:tcPr>
            <w:tcW w:w="160" w:type="dxa"/>
            <w:vAlign w:val="bottom"/>
            <w:shd w:val="clear" w:color="auto" w:fill="D9D9D6"/>
          </w:tcPr>
          <w:p>
            <w:pPr>
              <w:spacing w:after="0"/>
              <w:rPr>
                <w:sz w:val="21"/>
                <w:szCs w:val="21"/>
                <w:color w:val="auto"/>
              </w:rPr>
            </w:pPr>
          </w:p>
        </w:tc>
        <w:tc>
          <w:tcPr>
            <w:tcW w:w="440" w:type="dxa"/>
            <w:vAlign w:val="bottom"/>
            <w:shd w:val="clear" w:color="auto" w:fill="D9D9D6"/>
          </w:tcPr>
          <w:p>
            <w:pPr>
              <w:spacing w:after="0"/>
              <w:rPr>
                <w:sz w:val="21"/>
                <w:szCs w:val="21"/>
                <w:color w:val="auto"/>
              </w:rPr>
            </w:pPr>
          </w:p>
        </w:tc>
        <w:tc>
          <w:tcPr>
            <w:tcW w:w="140" w:type="dxa"/>
            <w:vAlign w:val="bottom"/>
            <w:shd w:val="clear" w:color="auto" w:fill="D9D9D6"/>
          </w:tcPr>
          <w:p>
            <w:pPr>
              <w:spacing w:after="0"/>
              <w:rPr>
                <w:sz w:val="21"/>
                <w:szCs w:val="21"/>
                <w:color w:val="auto"/>
              </w:rPr>
            </w:pPr>
          </w:p>
        </w:tc>
        <w:tc>
          <w:tcPr>
            <w:tcW w:w="1320" w:type="dxa"/>
            <w:vAlign w:val="bottom"/>
            <w:gridSpan w:val="6"/>
            <w:shd w:val="clear" w:color="auto" w:fill="D9D9D6"/>
          </w:tcPr>
          <w:p>
            <w:pPr>
              <w:jc w:val="right"/>
              <w:ind w:right="600"/>
              <w:spacing w:after="0"/>
              <w:rPr>
                <w:sz w:val="20"/>
                <w:szCs w:val="20"/>
                <w:color w:val="auto"/>
              </w:rPr>
            </w:pPr>
            <w:r>
              <w:rPr>
                <w:rFonts w:ascii="Arial" w:cs="Arial" w:eastAsia="Arial" w:hAnsi="Arial"/>
                <w:sz w:val="14"/>
                <w:szCs w:val="14"/>
                <w:color w:val="auto"/>
                <w:w w:val="99"/>
              </w:rPr>
              <w:t>1st Quarter</w:t>
            </w:r>
          </w:p>
        </w:tc>
        <w:tc>
          <w:tcPr>
            <w:tcW w:w="200" w:type="dxa"/>
            <w:vAlign w:val="bottom"/>
            <w:shd w:val="clear" w:color="auto" w:fill="D9D9D6"/>
          </w:tcPr>
          <w:p>
            <w:pPr>
              <w:spacing w:after="0"/>
              <w:rPr>
                <w:sz w:val="21"/>
                <w:szCs w:val="21"/>
                <w:color w:val="auto"/>
              </w:rPr>
            </w:pPr>
          </w:p>
        </w:tc>
        <w:tc>
          <w:tcPr>
            <w:tcW w:w="500" w:type="dxa"/>
            <w:vAlign w:val="bottom"/>
            <w:shd w:val="clear" w:color="auto" w:fill="D9D9D6"/>
          </w:tcPr>
          <w:p>
            <w:pPr>
              <w:spacing w:after="0"/>
              <w:rPr>
                <w:sz w:val="21"/>
                <w:szCs w:val="21"/>
                <w:color w:val="auto"/>
              </w:rPr>
            </w:pPr>
          </w:p>
        </w:tc>
        <w:tc>
          <w:tcPr>
            <w:tcW w:w="300" w:type="dxa"/>
            <w:vAlign w:val="bottom"/>
            <w:shd w:val="clear" w:color="auto" w:fill="D9D9D6"/>
          </w:tcPr>
          <w:p>
            <w:pPr>
              <w:spacing w:after="0"/>
              <w:rPr>
                <w:sz w:val="21"/>
                <w:szCs w:val="21"/>
                <w:color w:val="auto"/>
              </w:rPr>
            </w:pPr>
          </w:p>
        </w:tc>
        <w:tc>
          <w:tcPr>
            <w:tcW w:w="100" w:type="dxa"/>
            <w:vAlign w:val="bottom"/>
            <w:shd w:val="clear" w:color="auto" w:fill="D9D9D6"/>
          </w:tcPr>
          <w:p>
            <w:pPr>
              <w:spacing w:after="0"/>
              <w:rPr>
                <w:sz w:val="21"/>
                <w:szCs w:val="21"/>
                <w:color w:val="auto"/>
              </w:rPr>
            </w:pPr>
          </w:p>
        </w:tc>
      </w:tr>
      <w:tr>
        <w:trPr>
          <w:trHeight w:val="214"/>
        </w:trPr>
        <w:tc>
          <w:tcPr>
            <w:tcW w:w="200" w:type="dxa"/>
            <w:vAlign w:val="bottom"/>
            <w:tcBorders>
              <w:top w:val="single" w:sz="8" w:color="D9D9D6"/>
            </w:tcBorders>
            <w:shd w:val="clear" w:color="auto" w:fill="D9D9D6"/>
          </w:tcPr>
          <w:p>
            <w:pPr>
              <w:spacing w:after="0"/>
              <w:rPr>
                <w:sz w:val="18"/>
                <w:szCs w:val="18"/>
                <w:color w:val="auto"/>
              </w:rPr>
            </w:pPr>
          </w:p>
        </w:tc>
        <w:tc>
          <w:tcPr>
            <w:tcW w:w="6840" w:type="dxa"/>
            <w:vAlign w:val="bottom"/>
            <w:tcBorders>
              <w:top w:val="single" w:sz="8" w:color="D9D9D6"/>
            </w:tcBorders>
            <w:shd w:val="clear" w:color="auto" w:fill="D9D9D6"/>
          </w:tcPr>
          <w:p>
            <w:pPr>
              <w:spacing w:after="0"/>
              <w:rPr>
                <w:sz w:val="18"/>
                <w:szCs w:val="18"/>
                <w:color w:val="auto"/>
              </w:rPr>
            </w:pPr>
          </w:p>
        </w:tc>
        <w:tc>
          <w:tcPr>
            <w:tcW w:w="540" w:type="dxa"/>
            <w:vAlign w:val="bottom"/>
            <w:tcBorders>
              <w:top w:val="single" w:sz="8" w:color="D9D9D6"/>
            </w:tcBorders>
            <w:shd w:val="clear" w:color="auto" w:fill="D9D9D6"/>
          </w:tcPr>
          <w:p>
            <w:pPr>
              <w:spacing w:after="0"/>
              <w:rPr>
                <w:sz w:val="18"/>
                <w:szCs w:val="18"/>
                <w:color w:val="auto"/>
              </w:rPr>
            </w:pPr>
          </w:p>
        </w:tc>
        <w:tc>
          <w:tcPr>
            <w:tcW w:w="320" w:type="dxa"/>
            <w:vAlign w:val="bottom"/>
            <w:tcBorders>
              <w:top w:val="single" w:sz="8" w:color="D9D9D6"/>
            </w:tcBorders>
            <w:shd w:val="clear" w:color="auto" w:fill="D9D9D6"/>
          </w:tcPr>
          <w:p>
            <w:pPr>
              <w:spacing w:after="0"/>
              <w:rPr>
                <w:sz w:val="18"/>
                <w:szCs w:val="18"/>
                <w:color w:val="auto"/>
              </w:rPr>
            </w:pPr>
          </w:p>
        </w:tc>
        <w:tc>
          <w:tcPr>
            <w:tcW w:w="160" w:type="dxa"/>
            <w:vAlign w:val="bottom"/>
            <w:tcBorders>
              <w:top w:val="single" w:sz="8" w:color="D9D9D6"/>
            </w:tcBorders>
            <w:shd w:val="clear" w:color="auto" w:fill="D9D9D6"/>
          </w:tcPr>
          <w:p>
            <w:pPr>
              <w:spacing w:after="0"/>
              <w:rPr>
                <w:sz w:val="18"/>
                <w:szCs w:val="18"/>
                <w:color w:val="auto"/>
              </w:rPr>
            </w:pPr>
          </w:p>
        </w:tc>
        <w:tc>
          <w:tcPr>
            <w:tcW w:w="440" w:type="dxa"/>
            <w:vAlign w:val="bottom"/>
            <w:tcBorders>
              <w:top w:val="single" w:sz="8" w:color="D9D9D6"/>
            </w:tcBorders>
            <w:shd w:val="clear" w:color="auto" w:fill="D9D9D6"/>
          </w:tcPr>
          <w:p>
            <w:pPr>
              <w:spacing w:after="0"/>
              <w:rPr>
                <w:sz w:val="18"/>
                <w:szCs w:val="18"/>
                <w:color w:val="auto"/>
              </w:rPr>
            </w:pPr>
          </w:p>
        </w:tc>
        <w:tc>
          <w:tcPr>
            <w:tcW w:w="140" w:type="dxa"/>
            <w:vAlign w:val="bottom"/>
            <w:tcBorders>
              <w:top w:val="single" w:sz="8" w:color="D9D9D6"/>
            </w:tcBorders>
            <w:shd w:val="clear" w:color="auto" w:fill="D9D9D6"/>
          </w:tcPr>
          <w:p>
            <w:pPr>
              <w:spacing w:after="0"/>
              <w:rPr>
                <w:sz w:val="18"/>
                <w:szCs w:val="18"/>
                <w:color w:val="auto"/>
              </w:rPr>
            </w:pPr>
          </w:p>
        </w:tc>
        <w:tc>
          <w:tcPr>
            <w:tcW w:w="180" w:type="dxa"/>
            <w:vAlign w:val="bottom"/>
            <w:tcBorders>
              <w:top w:val="single" w:sz="8" w:color="auto"/>
            </w:tcBorders>
            <w:shd w:val="clear" w:color="auto" w:fill="D9D9D6"/>
          </w:tcPr>
          <w:p>
            <w:pPr>
              <w:spacing w:after="0"/>
              <w:rPr>
                <w:sz w:val="18"/>
                <w:szCs w:val="18"/>
                <w:color w:val="auto"/>
              </w:rPr>
            </w:pPr>
          </w:p>
        </w:tc>
        <w:tc>
          <w:tcPr>
            <w:tcW w:w="160" w:type="dxa"/>
            <w:vAlign w:val="bottom"/>
            <w:tcBorders>
              <w:top w:val="single" w:sz="8" w:color="auto"/>
            </w:tcBorders>
            <w:shd w:val="clear" w:color="auto" w:fill="D9D9D6"/>
          </w:tcPr>
          <w:p>
            <w:pPr>
              <w:spacing w:after="0"/>
              <w:rPr>
                <w:sz w:val="18"/>
                <w:szCs w:val="18"/>
                <w:color w:val="auto"/>
              </w:rPr>
            </w:pPr>
          </w:p>
        </w:tc>
        <w:tc>
          <w:tcPr>
            <w:tcW w:w="300" w:type="dxa"/>
            <w:vAlign w:val="bottom"/>
            <w:tcBorders>
              <w:top w:val="single" w:sz="8" w:color="auto"/>
            </w:tcBorders>
            <w:shd w:val="clear" w:color="auto" w:fill="D9D9D6"/>
          </w:tcPr>
          <w:p>
            <w:pPr>
              <w:spacing w:after="0"/>
              <w:rPr>
                <w:sz w:val="18"/>
                <w:szCs w:val="18"/>
                <w:color w:val="auto"/>
              </w:rPr>
            </w:pPr>
          </w:p>
        </w:tc>
        <w:tc>
          <w:tcPr>
            <w:tcW w:w="80" w:type="dxa"/>
            <w:vAlign w:val="bottom"/>
            <w:tcBorders>
              <w:top w:val="single" w:sz="8" w:color="auto"/>
            </w:tcBorders>
            <w:shd w:val="clear" w:color="auto" w:fill="D9D9D6"/>
          </w:tcPr>
          <w:p>
            <w:pPr>
              <w:spacing w:after="0"/>
              <w:rPr>
                <w:sz w:val="18"/>
                <w:szCs w:val="18"/>
                <w:color w:val="auto"/>
              </w:rPr>
            </w:pPr>
          </w:p>
        </w:tc>
        <w:tc>
          <w:tcPr>
            <w:tcW w:w="380" w:type="dxa"/>
            <w:vAlign w:val="bottom"/>
            <w:tcBorders>
              <w:top w:val="single" w:sz="8" w:color="D9D9D6"/>
            </w:tcBorders>
            <w:shd w:val="clear" w:color="auto" w:fill="D9D9D6"/>
          </w:tcPr>
          <w:p>
            <w:pPr>
              <w:spacing w:after="0"/>
              <w:rPr>
                <w:sz w:val="18"/>
                <w:szCs w:val="18"/>
                <w:color w:val="auto"/>
              </w:rPr>
            </w:pPr>
          </w:p>
        </w:tc>
        <w:tc>
          <w:tcPr>
            <w:tcW w:w="220" w:type="dxa"/>
            <w:vAlign w:val="bottom"/>
            <w:tcBorders>
              <w:top w:val="single" w:sz="8" w:color="D9D9D6"/>
            </w:tcBorders>
            <w:shd w:val="clear" w:color="auto" w:fill="D9D9D6"/>
          </w:tcPr>
          <w:p>
            <w:pPr>
              <w:spacing w:after="0"/>
              <w:rPr>
                <w:sz w:val="18"/>
                <w:szCs w:val="18"/>
                <w:color w:val="auto"/>
              </w:rPr>
            </w:pPr>
          </w:p>
        </w:tc>
        <w:tc>
          <w:tcPr>
            <w:tcW w:w="1100" w:type="dxa"/>
            <w:vAlign w:val="bottom"/>
            <w:tcBorders>
              <w:top w:val="single" w:sz="8" w:color="D9D9D6"/>
            </w:tcBorders>
            <w:gridSpan w:val="4"/>
            <w:shd w:val="clear" w:color="auto" w:fill="D9D9D6"/>
          </w:tcPr>
          <w:p>
            <w:pPr>
              <w:jc w:val="right"/>
              <w:ind w:right="380"/>
              <w:spacing w:after="0"/>
              <w:rPr>
                <w:sz w:val="20"/>
                <w:szCs w:val="20"/>
                <w:color w:val="auto"/>
              </w:rPr>
            </w:pPr>
            <w:r>
              <w:rPr>
                <w:rFonts w:ascii="Arial" w:cs="Arial" w:eastAsia="Arial" w:hAnsi="Arial"/>
                <w:sz w:val="14"/>
                <w:szCs w:val="14"/>
                <w:color w:val="auto"/>
              </w:rPr>
              <w:t>Constant</w:t>
            </w:r>
          </w:p>
        </w:tc>
      </w:tr>
      <w:tr>
        <w:trPr>
          <w:trHeight w:val="157"/>
        </w:trPr>
        <w:tc>
          <w:tcPr>
            <w:tcW w:w="200" w:type="dxa"/>
            <w:vAlign w:val="bottom"/>
            <w:shd w:val="clear" w:color="auto" w:fill="D9D9D6"/>
          </w:tcPr>
          <w:p>
            <w:pPr>
              <w:spacing w:after="0"/>
              <w:rPr>
                <w:sz w:val="13"/>
                <w:szCs w:val="13"/>
                <w:color w:val="auto"/>
              </w:rPr>
            </w:pPr>
          </w:p>
        </w:tc>
        <w:tc>
          <w:tcPr>
            <w:tcW w:w="6840" w:type="dxa"/>
            <w:vAlign w:val="bottom"/>
            <w:shd w:val="clear" w:color="auto" w:fill="D9D9D6"/>
          </w:tcPr>
          <w:p>
            <w:pPr>
              <w:spacing w:after="0"/>
              <w:rPr>
                <w:sz w:val="13"/>
                <w:szCs w:val="13"/>
                <w:color w:val="auto"/>
              </w:rPr>
            </w:pPr>
          </w:p>
        </w:tc>
        <w:tc>
          <w:tcPr>
            <w:tcW w:w="54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160" w:type="dxa"/>
            <w:vAlign w:val="bottom"/>
            <w:shd w:val="clear" w:color="auto" w:fill="D9D9D6"/>
          </w:tcPr>
          <w:p>
            <w:pPr>
              <w:spacing w:after="0"/>
              <w:rPr>
                <w:sz w:val="13"/>
                <w:szCs w:val="13"/>
                <w:color w:val="auto"/>
              </w:rPr>
            </w:pPr>
          </w:p>
        </w:tc>
        <w:tc>
          <w:tcPr>
            <w:tcW w:w="440" w:type="dxa"/>
            <w:vAlign w:val="bottom"/>
            <w:shd w:val="clear" w:color="auto" w:fill="D9D9D6"/>
          </w:tcPr>
          <w:p>
            <w:pPr>
              <w:spacing w:after="0"/>
              <w:rPr>
                <w:sz w:val="13"/>
                <w:szCs w:val="13"/>
                <w:color w:val="auto"/>
              </w:rPr>
            </w:pPr>
          </w:p>
        </w:tc>
        <w:tc>
          <w:tcPr>
            <w:tcW w:w="14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160" w:type="dxa"/>
            <w:vAlign w:val="bottom"/>
            <w:shd w:val="clear" w:color="auto" w:fill="D9D9D6"/>
          </w:tcPr>
          <w:p>
            <w:pPr>
              <w:spacing w:after="0"/>
              <w:rPr>
                <w:sz w:val="13"/>
                <w:szCs w:val="13"/>
                <w:color w:val="auto"/>
              </w:rPr>
            </w:pPr>
          </w:p>
        </w:tc>
        <w:tc>
          <w:tcPr>
            <w:tcW w:w="300" w:type="dxa"/>
            <w:vAlign w:val="bottom"/>
            <w:shd w:val="clear" w:color="auto" w:fill="D9D9D6"/>
          </w:tcPr>
          <w:p>
            <w:pPr>
              <w:spacing w:after="0"/>
              <w:rPr>
                <w:sz w:val="13"/>
                <w:szCs w:val="13"/>
                <w:color w:val="auto"/>
              </w:rPr>
            </w:pPr>
          </w:p>
        </w:tc>
        <w:tc>
          <w:tcPr>
            <w:tcW w:w="80" w:type="dxa"/>
            <w:vAlign w:val="bottom"/>
            <w:shd w:val="clear" w:color="auto" w:fill="D9D9D6"/>
          </w:tcPr>
          <w:p>
            <w:pPr>
              <w:spacing w:after="0"/>
              <w:rPr>
                <w:sz w:val="13"/>
                <w:szCs w:val="13"/>
                <w:color w:val="auto"/>
              </w:rPr>
            </w:pPr>
          </w:p>
        </w:tc>
        <w:tc>
          <w:tcPr>
            <w:tcW w:w="380" w:type="dxa"/>
            <w:vAlign w:val="bottom"/>
            <w:shd w:val="clear" w:color="auto" w:fill="D9D9D6"/>
          </w:tcPr>
          <w:p>
            <w:pPr>
              <w:spacing w:after="0"/>
              <w:rPr>
                <w:sz w:val="13"/>
                <w:szCs w:val="13"/>
                <w:color w:val="auto"/>
              </w:rPr>
            </w:pPr>
          </w:p>
        </w:tc>
        <w:tc>
          <w:tcPr>
            <w:tcW w:w="220" w:type="dxa"/>
            <w:vAlign w:val="bottom"/>
            <w:shd w:val="clear" w:color="auto" w:fill="D9D9D6"/>
          </w:tcPr>
          <w:p>
            <w:pPr>
              <w:spacing w:after="0"/>
              <w:rPr>
                <w:sz w:val="13"/>
                <w:szCs w:val="13"/>
                <w:color w:val="auto"/>
              </w:rPr>
            </w:pPr>
          </w:p>
        </w:tc>
        <w:tc>
          <w:tcPr>
            <w:tcW w:w="1100" w:type="dxa"/>
            <w:vAlign w:val="bottom"/>
            <w:gridSpan w:val="4"/>
            <w:shd w:val="clear" w:color="auto" w:fill="D9D9D6"/>
          </w:tcPr>
          <w:p>
            <w:pPr>
              <w:jc w:val="right"/>
              <w:ind w:right="380"/>
              <w:spacing w:after="0" w:line="157" w:lineRule="exact"/>
              <w:rPr>
                <w:sz w:val="20"/>
                <w:szCs w:val="20"/>
                <w:color w:val="auto"/>
              </w:rPr>
            </w:pPr>
            <w:r>
              <w:rPr>
                <w:rFonts w:ascii="Arial" w:cs="Arial" w:eastAsia="Arial" w:hAnsi="Arial"/>
                <w:sz w:val="14"/>
                <w:szCs w:val="14"/>
                <w:color w:val="auto"/>
              </w:rPr>
              <w:t>Currency</w:t>
            </w:r>
          </w:p>
        </w:tc>
      </w:tr>
      <w:tr>
        <w:trPr>
          <w:trHeight w:val="149"/>
        </w:trPr>
        <w:tc>
          <w:tcPr>
            <w:tcW w:w="200" w:type="dxa"/>
            <w:vAlign w:val="bottom"/>
            <w:shd w:val="clear" w:color="auto" w:fill="D9D9D6"/>
          </w:tcPr>
          <w:p>
            <w:pPr>
              <w:spacing w:after="0"/>
              <w:rPr>
                <w:sz w:val="12"/>
                <w:szCs w:val="12"/>
                <w:color w:val="auto"/>
              </w:rPr>
            </w:pPr>
          </w:p>
        </w:tc>
        <w:tc>
          <w:tcPr>
            <w:tcW w:w="6840" w:type="dxa"/>
            <w:vAlign w:val="bottom"/>
            <w:shd w:val="clear" w:color="auto" w:fill="D9D9D6"/>
          </w:tcPr>
          <w:p>
            <w:pPr>
              <w:spacing w:after="0"/>
              <w:rPr>
                <w:sz w:val="12"/>
                <w:szCs w:val="12"/>
                <w:color w:val="auto"/>
              </w:rPr>
            </w:pPr>
          </w:p>
        </w:tc>
        <w:tc>
          <w:tcPr>
            <w:tcW w:w="860" w:type="dxa"/>
            <w:vAlign w:val="bottom"/>
            <w:gridSpan w:val="2"/>
            <w:shd w:val="clear" w:color="auto" w:fill="D9D9D6"/>
          </w:tcPr>
          <w:p>
            <w:pPr>
              <w:jc w:val="right"/>
              <w:spacing w:after="0" w:line="149" w:lineRule="exact"/>
              <w:rPr>
                <w:sz w:val="20"/>
                <w:szCs w:val="20"/>
                <w:color w:val="auto"/>
              </w:rPr>
            </w:pPr>
            <w:r>
              <w:rPr>
                <w:rFonts w:ascii="Arial" w:cs="Arial" w:eastAsia="Arial" w:hAnsi="Arial"/>
                <w:sz w:val="14"/>
                <w:szCs w:val="14"/>
                <w:color w:val="auto"/>
              </w:rPr>
              <w:t>2020</w:t>
            </w:r>
          </w:p>
        </w:tc>
        <w:tc>
          <w:tcPr>
            <w:tcW w:w="160" w:type="dxa"/>
            <w:vAlign w:val="bottom"/>
            <w:shd w:val="clear" w:color="auto" w:fill="D9D9D6"/>
          </w:tcPr>
          <w:p>
            <w:pPr>
              <w:spacing w:after="0"/>
              <w:rPr>
                <w:sz w:val="12"/>
                <w:szCs w:val="12"/>
                <w:color w:val="auto"/>
              </w:rPr>
            </w:pPr>
          </w:p>
        </w:tc>
        <w:tc>
          <w:tcPr>
            <w:tcW w:w="760" w:type="dxa"/>
            <w:vAlign w:val="bottom"/>
            <w:gridSpan w:val="3"/>
            <w:shd w:val="clear" w:color="auto" w:fill="D9D9D6"/>
          </w:tcPr>
          <w:p>
            <w:pPr>
              <w:jc w:val="right"/>
              <w:spacing w:after="0" w:line="149" w:lineRule="exact"/>
              <w:rPr>
                <w:sz w:val="20"/>
                <w:szCs w:val="20"/>
                <w:color w:val="auto"/>
              </w:rPr>
            </w:pPr>
            <w:r>
              <w:rPr>
                <w:rFonts w:ascii="Arial" w:cs="Arial" w:eastAsia="Arial" w:hAnsi="Arial"/>
                <w:sz w:val="14"/>
                <w:szCs w:val="14"/>
                <w:color w:val="auto"/>
              </w:rPr>
              <w:t>2019</w:t>
            </w:r>
          </w:p>
        </w:tc>
        <w:tc>
          <w:tcPr>
            <w:tcW w:w="160" w:type="dxa"/>
            <w:vAlign w:val="bottom"/>
            <w:shd w:val="clear" w:color="auto" w:fill="D9D9D6"/>
          </w:tcPr>
          <w:p>
            <w:pPr>
              <w:spacing w:after="0"/>
              <w:rPr>
                <w:sz w:val="12"/>
                <w:szCs w:val="12"/>
                <w:color w:val="auto"/>
              </w:rPr>
            </w:pPr>
          </w:p>
        </w:tc>
        <w:tc>
          <w:tcPr>
            <w:tcW w:w="300" w:type="dxa"/>
            <w:vAlign w:val="bottom"/>
            <w:shd w:val="clear" w:color="auto" w:fill="D9D9D6"/>
          </w:tcPr>
          <w:p>
            <w:pPr>
              <w:spacing w:after="0"/>
              <w:rPr>
                <w:sz w:val="12"/>
                <w:szCs w:val="12"/>
                <w:color w:val="auto"/>
              </w:rPr>
            </w:pPr>
          </w:p>
        </w:tc>
        <w:tc>
          <w:tcPr>
            <w:tcW w:w="680" w:type="dxa"/>
            <w:vAlign w:val="bottom"/>
            <w:gridSpan w:val="3"/>
            <w:shd w:val="clear" w:color="auto" w:fill="D9D9D6"/>
          </w:tcPr>
          <w:p>
            <w:pPr>
              <w:jc w:val="right"/>
              <w:ind w:right="220"/>
              <w:spacing w:after="0" w:line="149" w:lineRule="exact"/>
              <w:rPr>
                <w:sz w:val="20"/>
                <w:szCs w:val="20"/>
                <w:color w:val="auto"/>
              </w:rPr>
            </w:pPr>
            <w:r>
              <w:rPr>
                <w:rFonts w:ascii="Arial" w:cs="Arial" w:eastAsia="Arial" w:hAnsi="Arial"/>
                <w:sz w:val="14"/>
                <w:szCs w:val="14"/>
                <w:color w:val="auto"/>
                <w:w w:val="97"/>
              </w:rPr>
              <w:t>Growth</w:t>
            </w:r>
          </w:p>
        </w:tc>
        <w:tc>
          <w:tcPr>
            <w:tcW w:w="1100" w:type="dxa"/>
            <w:vAlign w:val="bottom"/>
            <w:gridSpan w:val="4"/>
            <w:shd w:val="clear" w:color="auto" w:fill="D9D9D6"/>
          </w:tcPr>
          <w:p>
            <w:pPr>
              <w:ind w:left="200"/>
              <w:spacing w:after="0" w:line="149" w:lineRule="exact"/>
              <w:rPr>
                <w:sz w:val="20"/>
                <w:szCs w:val="20"/>
                <w:color w:val="auto"/>
              </w:rPr>
            </w:pPr>
            <w:r>
              <w:rPr>
                <w:rFonts w:ascii="Arial" w:cs="Arial" w:eastAsia="Arial" w:hAnsi="Arial"/>
                <w:sz w:val="11"/>
                <w:szCs w:val="11"/>
                <w:color w:val="auto"/>
              </w:rPr>
              <w:t xml:space="preserve">Growth </w:t>
            </w:r>
            <w:r>
              <w:rPr>
                <w:rFonts w:ascii="Arial" w:cs="Arial" w:eastAsia="Arial" w:hAnsi="Arial"/>
                <w:sz w:val="17"/>
                <w:szCs w:val="17"/>
                <w:color w:val="auto"/>
                <w:vertAlign w:val="superscript"/>
              </w:rPr>
              <w:t>5</w:t>
            </w:r>
          </w:p>
        </w:tc>
      </w:tr>
      <w:tr>
        <w:trPr>
          <w:trHeight w:val="278"/>
        </w:trPr>
        <w:tc>
          <w:tcPr>
            <w:tcW w:w="200" w:type="dxa"/>
            <w:vAlign w:val="bottom"/>
            <w:tcBorders>
              <w:top w:val="single" w:sz="8" w:color="D9D9D6"/>
            </w:tcBorders>
            <w:shd w:val="clear" w:color="auto" w:fill="D9D9D6"/>
          </w:tcPr>
          <w:p>
            <w:pPr>
              <w:spacing w:after="0"/>
              <w:rPr>
                <w:sz w:val="24"/>
                <w:szCs w:val="24"/>
                <w:color w:val="auto"/>
              </w:rPr>
            </w:pPr>
          </w:p>
        </w:tc>
        <w:tc>
          <w:tcPr>
            <w:tcW w:w="68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54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44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180" w:type="dxa"/>
            <w:vAlign w:val="bottom"/>
            <w:tcBorders>
              <w:top w:val="single" w:sz="8" w:color="auto"/>
            </w:tcBorders>
            <w:shd w:val="clear" w:color="auto" w:fill="D9D9D6"/>
          </w:tcPr>
          <w:p>
            <w:pPr>
              <w:spacing w:after="0"/>
              <w:rPr>
                <w:sz w:val="24"/>
                <w:szCs w:val="24"/>
                <w:color w:val="auto"/>
              </w:rPr>
            </w:pPr>
          </w:p>
        </w:tc>
        <w:tc>
          <w:tcPr>
            <w:tcW w:w="160" w:type="dxa"/>
            <w:vAlign w:val="bottom"/>
            <w:tcBorders>
              <w:top w:val="single" w:sz="8" w:color="D9D9D6"/>
            </w:tcBorders>
            <w:shd w:val="clear" w:color="auto" w:fill="D9D9D6"/>
          </w:tcPr>
          <w:p>
            <w:pPr>
              <w:spacing w:after="0"/>
              <w:rPr>
                <w:sz w:val="24"/>
                <w:szCs w:val="24"/>
                <w:color w:val="auto"/>
              </w:rPr>
            </w:pPr>
          </w:p>
        </w:tc>
        <w:tc>
          <w:tcPr>
            <w:tcW w:w="30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auto"/>
            </w:tcBorders>
            <w:shd w:val="clear" w:color="auto" w:fill="D9D9D6"/>
          </w:tcPr>
          <w:p>
            <w:pPr>
              <w:spacing w:after="0"/>
              <w:rPr>
                <w:sz w:val="24"/>
                <w:szCs w:val="24"/>
                <w:color w:val="auto"/>
              </w:rPr>
            </w:pPr>
          </w:p>
        </w:tc>
        <w:tc>
          <w:tcPr>
            <w:tcW w:w="380" w:type="dxa"/>
            <w:vAlign w:val="bottom"/>
            <w:tcBorders>
              <w:top w:val="single" w:sz="8" w:color="auto"/>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auto"/>
            </w:tcBorders>
            <w:shd w:val="clear" w:color="auto" w:fill="D9D9D6"/>
          </w:tcPr>
          <w:p>
            <w:pPr>
              <w:spacing w:after="0"/>
              <w:rPr>
                <w:sz w:val="24"/>
                <w:szCs w:val="24"/>
                <w:color w:val="auto"/>
              </w:rPr>
            </w:pPr>
          </w:p>
        </w:tc>
        <w:tc>
          <w:tcPr>
            <w:tcW w:w="30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r>
      <w:tr>
        <w:trPr>
          <w:trHeight w:val="282"/>
        </w:trPr>
        <w:tc>
          <w:tcPr>
            <w:tcW w:w="200" w:type="dxa"/>
            <w:vAlign w:val="bottom"/>
            <w:shd w:val="clear" w:color="auto" w:fill="D9D9D6"/>
          </w:tcPr>
          <w:p>
            <w:pPr>
              <w:spacing w:after="0"/>
              <w:rPr>
                <w:sz w:val="24"/>
                <w:szCs w:val="24"/>
                <w:color w:val="auto"/>
              </w:rPr>
            </w:pPr>
          </w:p>
        </w:tc>
        <w:tc>
          <w:tcPr>
            <w:tcW w:w="6840" w:type="dxa"/>
            <w:vAlign w:val="bottom"/>
            <w:shd w:val="clear" w:color="auto" w:fill="D9D9D6"/>
          </w:tcPr>
          <w:p>
            <w:pPr>
              <w:ind w:left="160"/>
              <w:spacing w:after="0"/>
              <w:rPr>
                <w:sz w:val="20"/>
                <w:szCs w:val="20"/>
                <w:color w:val="auto"/>
              </w:rPr>
            </w:pPr>
            <w:r>
              <w:rPr>
                <w:rFonts w:ascii="Arial" w:cs="Arial" w:eastAsia="Arial" w:hAnsi="Arial"/>
                <w:sz w:val="14"/>
                <w:szCs w:val="14"/>
                <w:color w:val="auto"/>
              </w:rPr>
              <w:t>Direct-to-Consumer</w:t>
            </w: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$3,679</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$3,834</w:t>
            </w:r>
          </w:p>
        </w:tc>
        <w:tc>
          <w:tcPr>
            <w:tcW w:w="9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(4.0%)</w:t>
            </w:r>
          </w:p>
        </w:tc>
        <w:tc>
          <w:tcPr>
            <w:tcW w:w="10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9D9D6"/>
          </w:tcPr>
          <w:p>
            <w:pPr>
              <w:spacing w:after="0"/>
              <w:rPr>
                <w:sz w:val="24"/>
                <w:szCs w:val="24"/>
                <w:color w:val="auto"/>
              </w:rPr>
            </w:pPr>
          </w:p>
        </w:tc>
      </w:tr>
      <w:tr>
        <w:trPr>
          <w:trHeight w:val="264"/>
        </w:trPr>
        <w:tc>
          <w:tcPr>
            <w:tcW w:w="200" w:type="dxa"/>
            <w:vAlign w:val="bottom"/>
            <w:shd w:val="clear" w:color="auto" w:fill="D9D9D6"/>
          </w:tcPr>
          <w:p>
            <w:pPr>
              <w:spacing w:after="0"/>
              <w:rPr>
                <w:sz w:val="22"/>
                <w:szCs w:val="22"/>
                <w:color w:val="auto"/>
              </w:rPr>
            </w:pPr>
          </w:p>
        </w:tc>
        <w:tc>
          <w:tcPr>
            <w:tcW w:w="6840" w:type="dxa"/>
            <w:vAlign w:val="bottom"/>
            <w:shd w:val="clear" w:color="auto" w:fill="D9D9D6"/>
          </w:tcPr>
          <w:p>
            <w:pPr>
              <w:ind w:left="160"/>
              <w:spacing w:after="0"/>
              <w:rPr>
                <w:sz w:val="20"/>
                <w:szCs w:val="20"/>
                <w:color w:val="auto"/>
              </w:rPr>
            </w:pPr>
            <w:r>
              <w:rPr>
                <w:rFonts w:ascii="Arial" w:cs="Arial" w:eastAsia="Arial" w:hAnsi="Arial"/>
                <w:sz w:val="14"/>
                <w:szCs w:val="14"/>
                <w:color w:val="auto"/>
              </w:rPr>
              <w:t>Content</w:t>
            </w: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325</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370</w:t>
            </w:r>
          </w:p>
        </w:tc>
        <w:tc>
          <w:tcPr>
            <w:tcW w:w="980" w:type="dxa"/>
            <w:vAlign w:val="bottom"/>
            <w:gridSpan w:val="4"/>
          </w:tcPr>
          <w:p>
            <w:pPr>
              <w:jc w:val="right"/>
              <w:ind w:right="40"/>
              <w:spacing w:after="0"/>
              <w:rPr>
                <w:sz w:val="20"/>
                <w:szCs w:val="20"/>
                <w:color w:val="auto"/>
              </w:rPr>
            </w:pPr>
            <w:r>
              <w:rPr>
                <w:rFonts w:ascii="Arial" w:cs="Arial" w:eastAsia="Arial" w:hAnsi="Arial"/>
                <w:sz w:val="14"/>
                <w:szCs w:val="14"/>
                <w:color w:val="auto"/>
              </w:rPr>
              <w:t>(12.3%)</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r>
      <w:tr>
        <w:trPr>
          <w:trHeight w:val="270"/>
        </w:trPr>
        <w:tc>
          <w:tcPr>
            <w:tcW w:w="200" w:type="dxa"/>
            <w:vAlign w:val="bottom"/>
            <w:tcBorders>
              <w:bottom w:val="single" w:sz="8" w:color="D9D9D6"/>
            </w:tcBorders>
            <w:shd w:val="clear" w:color="auto" w:fill="D9D9D6"/>
          </w:tcPr>
          <w:p>
            <w:pPr>
              <w:spacing w:after="0"/>
              <w:rPr>
                <w:sz w:val="23"/>
                <w:szCs w:val="23"/>
                <w:color w:val="auto"/>
              </w:rPr>
            </w:pPr>
          </w:p>
        </w:tc>
        <w:tc>
          <w:tcPr>
            <w:tcW w:w="6840" w:type="dxa"/>
            <w:vAlign w:val="bottom"/>
            <w:tcBorders>
              <w:bottom w:val="single" w:sz="8" w:color="D9D9D6"/>
            </w:tcBorders>
            <w:shd w:val="clear" w:color="auto" w:fill="D9D9D6"/>
          </w:tcPr>
          <w:p>
            <w:pPr>
              <w:ind w:left="160"/>
              <w:spacing w:after="0"/>
              <w:rPr>
                <w:sz w:val="20"/>
                <w:szCs w:val="20"/>
                <w:color w:val="auto"/>
              </w:rPr>
            </w:pPr>
            <w:r>
              <w:rPr>
                <w:rFonts w:ascii="Arial" w:cs="Arial" w:eastAsia="Arial" w:hAnsi="Arial"/>
                <w:sz w:val="14"/>
                <w:szCs w:val="14"/>
                <w:color w:val="auto"/>
              </w:rPr>
              <w:t>Advertising</w:t>
            </w:r>
          </w:p>
        </w:tc>
        <w:tc>
          <w:tcPr>
            <w:tcW w:w="102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513</w:t>
            </w:r>
          </w:p>
        </w:tc>
        <w:tc>
          <w:tcPr>
            <w:tcW w:w="92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593</w:t>
            </w: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(13.5%)</w:t>
            </w:r>
          </w:p>
        </w:tc>
        <w:tc>
          <w:tcPr>
            <w:tcW w:w="100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D9D9D6"/>
          </w:tcPr>
          <w:p>
            <w:pPr>
              <w:spacing w:after="0"/>
              <w:rPr>
                <w:sz w:val="23"/>
                <w:szCs w:val="23"/>
                <w:color w:val="auto"/>
              </w:rPr>
            </w:pPr>
          </w:p>
        </w:tc>
      </w:tr>
      <w:tr>
        <w:trPr>
          <w:trHeight w:val="250"/>
        </w:trPr>
        <w:tc>
          <w:tcPr>
            <w:tcW w:w="200" w:type="dxa"/>
            <w:vAlign w:val="bottom"/>
            <w:shd w:val="clear" w:color="auto" w:fill="D9D9D6"/>
          </w:tcPr>
          <w:p>
            <w:pPr>
              <w:spacing w:after="0"/>
              <w:rPr>
                <w:sz w:val="21"/>
                <w:szCs w:val="21"/>
                <w:color w:val="auto"/>
              </w:rPr>
            </w:pPr>
          </w:p>
        </w:tc>
        <w:tc>
          <w:tcPr>
            <w:tcW w:w="6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$4,517</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$4,797</w:t>
            </w:r>
          </w:p>
        </w:tc>
        <w:tc>
          <w:tcPr>
            <w:tcW w:w="9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(5.8%)</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1"/>
                <w:szCs w:val="21"/>
                <w:color w:val="auto"/>
              </w:rPr>
            </w:pPr>
          </w:p>
        </w:tc>
      </w:tr>
      <w:tr>
        <w:trPr>
          <w:trHeight w:val="534"/>
        </w:trPr>
        <w:tc>
          <w:tcPr>
            <w:tcW w:w="200" w:type="dxa"/>
            <w:vAlign w:val="bottom"/>
            <w:shd w:val="clear" w:color="auto" w:fill="D9D9D6"/>
          </w:tcPr>
          <w:p>
            <w:pPr>
              <w:spacing w:after="0"/>
              <w:rPr>
                <w:sz w:val="24"/>
                <w:szCs w:val="24"/>
                <w:color w:val="auto"/>
              </w:rPr>
            </w:pPr>
          </w:p>
        </w:tc>
        <w:tc>
          <w:tcPr>
            <w:tcW w:w="6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$3,966</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$4,134</w:t>
            </w:r>
          </w:p>
        </w:tc>
        <w:tc>
          <w:tcPr>
            <w:tcW w:w="9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(4.1%)</w:t>
            </w:r>
          </w:p>
        </w:tc>
        <w:tc>
          <w:tcPr>
            <w:tcW w:w="10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(1.9%)</w:t>
            </w:r>
          </w:p>
        </w:tc>
        <w:tc>
          <w:tcPr>
            <w:tcW w:w="100" w:type="dxa"/>
            <w:vAlign w:val="bottom"/>
            <w:shd w:val="clear" w:color="auto" w:fill="D9D9D6"/>
          </w:tcPr>
          <w:p>
            <w:pPr>
              <w:spacing w:after="0"/>
              <w:rPr>
                <w:sz w:val="24"/>
                <w:szCs w:val="24"/>
                <w:color w:val="auto"/>
              </w:rPr>
            </w:pPr>
          </w:p>
        </w:tc>
      </w:tr>
      <w:tr>
        <w:trPr>
          <w:trHeight w:val="540"/>
        </w:trPr>
        <w:tc>
          <w:tcPr>
            <w:tcW w:w="200" w:type="dxa"/>
            <w:vAlign w:val="bottom"/>
            <w:shd w:val="clear" w:color="auto" w:fill="D9D9D6"/>
          </w:tcPr>
          <w:p>
            <w:pPr>
              <w:spacing w:after="0"/>
              <w:rPr>
                <w:sz w:val="24"/>
                <w:szCs w:val="24"/>
                <w:color w:val="auto"/>
              </w:rPr>
            </w:pPr>
          </w:p>
        </w:tc>
        <w:tc>
          <w:tcPr>
            <w:tcW w:w="68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$551</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$663</w:t>
            </w:r>
          </w:p>
        </w:tc>
        <w:tc>
          <w:tcPr>
            <w:tcW w:w="9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(16.9%)</w:t>
            </w:r>
          </w:p>
        </w:tc>
        <w:tc>
          <w:tcPr>
            <w:tcW w:w="10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(15.3%)</w:t>
            </w:r>
          </w:p>
        </w:tc>
        <w:tc>
          <w:tcPr>
            <w:tcW w:w="100" w:type="dxa"/>
            <w:vAlign w:val="bottom"/>
            <w:shd w:val="clear" w:color="auto" w:fill="D9D9D6"/>
          </w:tcPr>
          <w:p>
            <w:pPr>
              <w:spacing w:after="0"/>
              <w:rPr>
                <w:sz w:val="24"/>
                <w:szCs w:val="24"/>
                <w:color w:val="auto"/>
              </w:rPr>
            </w:pPr>
          </w:p>
        </w:tc>
      </w:tr>
      <w:tr>
        <w:trPr>
          <w:trHeight w:val="270"/>
        </w:trPr>
        <w:tc>
          <w:tcPr>
            <w:tcW w:w="200" w:type="dxa"/>
            <w:vAlign w:val="bottom"/>
            <w:shd w:val="clear" w:color="auto" w:fill="D9D9D6"/>
          </w:tcPr>
          <w:p>
            <w:pPr>
              <w:spacing w:after="0"/>
              <w:rPr>
                <w:sz w:val="23"/>
                <w:szCs w:val="23"/>
                <w:color w:val="auto"/>
              </w:rPr>
            </w:pPr>
          </w:p>
        </w:tc>
        <w:tc>
          <w:tcPr>
            <w:tcW w:w="6840" w:type="dxa"/>
            <w:vAlign w:val="bottom"/>
            <w:shd w:val="clear" w:color="auto" w:fill="D9D9D6"/>
          </w:tcPr>
          <w:p>
            <w:pPr>
              <w:ind w:left="160"/>
              <w:spacing w:after="0"/>
              <w:rPr>
                <w:sz w:val="20"/>
                <w:szCs w:val="20"/>
                <w:color w:val="auto"/>
              </w:rPr>
            </w:pPr>
            <w:r>
              <w:rPr>
                <w:rFonts w:ascii="Arial" w:cs="Arial" w:eastAsia="Arial" w:hAnsi="Arial"/>
                <w:sz w:val="14"/>
                <w:szCs w:val="14"/>
                <w:i w:val="1"/>
                <w:iCs w:val="1"/>
                <w:color w:val="auto"/>
              </w:rPr>
              <w:t>Adjusted EBITDA Margin</w:t>
            </w:r>
          </w:p>
        </w:tc>
        <w:tc>
          <w:tcPr>
            <w:tcW w:w="10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12.2%</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i w:val="1"/>
                <w:iCs w:val="1"/>
                <w:color w:val="auto"/>
              </w:rPr>
              <w:t>13.8%</w:t>
            </w:r>
          </w:p>
        </w:tc>
        <w:tc>
          <w:tcPr>
            <w:tcW w:w="300" w:type="dxa"/>
            <w:vAlign w:val="bottom"/>
            <w:shd w:val="clear" w:color="auto" w:fill="D9D9D6"/>
          </w:tcPr>
          <w:p>
            <w:pPr>
              <w:spacing w:after="0"/>
              <w:rPr>
                <w:sz w:val="23"/>
                <w:szCs w:val="23"/>
                <w:color w:val="auto"/>
              </w:rPr>
            </w:pPr>
          </w:p>
        </w:tc>
        <w:tc>
          <w:tcPr>
            <w:tcW w:w="80" w:type="dxa"/>
            <w:vAlign w:val="bottom"/>
            <w:shd w:val="clear" w:color="auto" w:fill="D9D9D6"/>
          </w:tcPr>
          <w:p>
            <w:pPr>
              <w:spacing w:after="0"/>
              <w:rPr>
                <w:sz w:val="23"/>
                <w:szCs w:val="23"/>
                <w:color w:val="auto"/>
              </w:rPr>
            </w:pPr>
          </w:p>
        </w:tc>
        <w:tc>
          <w:tcPr>
            <w:tcW w:w="380" w:type="dxa"/>
            <w:vAlign w:val="bottom"/>
            <w:shd w:val="clear" w:color="auto" w:fill="D9D9D6"/>
          </w:tcPr>
          <w:p>
            <w:pPr>
              <w:spacing w:after="0"/>
              <w:rPr>
                <w:sz w:val="23"/>
                <w:szCs w:val="23"/>
                <w:color w:val="auto"/>
              </w:rPr>
            </w:pPr>
          </w:p>
        </w:tc>
        <w:tc>
          <w:tcPr>
            <w:tcW w:w="220" w:type="dxa"/>
            <w:vAlign w:val="bottom"/>
            <w:shd w:val="clear" w:color="auto" w:fill="D9D9D6"/>
          </w:tcPr>
          <w:p>
            <w:pPr>
              <w:spacing w:after="0"/>
              <w:rPr>
                <w:sz w:val="23"/>
                <w:szCs w:val="23"/>
                <w:color w:val="auto"/>
              </w:rPr>
            </w:pPr>
          </w:p>
        </w:tc>
        <w:tc>
          <w:tcPr>
            <w:tcW w:w="200" w:type="dxa"/>
            <w:vAlign w:val="bottom"/>
            <w:shd w:val="clear" w:color="auto" w:fill="D9D9D6"/>
          </w:tcPr>
          <w:p>
            <w:pPr>
              <w:spacing w:after="0"/>
              <w:rPr>
                <w:sz w:val="23"/>
                <w:szCs w:val="23"/>
                <w:color w:val="auto"/>
              </w:rPr>
            </w:pPr>
          </w:p>
        </w:tc>
        <w:tc>
          <w:tcPr>
            <w:tcW w:w="500" w:type="dxa"/>
            <w:vAlign w:val="bottom"/>
            <w:shd w:val="clear" w:color="auto" w:fill="D9D9D6"/>
          </w:tcPr>
          <w:p>
            <w:pPr>
              <w:spacing w:after="0"/>
              <w:rPr>
                <w:sz w:val="23"/>
                <w:szCs w:val="23"/>
                <w:color w:val="auto"/>
              </w:rPr>
            </w:pPr>
          </w:p>
        </w:tc>
        <w:tc>
          <w:tcPr>
            <w:tcW w:w="300" w:type="dxa"/>
            <w:vAlign w:val="bottom"/>
            <w:shd w:val="clear" w:color="auto" w:fill="D9D9D6"/>
          </w:tcPr>
          <w:p>
            <w:pPr>
              <w:spacing w:after="0"/>
              <w:rPr>
                <w:sz w:val="23"/>
                <w:szCs w:val="23"/>
                <w:color w:val="auto"/>
              </w:rPr>
            </w:pPr>
          </w:p>
        </w:tc>
        <w:tc>
          <w:tcPr>
            <w:tcW w:w="100" w:type="dxa"/>
            <w:vAlign w:val="bottom"/>
            <w:shd w:val="clear" w:color="auto" w:fill="D9D9D6"/>
          </w:tcPr>
          <w:p>
            <w:pPr>
              <w:spacing w:after="0"/>
              <w:rPr>
                <w:sz w:val="23"/>
                <w:szCs w:val="23"/>
                <w:color w:val="auto"/>
              </w:rPr>
            </w:pPr>
          </w:p>
        </w:tc>
      </w:tr>
      <w:tr>
        <w:trPr>
          <w:trHeight w:val="133"/>
        </w:trPr>
        <w:tc>
          <w:tcPr>
            <w:tcW w:w="200" w:type="dxa"/>
            <w:vAlign w:val="bottom"/>
            <w:shd w:val="clear" w:color="auto" w:fill="D9D9D6"/>
          </w:tcPr>
          <w:p>
            <w:pPr>
              <w:spacing w:after="0"/>
              <w:rPr>
                <w:sz w:val="11"/>
                <w:szCs w:val="11"/>
                <w:color w:val="auto"/>
              </w:rPr>
            </w:pPr>
          </w:p>
        </w:tc>
        <w:tc>
          <w:tcPr>
            <w:tcW w:w="6840" w:type="dxa"/>
            <w:vAlign w:val="bottom"/>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32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440" w:type="dxa"/>
            <w:vAlign w:val="bottom"/>
            <w:shd w:val="clear" w:color="auto" w:fill="D9D9D6"/>
          </w:tcPr>
          <w:p>
            <w:pPr>
              <w:spacing w:after="0"/>
              <w:rPr>
                <w:sz w:val="11"/>
                <w:szCs w:val="11"/>
                <w:color w:val="auto"/>
              </w:rPr>
            </w:pPr>
          </w:p>
        </w:tc>
        <w:tc>
          <w:tcPr>
            <w:tcW w:w="140" w:type="dxa"/>
            <w:vAlign w:val="bottom"/>
            <w:shd w:val="clear" w:color="auto" w:fill="D9D9D6"/>
          </w:tcPr>
          <w:p>
            <w:pPr>
              <w:spacing w:after="0"/>
              <w:rPr>
                <w:sz w:val="11"/>
                <w:szCs w:val="11"/>
                <w:color w:val="auto"/>
              </w:rPr>
            </w:pPr>
          </w:p>
        </w:tc>
        <w:tc>
          <w:tcPr>
            <w:tcW w:w="180" w:type="dxa"/>
            <w:vAlign w:val="bottom"/>
            <w:shd w:val="clear" w:color="auto" w:fill="D9D9D6"/>
          </w:tcPr>
          <w:p>
            <w:pPr>
              <w:spacing w:after="0"/>
              <w:rPr>
                <w:sz w:val="11"/>
                <w:szCs w:val="11"/>
                <w:color w:val="auto"/>
              </w:rPr>
            </w:pPr>
          </w:p>
        </w:tc>
        <w:tc>
          <w:tcPr>
            <w:tcW w:w="160" w:type="dxa"/>
            <w:vAlign w:val="bottom"/>
            <w:shd w:val="clear" w:color="auto" w:fill="D9D9D6"/>
          </w:tcPr>
          <w:p>
            <w:pPr>
              <w:spacing w:after="0"/>
              <w:rPr>
                <w:sz w:val="11"/>
                <w:szCs w:val="11"/>
                <w:color w:val="auto"/>
              </w:rPr>
            </w:pPr>
          </w:p>
        </w:tc>
        <w:tc>
          <w:tcPr>
            <w:tcW w:w="300" w:type="dxa"/>
            <w:vAlign w:val="bottom"/>
            <w:shd w:val="clear" w:color="auto" w:fill="D9D9D6"/>
          </w:tcPr>
          <w:p>
            <w:pPr>
              <w:spacing w:after="0"/>
              <w:rPr>
                <w:sz w:val="11"/>
                <w:szCs w:val="11"/>
                <w:color w:val="auto"/>
              </w:rPr>
            </w:pPr>
          </w:p>
        </w:tc>
        <w:tc>
          <w:tcPr>
            <w:tcW w:w="80" w:type="dxa"/>
            <w:vAlign w:val="bottom"/>
            <w:shd w:val="clear" w:color="auto" w:fill="D9D9D6"/>
          </w:tcPr>
          <w:p>
            <w:pPr>
              <w:spacing w:after="0"/>
              <w:rPr>
                <w:sz w:val="11"/>
                <w:szCs w:val="11"/>
                <w:color w:val="auto"/>
              </w:rPr>
            </w:pPr>
          </w:p>
        </w:tc>
        <w:tc>
          <w:tcPr>
            <w:tcW w:w="38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c>
          <w:tcPr>
            <w:tcW w:w="200" w:type="dxa"/>
            <w:vAlign w:val="bottom"/>
            <w:shd w:val="clear" w:color="auto" w:fill="D9D9D6"/>
          </w:tcPr>
          <w:p>
            <w:pPr>
              <w:spacing w:after="0"/>
              <w:rPr>
                <w:sz w:val="11"/>
                <w:szCs w:val="11"/>
                <w:color w:val="auto"/>
              </w:rPr>
            </w:pPr>
          </w:p>
        </w:tc>
        <w:tc>
          <w:tcPr>
            <w:tcW w:w="500" w:type="dxa"/>
            <w:vAlign w:val="bottom"/>
            <w:shd w:val="clear" w:color="auto" w:fill="D9D9D6"/>
          </w:tcPr>
          <w:p>
            <w:pPr>
              <w:spacing w:after="0"/>
              <w:rPr>
                <w:sz w:val="11"/>
                <w:szCs w:val="11"/>
                <w:color w:val="auto"/>
              </w:rPr>
            </w:pPr>
          </w:p>
        </w:tc>
        <w:tc>
          <w:tcPr>
            <w:tcW w:w="30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-1619250</wp:posOffset>
            </wp:positionV>
            <wp:extent cx="1320165"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685800"/>
                    </a:xfrm>
                    <a:prstGeom prst="rect">
                      <a:avLst/>
                    </a:prstGeom>
                    <a:noFill/>
                  </pic:spPr>
                </pic:pic>
              </a:graphicData>
            </a:graphic>
          </wp:anchor>
        </w:drawing>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Sky decreased 5.8% to $4.5 billion in the first quarter of 2020 . Excluding the impact of currency, revenue decreased 3.7%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lower direct-to-consumer revenue, advertising revenue and content revenue. Direct-to-consumer revenue decreased 1.9% to $3.7 billion , primarily reflecting a decrease in average revenue per customer relationship due to the impact of COVID-19, which has resulted in lower sports subscription revenues, partially offset by an increase in customer relationships over the last twelve months. Advertising revenue decreased 11.6% to $ 513 million , primarily due to overall market weakness, which was worsened by COVID-19, as well as an unfavorable impact from a change in legislation related to gambling advertisements in the UK and Italy. Content revenue decreased 10.5% to $325 million</w:t>
      </w:r>
    </w:p>
    <w:p>
      <w:pPr>
        <w:spacing w:after="0" w:line="4" w:lineRule="exact"/>
        <w:rPr>
          <w:sz w:val="20"/>
          <w:szCs w:val="20"/>
          <w:color w:val="auto"/>
        </w:rPr>
      </w:pPr>
    </w:p>
    <w:p>
      <w:pPr>
        <w:ind w:firstLine="8"/>
        <w:spacing w:after="0" w:line="261" w:lineRule="auto"/>
        <w:tabs>
          <w:tab w:leader="none" w:pos="122"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reflecting the deferral of wholesale revenue from sports programming as a result of the postponement of sports events due to COVID-19.</w:t>
      </w:r>
    </w:p>
    <w:p>
      <w:pPr>
        <w:spacing w:after="0" w:line="17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decreased by 65,000 to 23.9 million in the first quarter of 2020 , reflecting the postponement of sports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suspension of certain sales channels due to COVID-19.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15"/>
        </w:trPr>
        <w:tc>
          <w:tcPr>
            <w:tcW w:w="624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5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5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580" w:type="dxa"/>
            <w:vAlign w:val="bottom"/>
            <w:tcBorders>
              <w:right w:val="single" w:sz="8" w:color="D9D9D6"/>
            </w:tcBorders>
            <w:shd w:val="clear" w:color="auto" w:fill="D9D9D6"/>
          </w:tcPr>
          <w:p>
            <w:pPr>
              <w:spacing w:after="0"/>
              <w:rPr>
                <w:sz w:val="24"/>
                <w:szCs w:val="24"/>
                <w:color w:val="auto"/>
              </w:rPr>
            </w:pPr>
          </w:p>
        </w:tc>
        <w:tc>
          <w:tcPr>
            <w:tcW w:w="30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r>
      <w:tr>
        <w:trPr>
          <w:trHeight w:val="306"/>
        </w:trPr>
        <w:tc>
          <w:tcPr>
            <w:tcW w:w="6240" w:type="dxa"/>
            <w:vAlign w:val="bottom"/>
            <w:shd w:val="clear" w:color="auto" w:fill="D9D9D6"/>
          </w:tcPr>
          <w:p>
            <w:pPr>
              <w:spacing w:after="0"/>
              <w:rPr>
                <w:sz w:val="24"/>
                <w:szCs w:val="24"/>
                <w:color w:val="auto"/>
              </w:rPr>
            </w:pPr>
          </w:p>
        </w:tc>
        <w:tc>
          <w:tcPr>
            <w:tcW w:w="54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760" w:type="dxa"/>
            <w:vAlign w:val="bottom"/>
            <w:tcBorders>
              <w:right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Customers</w:t>
            </w:r>
          </w:p>
        </w:tc>
        <w:tc>
          <w:tcPr>
            <w:tcW w:w="1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580" w:type="dxa"/>
            <w:vAlign w:val="bottom"/>
            <w:tcBorders>
              <w:right w:val="single" w:sz="8" w:color="D9D9D6"/>
            </w:tcBorders>
            <w:shd w:val="clear" w:color="auto" w:fill="D9D9D6"/>
          </w:tcPr>
          <w:p>
            <w:pPr>
              <w:spacing w:after="0"/>
              <w:rPr>
                <w:sz w:val="24"/>
                <w:szCs w:val="24"/>
                <w:color w:val="auto"/>
              </w:rPr>
            </w:pPr>
          </w:p>
        </w:tc>
        <w:tc>
          <w:tcPr>
            <w:tcW w:w="96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Net Additions</w:t>
            </w:r>
          </w:p>
        </w:tc>
        <w:tc>
          <w:tcPr>
            <w:tcW w:w="34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r>
      <w:tr>
        <w:trPr>
          <w:trHeight w:val="20"/>
        </w:trPr>
        <w:tc>
          <w:tcPr>
            <w:tcW w:w="624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Borders>
              <w:right w:val="single" w:sz="8" w:color="D9D9D6"/>
            </w:tcBorders>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580" w:type="dxa"/>
            <w:vAlign w:val="bottom"/>
            <w:tcBorders>
              <w:right w:val="single" w:sz="8" w:color="D9D9D6"/>
            </w:tcBorders>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40" w:type="dxa"/>
            <w:vAlign w:val="bottom"/>
            <w:shd w:val="clear" w:color="auto" w:fill="D9D9D6"/>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r>
      <w:tr>
        <w:trPr>
          <w:trHeight w:val="223"/>
        </w:trPr>
        <w:tc>
          <w:tcPr>
            <w:tcW w:w="624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w w:val="99"/>
              </w:rPr>
              <w:t>1Q20</w:t>
            </w:r>
          </w:p>
        </w:tc>
        <w:tc>
          <w:tcPr>
            <w:tcW w:w="5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9"/>
              </w:rPr>
              <w:t>1Q19</w:t>
            </w:r>
          </w:p>
        </w:tc>
        <w:tc>
          <w:tcPr>
            <w:tcW w:w="1580" w:type="dxa"/>
            <w:vAlign w:val="bottom"/>
            <w:tcBorders>
              <w:right w:val="single" w:sz="8" w:color="D9D9D6"/>
            </w:tcBorders>
            <w:shd w:val="clear" w:color="auto" w:fill="D9D9D6"/>
          </w:tcPr>
          <w:p>
            <w:pPr>
              <w:spacing w:after="0"/>
              <w:rPr>
                <w:sz w:val="19"/>
                <w:szCs w:val="19"/>
                <w:color w:val="auto"/>
              </w:rPr>
            </w:pPr>
          </w:p>
        </w:tc>
        <w:tc>
          <w:tcPr>
            <w:tcW w:w="960" w:type="dxa"/>
            <w:vAlign w:val="bottom"/>
            <w:gridSpan w:val="3"/>
            <w:shd w:val="clear" w:color="auto" w:fill="D9D9D6"/>
          </w:tcPr>
          <w:p>
            <w:pPr>
              <w:jc w:val="right"/>
              <w:ind w:right="660"/>
              <w:spacing w:after="0"/>
              <w:rPr>
                <w:sz w:val="20"/>
                <w:szCs w:val="20"/>
                <w:color w:val="auto"/>
              </w:rPr>
            </w:pPr>
            <w:r>
              <w:rPr>
                <w:rFonts w:ascii="Arial" w:cs="Arial" w:eastAsia="Arial" w:hAnsi="Arial"/>
                <w:sz w:val="14"/>
                <w:szCs w:val="14"/>
                <w:color w:val="auto"/>
                <w:w w:val="81"/>
              </w:rPr>
              <w:t>1Q20</w:t>
            </w:r>
          </w:p>
        </w:tc>
        <w:tc>
          <w:tcPr>
            <w:tcW w:w="560" w:type="dxa"/>
            <w:vAlign w:val="bottom"/>
            <w:gridSpan w:val="2"/>
            <w:shd w:val="clear" w:color="auto" w:fill="D9D9D6"/>
          </w:tcPr>
          <w:p>
            <w:pPr>
              <w:jc w:val="right"/>
              <w:ind w:right="220"/>
              <w:spacing w:after="0"/>
              <w:rPr>
                <w:sz w:val="20"/>
                <w:szCs w:val="20"/>
                <w:color w:val="auto"/>
              </w:rPr>
            </w:pPr>
            <w:r>
              <w:rPr>
                <w:rFonts w:ascii="Arial" w:cs="Arial" w:eastAsia="Arial" w:hAnsi="Arial"/>
                <w:sz w:val="14"/>
                <w:szCs w:val="14"/>
                <w:color w:val="auto"/>
                <w:w w:val="93"/>
              </w:rPr>
              <w:t>1Q19</w:t>
            </w:r>
          </w:p>
        </w:tc>
      </w:tr>
      <w:tr>
        <w:trPr>
          <w:trHeight w:val="20"/>
        </w:trPr>
        <w:tc>
          <w:tcPr>
            <w:tcW w:w="624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80" w:type="dxa"/>
            <w:vAlign w:val="bottom"/>
            <w:tcBorders>
              <w:right w:val="single" w:sz="8" w:color="auto"/>
            </w:tcBorders>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r>
      <w:tr>
        <w:trPr>
          <w:trHeight w:val="306"/>
        </w:trPr>
        <w:tc>
          <w:tcPr>
            <w:tcW w:w="6240" w:type="dxa"/>
            <w:vAlign w:val="bottom"/>
            <w:shd w:val="clear" w:color="auto" w:fill="D9D9D6"/>
          </w:tcPr>
          <w:p>
            <w:pPr>
              <w:ind w:left="280"/>
              <w:spacing w:after="0"/>
              <w:rPr>
                <w:sz w:val="20"/>
                <w:szCs w:val="20"/>
                <w:color w:val="auto"/>
              </w:rPr>
            </w:pPr>
            <w:r>
              <w:rPr>
                <w:rFonts w:ascii="Arial" w:cs="Arial" w:eastAsia="Arial" w:hAnsi="Arial"/>
                <w:sz w:val="14"/>
                <w:szCs w:val="14"/>
                <w:b w:val="1"/>
                <w:bCs w:val="1"/>
                <w:color w:val="auto"/>
              </w:rPr>
              <w:t>Total Customer Relationships</w:t>
            </w: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23,930</w:t>
            </w:r>
          </w:p>
        </w:tc>
        <w:tc>
          <w:tcPr>
            <w:tcW w:w="520" w:type="dxa"/>
            <w:vAlign w:val="bottom"/>
            <w:tcBorders>
              <w:right w:val="single" w:sz="8" w:color="D9D9D6"/>
            </w:tcBorders>
            <w:shd w:val="clear" w:color="auto" w:fill="D9D9D6"/>
          </w:tcPr>
          <w:p>
            <w:pPr>
              <w:spacing w:after="0"/>
              <w:rPr>
                <w:sz w:val="24"/>
                <w:szCs w:val="24"/>
                <w:color w:val="auto"/>
              </w:rPr>
            </w:pPr>
          </w:p>
        </w:tc>
        <w:tc>
          <w:tcPr>
            <w:tcW w:w="2060" w:type="dxa"/>
            <w:vAlign w:val="bottom"/>
            <w:tcBorders>
              <w:right w:val="single" w:sz="8" w:color="D9D9D6"/>
            </w:tcBorders>
            <w:gridSpan w:val="3"/>
            <w:shd w:val="clear" w:color="auto" w:fill="D9D9D6"/>
          </w:tcPr>
          <w:p>
            <w:pPr>
              <w:jc w:val="right"/>
              <w:ind w:right="1580"/>
              <w:spacing w:after="0"/>
              <w:rPr>
                <w:sz w:val="20"/>
                <w:szCs w:val="20"/>
                <w:color w:val="auto"/>
              </w:rPr>
            </w:pPr>
            <w:r>
              <w:rPr>
                <w:rFonts w:ascii="Arial" w:cs="Arial" w:eastAsia="Arial" w:hAnsi="Arial"/>
                <w:sz w:val="14"/>
                <w:szCs w:val="14"/>
                <w:b w:val="1"/>
                <w:bCs w:val="1"/>
                <w:color w:val="auto"/>
              </w:rPr>
              <w:t>23,712</w:t>
            </w:r>
          </w:p>
        </w:tc>
        <w:tc>
          <w:tcPr>
            <w:tcW w:w="860" w:type="dxa"/>
            <w:vAlign w:val="bottom"/>
            <w:gridSpan w:val="2"/>
            <w:shd w:val="clear" w:color="auto" w:fill="D9D9D6"/>
          </w:tcPr>
          <w:p>
            <w:pPr>
              <w:jc w:val="right"/>
              <w:ind w:right="500"/>
              <w:spacing w:after="0"/>
              <w:rPr>
                <w:sz w:val="20"/>
                <w:szCs w:val="20"/>
                <w:color w:val="auto"/>
              </w:rPr>
            </w:pPr>
            <w:r>
              <w:rPr>
                <w:rFonts w:ascii="Arial" w:cs="Arial" w:eastAsia="Arial" w:hAnsi="Arial"/>
                <w:sz w:val="14"/>
                <w:szCs w:val="14"/>
                <w:b w:val="1"/>
                <w:bCs w:val="1"/>
                <w:color w:val="auto"/>
              </w:rPr>
              <w:t>(65)</w:t>
            </w:r>
          </w:p>
        </w:tc>
        <w:tc>
          <w:tcPr>
            <w:tcW w:w="100" w:type="dxa"/>
            <w:vAlign w:val="bottom"/>
            <w:shd w:val="clear" w:color="auto" w:fill="D9D9D6"/>
          </w:tcPr>
          <w:p>
            <w:pPr>
              <w:spacing w:after="0"/>
              <w:rPr>
                <w:sz w:val="24"/>
                <w:szCs w:val="24"/>
                <w:color w:val="auto"/>
              </w:rPr>
            </w:pPr>
          </w:p>
        </w:tc>
        <w:tc>
          <w:tcPr>
            <w:tcW w:w="560" w:type="dxa"/>
            <w:vAlign w:val="bottom"/>
            <w:gridSpan w:val="2"/>
            <w:shd w:val="clear" w:color="auto" w:fill="D9D9D6"/>
          </w:tcPr>
          <w:p>
            <w:pPr>
              <w:jc w:val="right"/>
              <w:ind w:right="220"/>
              <w:spacing w:after="0"/>
              <w:rPr>
                <w:sz w:val="20"/>
                <w:szCs w:val="20"/>
                <w:color w:val="auto"/>
              </w:rPr>
            </w:pPr>
            <w:r>
              <w:rPr>
                <w:rFonts w:ascii="Arial" w:cs="Arial" w:eastAsia="Arial" w:hAnsi="Arial"/>
                <w:sz w:val="14"/>
                <w:szCs w:val="14"/>
                <w:b w:val="1"/>
                <w:bCs w:val="1"/>
                <w:color w:val="auto"/>
              </w:rPr>
              <w:t>112</w:t>
            </w:r>
          </w:p>
        </w:tc>
      </w:tr>
      <w:tr>
        <w:trPr>
          <w:trHeight w:val="133"/>
        </w:trPr>
        <w:tc>
          <w:tcPr>
            <w:tcW w:w="6240" w:type="dxa"/>
            <w:vAlign w:val="bottom"/>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240" w:type="dxa"/>
            <w:vAlign w:val="bottom"/>
            <w:shd w:val="clear" w:color="auto" w:fill="D9D9D6"/>
          </w:tcPr>
          <w:p>
            <w:pPr>
              <w:spacing w:after="0"/>
              <w:rPr>
                <w:sz w:val="11"/>
                <w:szCs w:val="11"/>
                <w:color w:val="auto"/>
              </w:rPr>
            </w:pPr>
          </w:p>
        </w:tc>
        <w:tc>
          <w:tcPr>
            <w:tcW w:w="520" w:type="dxa"/>
            <w:vAlign w:val="bottom"/>
            <w:tcBorders>
              <w:right w:val="single" w:sz="8" w:color="D9D9D6"/>
            </w:tcBorders>
            <w:shd w:val="clear" w:color="auto" w:fill="D9D9D6"/>
          </w:tcPr>
          <w:p>
            <w:pPr>
              <w:spacing w:after="0"/>
              <w:rPr>
                <w:sz w:val="11"/>
                <w:szCs w:val="11"/>
                <w:color w:val="auto"/>
              </w:rPr>
            </w:pPr>
          </w:p>
        </w:tc>
        <w:tc>
          <w:tcPr>
            <w:tcW w:w="120" w:type="dxa"/>
            <w:vAlign w:val="bottom"/>
            <w:shd w:val="clear" w:color="auto" w:fill="D9D9D6"/>
          </w:tcPr>
          <w:p>
            <w:pPr>
              <w:spacing w:after="0"/>
              <w:rPr>
                <w:sz w:val="11"/>
                <w:szCs w:val="11"/>
                <w:color w:val="auto"/>
              </w:rPr>
            </w:pPr>
          </w:p>
        </w:tc>
        <w:tc>
          <w:tcPr>
            <w:tcW w:w="360" w:type="dxa"/>
            <w:vAlign w:val="bottom"/>
            <w:shd w:val="clear" w:color="auto" w:fill="D9D9D6"/>
          </w:tcPr>
          <w:p>
            <w:pPr>
              <w:spacing w:after="0"/>
              <w:rPr>
                <w:sz w:val="11"/>
                <w:szCs w:val="11"/>
                <w:color w:val="auto"/>
              </w:rPr>
            </w:pPr>
          </w:p>
        </w:tc>
        <w:tc>
          <w:tcPr>
            <w:tcW w:w="1580" w:type="dxa"/>
            <w:vAlign w:val="bottom"/>
            <w:tcBorders>
              <w:right w:val="single" w:sz="8" w:color="D9D9D6"/>
            </w:tcBorders>
            <w:shd w:val="clear" w:color="auto" w:fill="D9D9D6"/>
          </w:tcPr>
          <w:p>
            <w:pPr>
              <w:spacing w:after="0"/>
              <w:rPr>
                <w:sz w:val="11"/>
                <w:szCs w:val="11"/>
                <w:color w:val="auto"/>
              </w:rPr>
            </w:pPr>
          </w:p>
        </w:tc>
        <w:tc>
          <w:tcPr>
            <w:tcW w:w="300" w:type="dxa"/>
            <w:vAlign w:val="bottom"/>
            <w:shd w:val="clear" w:color="auto" w:fill="D9D9D6"/>
          </w:tcPr>
          <w:p>
            <w:pPr>
              <w:spacing w:after="0"/>
              <w:rPr>
                <w:sz w:val="11"/>
                <w:szCs w:val="11"/>
                <w:color w:val="auto"/>
              </w:rPr>
            </w:pPr>
          </w:p>
        </w:tc>
        <w:tc>
          <w:tcPr>
            <w:tcW w:w="560" w:type="dxa"/>
            <w:vAlign w:val="bottom"/>
            <w:shd w:val="clear" w:color="auto" w:fill="D9D9D6"/>
          </w:tcPr>
          <w:p>
            <w:pPr>
              <w:spacing w:after="0"/>
              <w:rPr>
                <w:sz w:val="11"/>
                <w:szCs w:val="11"/>
                <w:color w:val="auto"/>
              </w:rPr>
            </w:pPr>
          </w:p>
        </w:tc>
        <w:tc>
          <w:tcPr>
            <w:tcW w:w="100" w:type="dxa"/>
            <w:vAlign w:val="bottom"/>
            <w:shd w:val="clear" w:color="auto" w:fill="D9D9D6"/>
          </w:tcPr>
          <w:p>
            <w:pPr>
              <w:spacing w:after="0"/>
              <w:rPr>
                <w:sz w:val="11"/>
                <w:szCs w:val="11"/>
                <w:color w:val="auto"/>
              </w:rPr>
            </w:pPr>
          </w:p>
        </w:tc>
        <w:tc>
          <w:tcPr>
            <w:tcW w:w="340" w:type="dxa"/>
            <w:vAlign w:val="bottom"/>
            <w:shd w:val="clear" w:color="auto" w:fill="D9D9D6"/>
          </w:tcPr>
          <w:p>
            <w:pPr>
              <w:spacing w:after="0"/>
              <w:rPr>
                <w:sz w:val="11"/>
                <w:szCs w:val="11"/>
                <w:color w:val="auto"/>
              </w:rPr>
            </w:pPr>
          </w:p>
        </w:tc>
        <w:tc>
          <w:tcPr>
            <w:tcW w:w="220" w:type="dxa"/>
            <w:vAlign w:val="bottom"/>
            <w:shd w:val="clear" w:color="auto" w:fill="D9D9D6"/>
          </w:tcPr>
          <w:p>
            <w:pPr>
              <w:spacing w:after="0"/>
              <w:rPr>
                <w:sz w:val="11"/>
                <w:szCs w:val="11"/>
                <w:color w:val="auto"/>
              </w:rPr>
            </w:pPr>
          </w:p>
        </w:tc>
      </w:tr>
    </w:tbl>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decreased 16.9% to $551 million in the first quarter of 2020 . Excluding the impact of currency,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15.3% , reflecting lower revenue, partially offset by a decrease in operating expenses. The decrease in operating expenses was primarily due to a decrease in the recognition of sports programming costs as a res ult of the postponement of sports events due to COVID-19.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Corporate, Other and Eliminations primarily relate to corporate operations, our streaming service, Peacock, and Comcast Spectacor, as well as eliminations among Comcast's businesses. For the quarter ended March 31, 2020 , the Corporate, Other and Eliminations Adjusted EBITDA loss was $244 million , an increase of $69 million compared to 2019 , primarily driven by start-up costs associated with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45"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5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See Table 4 for reconciliation of non-GAAP financial measure.</w:t>
      </w:r>
    </w:p>
    <w:p>
      <w:pPr>
        <w:spacing w:after="0" w:line="20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30, 2020 at 8:30 a.m. Eastern Time (ET). The conference call and related materials will be broadcast live and posted on its Investor Relations website at </w:t>
      </w:r>
      <w:r>
        <w:rPr>
          <w:rFonts w:ascii="Arial" w:cs="Arial" w:eastAsia="Arial" w:hAnsi="Arial"/>
          <w:sz w:val="16"/>
          <w:szCs w:val="16"/>
          <w:u w:val="single" w:color="auto"/>
          <w:color w:val="0000EE"/>
        </w:rPr>
        <w:t>www.cmcsa.com</w:t>
      </w:r>
      <w:r>
        <w:rPr>
          <w:rFonts w:ascii="Arial" w:cs="Arial" w:eastAsia="Arial" w:hAnsi="Arial"/>
          <w:sz w:val="16"/>
          <w:szCs w:val="16"/>
          <w:color w:val="auto"/>
        </w:rPr>
        <w:t xml:space="preserve"> . Those parties interested in participating via telephone should dial (800) 263-8495 with the conference ID number 9334849. A replay of the call will be available starting at 12:00 p.m. ET on April 30, 2020 , on the Investor Relations website or by telephone. To access the telephone replay, which will be available until Thursday, May 7, 2020 at midnight ET, please dial (855) 859-2056 and enter the conference ID number 9334849.</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EE"/>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EE"/>
        </w:rPr>
        <w:t>www.comcastcorporation.com</w:t>
      </w:r>
      <w:r>
        <w:rPr>
          <w:rFonts w:ascii="Arial" w:cs="Arial" w:eastAsia="Arial" w:hAnsi="Arial"/>
          <w:sz w:val="16"/>
          <w:szCs w:val="16"/>
          <w:color w:val="0000EE"/>
        </w:rPr>
        <w:t xml:space="preserve"> </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www.cmcsa.com</w:t>
      </w:r>
      <w:r>
        <w:rPr>
          <w:rFonts w:ascii="Arial" w:cs="Arial" w:eastAsia="Arial" w:hAnsi="Arial"/>
          <w:sz w:val="16"/>
          <w:szCs w:val="16"/>
          <w:color w:val="0000EE"/>
        </w:rPr>
        <w:t xml:space="preserve"> </w:t>
      </w:r>
      <w:r>
        <w:rPr>
          <w:rFonts w:ascii="Arial" w:cs="Arial" w:eastAsia="Arial" w:hAnsi="Arial"/>
          <w:sz w:val="16"/>
          <w:szCs w:val="16"/>
          <w:color w:val="000000"/>
        </w:rPr>
        <w:t>and subscribe to email alerts.</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44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16"/>
                <w:szCs w:val="16"/>
                <w:color w:val="auto"/>
              </w:rPr>
            </w:pPr>
          </w:p>
        </w:tc>
      </w:tr>
      <w:tr>
        <w:trPr>
          <w:trHeight w:val="675"/>
        </w:trPr>
        <w:tc>
          <w:tcPr>
            <w:tcW w:w="200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80" w:type="dxa"/>
            <w:vAlign w:val="bottom"/>
          </w:tcPr>
          <w:p>
            <w:pPr>
              <w:spacing w:after="0"/>
              <w:rPr>
                <w:sz w:val="24"/>
                <w:szCs w:val="24"/>
                <w:color w:val="auto"/>
              </w:rPr>
            </w:pPr>
          </w:p>
        </w:tc>
        <w:tc>
          <w:tcPr>
            <w:tcW w:w="344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740" w:type="dxa"/>
            <w:vAlign w:val="bottom"/>
          </w:tcPr>
          <w:p>
            <w:pPr>
              <w:spacing w:after="0"/>
              <w:rPr>
                <w:sz w:val="24"/>
                <w:szCs w:val="24"/>
                <w:color w:val="auto"/>
              </w:rPr>
            </w:pPr>
          </w:p>
        </w:tc>
      </w:tr>
      <w:tr>
        <w:trPr>
          <w:trHeight w:val="270"/>
        </w:trPr>
        <w:tc>
          <w:tcPr>
            <w:tcW w:w="2000" w:type="dxa"/>
            <w:vAlign w:val="bottom"/>
          </w:tcPr>
          <w:p>
            <w:pPr>
              <w:spacing w:after="0"/>
              <w:rPr>
                <w:sz w:val="20"/>
                <w:szCs w:val="20"/>
                <w:color w:val="auto"/>
              </w:rPr>
            </w:pPr>
            <w:r>
              <w:rPr>
                <w:rFonts w:ascii="Arial" w:cs="Arial" w:eastAsia="Arial" w:hAnsi="Arial"/>
                <w:sz w:val="16"/>
                <w:szCs w:val="16"/>
                <w:color w:val="auto"/>
              </w:rPr>
              <w:t>Marci Ryvicker</w:t>
            </w:r>
          </w:p>
        </w:tc>
        <w:tc>
          <w:tcPr>
            <w:tcW w:w="2580" w:type="dxa"/>
            <w:vAlign w:val="bottom"/>
          </w:tcPr>
          <w:p>
            <w:pPr>
              <w:jc w:val="right"/>
              <w:ind w:right="799"/>
              <w:spacing w:after="0"/>
              <w:rPr>
                <w:sz w:val="20"/>
                <w:szCs w:val="20"/>
                <w:color w:val="auto"/>
              </w:rPr>
            </w:pPr>
            <w:r>
              <w:rPr>
                <w:rFonts w:ascii="Arial" w:cs="Arial" w:eastAsia="Arial" w:hAnsi="Arial"/>
                <w:sz w:val="16"/>
                <w:szCs w:val="16"/>
                <w:color w:val="auto"/>
              </w:rPr>
              <w:t>(215) 286-4781</w:t>
            </w:r>
          </w:p>
        </w:tc>
        <w:tc>
          <w:tcPr>
            <w:tcW w:w="344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740" w:type="dxa"/>
            <w:vAlign w:val="bottom"/>
          </w:tcPr>
          <w:p>
            <w:pPr>
              <w:jc w:val="right"/>
              <w:spacing w:after="0"/>
              <w:rPr>
                <w:sz w:val="20"/>
                <w:szCs w:val="20"/>
                <w:color w:val="auto"/>
              </w:rPr>
            </w:pPr>
            <w:r>
              <w:rPr>
                <w:rFonts w:ascii="Arial" w:cs="Arial" w:eastAsia="Arial" w:hAnsi="Arial"/>
                <w:sz w:val="16"/>
                <w:szCs w:val="16"/>
                <w:color w:val="auto"/>
              </w:rPr>
              <w:t>(215) 286-7408</w:t>
            </w:r>
          </w:p>
        </w:tc>
      </w:tr>
      <w:tr>
        <w:trPr>
          <w:trHeight w:val="270"/>
        </w:trPr>
        <w:tc>
          <w:tcPr>
            <w:tcW w:w="2000" w:type="dxa"/>
            <w:vAlign w:val="bottom"/>
          </w:tcPr>
          <w:p>
            <w:pPr>
              <w:spacing w:after="0"/>
              <w:rPr>
                <w:sz w:val="20"/>
                <w:szCs w:val="20"/>
                <w:color w:val="auto"/>
              </w:rPr>
            </w:pPr>
            <w:r>
              <w:rPr>
                <w:rFonts w:ascii="Arial" w:cs="Arial" w:eastAsia="Arial" w:hAnsi="Arial"/>
                <w:sz w:val="16"/>
                <w:szCs w:val="16"/>
                <w:color w:val="auto"/>
              </w:rPr>
              <w:t>Jane Kearns</w:t>
            </w:r>
          </w:p>
        </w:tc>
        <w:tc>
          <w:tcPr>
            <w:tcW w:w="2580" w:type="dxa"/>
            <w:vAlign w:val="bottom"/>
          </w:tcPr>
          <w:p>
            <w:pPr>
              <w:jc w:val="right"/>
              <w:ind w:right="799"/>
              <w:spacing w:after="0"/>
              <w:rPr>
                <w:sz w:val="20"/>
                <w:szCs w:val="20"/>
                <w:color w:val="auto"/>
              </w:rPr>
            </w:pPr>
            <w:r>
              <w:rPr>
                <w:rFonts w:ascii="Arial" w:cs="Arial" w:eastAsia="Arial" w:hAnsi="Arial"/>
                <w:sz w:val="16"/>
                <w:szCs w:val="16"/>
                <w:color w:val="auto"/>
              </w:rPr>
              <w:t>(215) 286-4794</w:t>
            </w:r>
          </w:p>
        </w:tc>
        <w:tc>
          <w:tcPr>
            <w:tcW w:w="344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740" w:type="dxa"/>
            <w:vAlign w:val="bottom"/>
          </w:tcPr>
          <w:p>
            <w:pPr>
              <w:jc w:val="right"/>
              <w:spacing w:after="0"/>
              <w:rPr>
                <w:sz w:val="20"/>
                <w:szCs w:val="20"/>
                <w:color w:val="auto"/>
              </w:rPr>
            </w:pPr>
            <w:r>
              <w:rPr>
                <w:rFonts w:ascii="Arial" w:cs="Arial" w:eastAsia="Arial" w:hAnsi="Arial"/>
                <w:sz w:val="16"/>
                <w:szCs w:val="16"/>
                <w:color w:val="auto"/>
              </w:rPr>
              <w:t>(215) 286-8011</w:t>
            </w:r>
          </w:p>
        </w:tc>
      </w:tr>
      <w:tr>
        <w:trPr>
          <w:trHeight w:val="270"/>
        </w:trPr>
        <w:tc>
          <w:tcPr>
            <w:tcW w:w="2000" w:type="dxa"/>
            <w:vAlign w:val="bottom"/>
          </w:tcPr>
          <w:p>
            <w:pPr>
              <w:spacing w:after="0"/>
              <w:rPr>
                <w:sz w:val="20"/>
                <w:szCs w:val="20"/>
                <w:color w:val="auto"/>
              </w:rPr>
            </w:pPr>
            <w:r>
              <w:rPr>
                <w:rFonts w:ascii="Arial" w:cs="Arial" w:eastAsia="Arial" w:hAnsi="Arial"/>
                <w:sz w:val="16"/>
                <w:szCs w:val="16"/>
                <w:color w:val="auto"/>
              </w:rPr>
              <w:t>Marc Kaplan</w:t>
            </w:r>
          </w:p>
        </w:tc>
        <w:tc>
          <w:tcPr>
            <w:tcW w:w="2580" w:type="dxa"/>
            <w:vAlign w:val="bottom"/>
          </w:tcPr>
          <w:p>
            <w:pPr>
              <w:jc w:val="right"/>
              <w:ind w:right="799"/>
              <w:spacing w:after="0"/>
              <w:rPr>
                <w:sz w:val="20"/>
                <w:szCs w:val="20"/>
                <w:color w:val="auto"/>
              </w:rPr>
            </w:pPr>
            <w:r>
              <w:rPr>
                <w:rFonts w:ascii="Arial" w:cs="Arial" w:eastAsia="Arial" w:hAnsi="Arial"/>
                <w:sz w:val="16"/>
                <w:szCs w:val="16"/>
                <w:color w:val="auto"/>
              </w:rPr>
              <w:t>(215) 286-6527</w:t>
            </w:r>
          </w:p>
        </w:tc>
        <w:tc>
          <w:tcPr>
            <w:tcW w:w="3440" w:type="dxa"/>
            <w:vAlign w:val="bottom"/>
          </w:tcPr>
          <w:p>
            <w:pPr>
              <w:spacing w:after="0"/>
              <w:rPr>
                <w:sz w:val="23"/>
                <w:szCs w:val="23"/>
                <w:color w:val="auto"/>
              </w:rPr>
            </w:pPr>
          </w:p>
        </w:tc>
        <w:tc>
          <w:tcPr>
            <w:tcW w:w="1740" w:type="dxa"/>
            <w:vAlign w:val="bottom"/>
          </w:tcPr>
          <w:p>
            <w:pPr>
              <w:spacing w:after="0"/>
              <w:rPr>
                <w:sz w:val="23"/>
                <w:szCs w:val="23"/>
                <w:color w:val="auto"/>
              </w:rPr>
            </w:pPr>
          </w:p>
        </w:tc>
      </w:tr>
    </w:tbl>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NBCUniversal, and Sky.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Comcast Cable is one of the United States’ largest high-speed internet, video, and phone providers to residential customers under the Xfinity brand, and also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provides these services to businesses. It also provides wireless and security and automation services to residential customers under the Xfinity brand.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NBCUniversal is global and operates news, entertainment and sports cable networks, the NBC and Telemundo broadcast networks, television production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operations, television station groups, Universal Pictures, and Universal Parks and Resorts. Sky is one of Europe's leading media and entertainment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companies, connecting customers to a broad range of video content through its pay television services. It also provides communications services, including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residential high-speed internet, phone, and wireless services. Sky operates the Sky News broadcast network and sports and entertainment networks,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produces original content, and has exclusive content rights.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Visit www.comcastcorporation.com for more information.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6294755</wp:posOffset>
            </wp:positionH>
            <wp:positionV relativeFrom="page">
              <wp:posOffset>466090</wp:posOffset>
            </wp:positionV>
            <wp:extent cx="102870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060" w:type="dxa"/>
            <w:vAlign w:val="bottom"/>
          </w:tcPr>
          <w:p>
            <w:pPr>
              <w:spacing w:after="0"/>
              <w:rPr>
                <w:sz w:val="18"/>
                <w:szCs w:val="18"/>
                <w:color w:val="auto"/>
              </w:rPr>
            </w:pPr>
          </w:p>
        </w:tc>
        <w:tc>
          <w:tcPr>
            <w:tcW w:w="21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906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14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March 31,</w:t>
            </w:r>
          </w:p>
        </w:tc>
      </w:tr>
      <w:tr>
        <w:trPr>
          <w:trHeight w:val="283"/>
        </w:trPr>
        <w:tc>
          <w:tcPr>
            <w:tcW w:w="9060" w:type="dxa"/>
            <w:vAlign w:val="bottom"/>
          </w:tcPr>
          <w:p>
            <w:pPr>
              <w:spacing w:after="0"/>
              <w:rPr>
                <w:sz w:val="24"/>
                <w:szCs w:val="24"/>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r>
      <w:tr>
        <w:trPr>
          <w:trHeight w:val="250"/>
        </w:trPr>
        <w:tc>
          <w:tcPr>
            <w:tcW w:w="90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$26,609</w:t>
            </w:r>
          </w:p>
        </w:tc>
        <w:tc>
          <w:tcPr>
            <w:tcW w:w="1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$26,859</w:t>
            </w:r>
          </w:p>
        </w:tc>
      </w:tr>
      <w:tr>
        <w:trPr>
          <w:trHeight w:val="594"/>
        </w:trPr>
        <w:tc>
          <w:tcPr>
            <w:tcW w:w="906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8,301</w:t>
            </w:r>
          </w:p>
        </w:tc>
        <w:tc>
          <w:tcPr>
            <w:tcW w:w="1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8,569</w:t>
            </w:r>
          </w:p>
        </w:tc>
      </w:tr>
      <w:tr>
        <w:trPr>
          <w:trHeight w:val="270"/>
        </w:trPr>
        <w:tc>
          <w:tcPr>
            <w:tcW w:w="906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8,254</w:t>
            </w:r>
          </w:p>
        </w:tc>
        <w:tc>
          <w:tcPr>
            <w:tcW w:w="1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7,900</w:t>
            </w:r>
          </w:p>
        </w:tc>
      </w:tr>
      <w:tr>
        <w:trPr>
          <w:trHeight w:val="270"/>
        </w:trPr>
        <w:tc>
          <w:tcPr>
            <w:tcW w:w="906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1,938</w:t>
            </w:r>
          </w:p>
        </w:tc>
        <w:tc>
          <w:tcPr>
            <w:tcW w:w="1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1,888</w:t>
            </w:r>
          </w:p>
        </w:tc>
      </w:tr>
      <w:tr>
        <w:trPr>
          <w:trHeight w:val="289"/>
        </w:trPr>
        <w:tc>
          <w:tcPr>
            <w:tcW w:w="9060" w:type="dxa"/>
            <w:vAlign w:val="bottom"/>
          </w:tcPr>
          <w:p>
            <w:pPr>
              <w:ind w:left="460"/>
              <w:spacing w:after="0" w:line="290" w:lineRule="exact"/>
              <w:rPr>
                <w:sz w:val="20"/>
                <w:szCs w:val="20"/>
                <w:color w:val="auto"/>
              </w:rPr>
            </w:pPr>
            <w:r>
              <w:rPr>
                <w:rFonts w:ascii="Arial" w:cs="Arial" w:eastAsia="Arial" w:hAnsi="Arial"/>
                <w:sz w:val="16"/>
                <w:szCs w:val="16"/>
                <w:color w:val="auto"/>
              </w:rPr>
              <w:t xml:space="preserve">Adjustments </w:t>
            </w:r>
            <w:r>
              <w:rPr>
                <w:rFonts w:ascii="Arial" w:cs="Arial" w:eastAsia="Arial" w:hAnsi="Arial"/>
                <w:sz w:val="26"/>
                <w:szCs w:val="26"/>
                <w:color w:val="auto"/>
                <w:vertAlign w:val="superscript"/>
              </w:rPr>
              <w:t>(1)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43"/>
        </w:trPr>
        <w:tc>
          <w:tcPr>
            <w:tcW w:w="9060" w:type="dxa"/>
            <w:vAlign w:val="bottom"/>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18,479</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18,306</w:t>
            </w:r>
          </w:p>
        </w:tc>
      </w:tr>
      <w:tr>
        <w:trPr>
          <w:trHeight w:val="723"/>
        </w:trPr>
        <w:tc>
          <w:tcPr>
            <w:tcW w:w="9060" w:type="dxa"/>
            <w:vAlign w:val="bottom"/>
          </w:tcPr>
          <w:p>
            <w:pPr>
              <w:spacing w:after="0"/>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26"/>
                <w:szCs w:val="26"/>
                <w:b w:val="1"/>
                <w:bCs w:val="1"/>
                <w:color w:val="auto"/>
                <w:vertAlign w:val="superscript"/>
              </w:rPr>
              <w:t>(1)</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8,130</w:t>
            </w:r>
          </w:p>
        </w:tc>
        <w:tc>
          <w:tcPr>
            <w:tcW w:w="1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8,553</w:t>
            </w:r>
          </w:p>
        </w:tc>
      </w:tr>
      <w:tr>
        <w:trPr>
          <w:trHeight w:val="501"/>
        </w:trPr>
        <w:tc>
          <w:tcPr>
            <w:tcW w:w="9060" w:type="dxa"/>
            <w:vAlign w:val="bottom"/>
          </w:tcPr>
          <w:p>
            <w:pPr>
              <w:ind w:left="460"/>
              <w:spacing w:after="0"/>
              <w:rPr>
                <w:sz w:val="20"/>
                <w:szCs w:val="20"/>
                <w:color w:val="auto"/>
              </w:rPr>
            </w:pPr>
            <w:r>
              <w:rPr>
                <w:rFonts w:ascii="Arial" w:cs="Arial" w:eastAsia="Arial" w:hAnsi="Arial"/>
                <w:sz w:val="16"/>
                <w:szCs w:val="16"/>
                <w:color w:val="auto"/>
              </w:rPr>
              <w:t xml:space="preserve">Adjustments </w:t>
            </w:r>
            <w:r>
              <w:rPr>
                <w:rFonts w:ascii="Arial" w:cs="Arial" w:eastAsia="Arial" w:hAnsi="Arial"/>
                <w:sz w:val="26"/>
                <w:szCs w:val="26"/>
                <w:color w:val="auto"/>
                <w:vertAlign w:val="superscript"/>
              </w:rPr>
              <w:t>(1)</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15"/>
        </w:trPr>
        <w:tc>
          <w:tcPr>
            <w:tcW w:w="9060" w:type="dxa"/>
            <w:vAlign w:val="bottom"/>
          </w:tcPr>
          <w:p>
            <w:pPr>
              <w:ind w:left="460"/>
              <w:spacing w:after="0"/>
              <w:rPr>
                <w:sz w:val="20"/>
                <w:szCs w:val="20"/>
                <w:color w:val="auto"/>
              </w:rPr>
            </w:pPr>
            <w:r>
              <w:rPr>
                <w:rFonts w:ascii="Arial" w:cs="Arial" w:eastAsia="Arial" w:hAnsi="Arial"/>
                <w:sz w:val="16"/>
                <w:szCs w:val="16"/>
                <w:color w:val="auto"/>
              </w:rPr>
              <w:t>Depreciation expense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2,107</w:t>
            </w:r>
          </w:p>
        </w:tc>
        <w:tc>
          <w:tcPr>
            <w:tcW w:w="1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2,240</w:t>
            </w:r>
          </w:p>
        </w:tc>
      </w:tr>
      <w:tr>
        <w:trPr>
          <w:trHeight w:val="283"/>
        </w:trPr>
        <w:tc>
          <w:tcPr>
            <w:tcW w:w="9060" w:type="dxa"/>
            <w:vAlign w:val="bottom"/>
          </w:tcPr>
          <w:p>
            <w:pPr>
              <w:ind w:left="460"/>
              <w:spacing w:after="0"/>
              <w:rPr>
                <w:sz w:val="20"/>
                <w:szCs w:val="20"/>
                <w:color w:val="auto"/>
              </w:rPr>
            </w:pPr>
            <w:r>
              <w:rPr>
                <w:rFonts w:ascii="Arial" w:cs="Arial" w:eastAsia="Arial" w:hAnsi="Arial"/>
                <w:sz w:val="16"/>
                <w:szCs w:val="16"/>
                <w:color w:val="auto"/>
              </w:rPr>
              <w:t>Amortization expense</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1,157</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1,080</w:t>
            </w:r>
          </w:p>
        </w:tc>
      </w:tr>
      <w:tr>
        <w:trPr>
          <w:trHeight w:val="250"/>
        </w:trPr>
        <w:tc>
          <w:tcPr>
            <w:tcW w:w="9060" w:type="dxa"/>
            <w:vAlign w:val="bottom"/>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3,278</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3,371</w:t>
            </w:r>
          </w:p>
        </w:tc>
      </w:tr>
      <w:tr>
        <w:trPr>
          <w:trHeight w:val="534"/>
        </w:trPr>
        <w:tc>
          <w:tcPr>
            <w:tcW w:w="90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4,852</w:t>
            </w:r>
          </w:p>
        </w:tc>
        <w:tc>
          <w:tcPr>
            <w:tcW w:w="1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5,182</w:t>
            </w:r>
          </w:p>
        </w:tc>
      </w:tr>
      <w:tr>
        <w:trPr>
          <w:trHeight w:val="594"/>
        </w:trPr>
        <w:tc>
          <w:tcPr>
            <w:tcW w:w="9060" w:type="dxa"/>
            <w:vAlign w:val="bottom"/>
          </w:tcPr>
          <w:p>
            <w:pPr>
              <w:spacing w:after="0"/>
              <w:rPr>
                <w:sz w:val="20"/>
                <w:szCs w:val="20"/>
                <w:color w:val="auto"/>
              </w:rPr>
            </w:pPr>
            <w:r>
              <w:rPr>
                <w:rFonts w:ascii="Arial" w:cs="Arial" w:eastAsia="Arial" w:hAnsi="Arial"/>
                <w:sz w:val="16"/>
                <w:szCs w:val="16"/>
                <w:color w:val="auto"/>
              </w:rPr>
              <w:t>Interest expense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(1,212)</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594"/>
        </w:trPr>
        <w:tc>
          <w:tcPr>
            <w:tcW w:w="906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906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(668)</w:t>
            </w:r>
          </w:p>
        </w:tc>
        <w:tc>
          <w:tcPr>
            <w:tcW w:w="1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270"/>
        </w:trPr>
        <w:tc>
          <w:tcPr>
            <w:tcW w:w="906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283"/>
        </w:trPr>
        <w:tc>
          <w:tcPr>
            <w:tcW w:w="906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r>
      <w:tr>
        <w:trPr>
          <w:trHeight w:val="250"/>
        </w:trPr>
        <w:tc>
          <w:tcPr>
            <w:tcW w:w="90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(716)</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676</w:t>
            </w:r>
          </w:p>
        </w:tc>
      </w:tr>
      <w:tr>
        <w:trPr>
          <w:trHeight w:val="575"/>
        </w:trPr>
        <w:tc>
          <w:tcPr>
            <w:tcW w:w="90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2,924</w:t>
            </w:r>
          </w:p>
        </w:tc>
        <w:tc>
          <w:tcPr>
            <w:tcW w:w="1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4,708</w:t>
            </w:r>
          </w:p>
        </w:tc>
      </w:tr>
      <w:tr>
        <w:trPr>
          <w:trHeight w:val="607"/>
        </w:trPr>
        <w:tc>
          <w:tcPr>
            <w:tcW w:w="9060" w:type="dxa"/>
            <w:vAlign w:val="bottom"/>
          </w:tcPr>
          <w:p>
            <w:pPr>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(700)</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w:t>
            </w:r>
          </w:p>
        </w:tc>
      </w:tr>
      <w:tr>
        <w:trPr>
          <w:trHeight w:val="574"/>
        </w:trPr>
        <w:tc>
          <w:tcPr>
            <w:tcW w:w="90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2,224</w:t>
            </w:r>
          </w:p>
        </w:tc>
        <w:tc>
          <w:tcPr>
            <w:tcW w:w="1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3,632</w:t>
            </w:r>
          </w:p>
        </w:tc>
      </w:tr>
      <w:tr>
        <w:trPr>
          <w:trHeight w:val="594"/>
        </w:trPr>
        <w:tc>
          <w:tcPr>
            <w:tcW w:w="906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 preferred stock</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77</w:t>
            </w:r>
          </w:p>
        </w:tc>
        <w:tc>
          <w:tcPr>
            <w:tcW w:w="10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344"/>
        </w:trPr>
        <w:tc>
          <w:tcPr>
            <w:tcW w:w="90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0"/>
        </w:trPr>
        <w:tc>
          <w:tcPr>
            <w:tcW w:w="906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$2,147</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$3,553</w:t>
            </w:r>
          </w:p>
        </w:tc>
      </w:tr>
      <w:tr>
        <w:trPr>
          <w:trHeight w:val="20"/>
        </w:trPr>
        <w:tc>
          <w:tcPr>
            <w:tcW w:w="9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64"/>
        </w:trPr>
        <w:tc>
          <w:tcPr>
            <w:tcW w:w="906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$0.46</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$0.77</w:t>
            </w:r>
          </w:p>
        </w:tc>
      </w:tr>
      <w:tr>
        <w:trPr>
          <w:trHeight w:val="20"/>
        </w:trPr>
        <w:tc>
          <w:tcPr>
            <w:tcW w:w="9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1"/>
        </w:trPr>
        <w:tc>
          <w:tcPr>
            <w:tcW w:w="906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4,617</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4,594</w:t>
            </w:r>
          </w:p>
        </w:tc>
      </w:tr>
      <w:tr>
        <w:trPr>
          <w:trHeight w:val="20"/>
        </w:trPr>
        <w:tc>
          <w:tcPr>
            <w:tcW w:w="9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(1) See Table 4 for reconciliation of non-GAAP financial measure.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11" w:name="page12"/>
    <w:bookmarkEnd w:id="11"/>
    <w:p>
      <w:pPr>
        <w:ind w:left="4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6294755</wp:posOffset>
            </wp:positionH>
            <wp:positionV relativeFrom="page">
              <wp:posOffset>466090</wp:posOffset>
            </wp:positionV>
            <wp:extent cx="102870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Pr>
          <w:p>
            <w:pPr>
              <w:spacing w:after="0"/>
              <w:rPr>
                <w:sz w:val="18"/>
                <w:szCs w:val="18"/>
                <w:color w:val="auto"/>
              </w:rPr>
            </w:pPr>
          </w:p>
        </w:tc>
        <w:tc>
          <w:tcPr>
            <w:tcW w:w="2240" w:type="dxa"/>
            <w:vAlign w:val="bottom"/>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43"/>
        </w:trPr>
        <w:tc>
          <w:tcPr>
            <w:tcW w:w="9000" w:type="dxa"/>
            <w:vAlign w:val="bottom"/>
          </w:tcPr>
          <w:p>
            <w:pPr>
              <w:ind w:left="40"/>
              <w:spacing w:after="0"/>
              <w:rPr>
                <w:sz w:val="20"/>
                <w:szCs w:val="20"/>
                <w:color w:val="auto"/>
              </w:rPr>
            </w:pPr>
            <w:r>
              <w:rPr>
                <w:rFonts w:ascii="Arial" w:cs="Arial" w:eastAsia="Arial" w:hAnsi="Arial"/>
                <w:sz w:val="16"/>
                <w:szCs w:val="16"/>
                <w:color w:val="auto"/>
              </w:rPr>
              <w:t>(in millions)</w:t>
            </w:r>
          </w:p>
        </w:tc>
        <w:tc>
          <w:tcPr>
            <w:tcW w:w="1540" w:type="dxa"/>
            <w:vAlign w:val="bottom"/>
            <w:gridSpan w:val="3"/>
          </w:tcPr>
          <w:p>
            <w:pPr>
              <w:ind w:left="760"/>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9000" w:type="dxa"/>
            <w:vAlign w:val="bottom"/>
          </w:tcPr>
          <w:p>
            <w:pPr>
              <w:spacing w:after="0"/>
              <w:rPr>
                <w:sz w:val="24"/>
                <w:szCs w:val="24"/>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521"/>
        </w:trPr>
        <w:tc>
          <w:tcPr>
            <w:tcW w:w="900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$2,224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$3,632</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00" w:type="dxa"/>
            <w:vAlign w:val="bottom"/>
          </w:tcPr>
          <w:p>
            <w:pPr>
              <w:ind w:left="6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3,264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3,320</w:t>
            </w:r>
          </w:p>
        </w:tc>
        <w:tc>
          <w:tcPr>
            <w:tcW w:w="0" w:type="dxa"/>
            <w:vAlign w:val="bottom"/>
          </w:tcPr>
          <w:p>
            <w:pPr>
              <w:spacing w:after="0"/>
              <w:rPr>
                <w:sz w:val="1"/>
                <w:szCs w:val="1"/>
                <w:color w:val="auto"/>
              </w:rPr>
            </w:pPr>
          </w:p>
        </w:tc>
      </w:tr>
      <w:tr>
        <w:trPr>
          <w:trHeight w:val="270"/>
        </w:trPr>
        <w:tc>
          <w:tcPr>
            <w:tcW w:w="9000" w:type="dxa"/>
            <w:vAlign w:val="bottom"/>
          </w:tcPr>
          <w:p>
            <w:pPr>
              <w:ind w:left="60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298</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70"/>
        </w:trPr>
        <w:tc>
          <w:tcPr>
            <w:tcW w:w="9000" w:type="dxa"/>
            <w:vAlign w:val="bottom"/>
          </w:tcPr>
          <w:p>
            <w:pPr>
              <w:ind w:left="600"/>
              <w:spacing w:after="0"/>
              <w:rPr>
                <w:sz w:val="20"/>
                <w:szCs w:val="20"/>
                <w:color w:val="auto"/>
              </w:rPr>
            </w:pPr>
            <w:r>
              <w:rPr>
                <w:rFonts w:ascii="Arial" w:cs="Arial" w:eastAsia="Arial" w:hAnsi="Arial"/>
                <w:sz w:val="16"/>
                <w:szCs w:val="16"/>
                <w:color w:val="auto"/>
              </w:rPr>
              <w:t>Noncash interest expense (income), net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227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70"/>
        </w:trPr>
        <w:tc>
          <w:tcPr>
            <w:tcW w:w="9000" w:type="dxa"/>
            <w:vAlign w:val="bottom"/>
          </w:tcPr>
          <w:p>
            <w:pPr>
              <w:ind w:left="600"/>
              <w:spacing w:after="0"/>
              <w:rPr>
                <w:sz w:val="20"/>
                <w:szCs w:val="20"/>
                <w:color w:val="auto"/>
              </w:rPr>
            </w:pPr>
            <w:r>
              <w:rPr>
                <w:rFonts w:ascii="Arial" w:cs="Arial" w:eastAsia="Arial" w:hAnsi="Arial"/>
                <w:sz w:val="16"/>
                <w:szCs w:val="16"/>
                <w:color w:val="auto"/>
              </w:rPr>
              <w:t>Net (gain) loss on investment activity and other</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791</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70"/>
        </w:trPr>
        <w:tc>
          <w:tcPr>
            <w:tcW w:w="9000" w:type="dxa"/>
            <w:vAlign w:val="bottom"/>
          </w:tcPr>
          <w:p>
            <w:pPr>
              <w:ind w:left="600"/>
              <w:spacing w:after="0"/>
              <w:rPr>
                <w:sz w:val="20"/>
                <w:szCs w:val="20"/>
                <w:color w:val="auto"/>
              </w:rPr>
            </w:pPr>
            <w:r>
              <w:rPr>
                <w:rFonts w:ascii="Arial" w:cs="Arial" w:eastAsia="Arial" w:hAnsi="Arial"/>
                <w:sz w:val="16"/>
                <w:szCs w:val="16"/>
                <w:color w:val="auto"/>
              </w:rPr>
              <w:t>Deferred income taxes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00" w:type="dxa"/>
            <w:vAlign w:val="bottom"/>
          </w:tcPr>
          <w:p>
            <w:pPr>
              <w:ind w:left="600"/>
              <w:spacing w:after="0"/>
              <w:rPr>
                <w:sz w:val="20"/>
                <w:szCs w:val="20"/>
                <w:color w:val="auto"/>
              </w:rPr>
            </w:pPr>
            <w:r>
              <w:rPr>
                <w:rFonts w:ascii="Arial" w:cs="Arial" w:eastAsia="Arial" w:hAnsi="Arial"/>
                <w:sz w:val="16"/>
                <w:szCs w:val="16"/>
                <w:color w:val="auto"/>
              </w:rPr>
              <w:t>Current and noncurrent receivables, net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198</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70"/>
        </w:trPr>
        <w:tc>
          <w:tcPr>
            <w:tcW w:w="9000" w:type="dxa"/>
            <w:vAlign w:val="bottom"/>
          </w:tcPr>
          <w:p>
            <w:pPr>
              <w:ind w:left="600"/>
              <w:spacing w:after="0"/>
              <w:rPr>
                <w:sz w:val="20"/>
                <w:szCs w:val="20"/>
                <w:color w:val="auto"/>
              </w:rPr>
            </w:pPr>
            <w:r>
              <w:rPr>
                <w:rFonts w:ascii="Arial" w:cs="Arial" w:eastAsia="Arial" w:hAnsi="Arial"/>
                <w:sz w:val="16"/>
                <w:szCs w:val="16"/>
                <w:color w:val="auto"/>
              </w:rPr>
              <w:t>Film and television costs, net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70"/>
        </w:trPr>
        <w:tc>
          <w:tcPr>
            <w:tcW w:w="9000" w:type="dxa"/>
            <w:vAlign w:val="bottom"/>
          </w:tcPr>
          <w:p>
            <w:pPr>
              <w:ind w:left="60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(727)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83"/>
        </w:trPr>
        <w:tc>
          <w:tcPr>
            <w:tcW w:w="9000" w:type="dxa"/>
            <w:vAlign w:val="bottom"/>
          </w:tcPr>
          <w:p>
            <w:pPr>
              <w:ind w:left="600"/>
              <w:spacing w:after="0"/>
              <w:rPr>
                <w:sz w:val="20"/>
                <w:szCs w:val="20"/>
                <w:color w:val="auto"/>
              </w:rPr>
            </w:pPr>
            <w:r>
              <w:rPr>
                <w:rFonts w:ascii="Arial" w:cs="Arial" w:eastAsia="Arial" w:hAnsi="Arial"/>
                <w:sz w:val="16"/>
                <w:szCs w:val="16"/>
                <w:color w:val="auto"/>
              </w:rPr>
              <w:t>Other operating assets and liabilities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533"/>
        </w:trPr>
        <w:tc>
          <w:tcPr>
            <w:tcW w:w="9000" w:type="dxa"/>
            <w:vAlign w:val="bottom"/>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5,824</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7,231</w:t>
            </w:r>
          </w:p>
        </w:tc>
        <w:tc>
          <w:tcPr>
            <w:tcW w:w="0" w:type="dxa"/>
            <w:vAlign w:val="bottom"/>
          </w:tcPr>
          <w:p>
            <w:pPr>
              <w:spacing w:after="0"/>
              <w:rPr>
                <w:sz w:val="1"/>
                <w:szCs w:val="1"/>
                <w:color w:val="auto"/>
              </w:rPr>
            </w:pPr>
          </w:p>
        </w:tc>
      </w:tr>
      <w:tr>
        <w:trPr>
          <w:trHeight w:val="520"/>
        </w:trPr>
        <w:tc>
          <w:tcPr>
            <w:tcW w:w="900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(1,881)</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(2,092)</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Cash paid for intangible assets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(618)</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Construction of Universal Beijing Resort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Proceeds from sales of businesses and investments</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83"/>
        </w:trPr>
        <w:tc>
          <w:tcPr>
            <w:tcW w:w="9000" w:type="dxa"/>
            <w:vAlign w:val="bottom"/>
          </w:tcPr>
          <w:p>
            <w:pPr>
              <w:ind w:left="28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534"/>
        </w:trPr>
        <w:tc>
          <w:tcPr>
            <w:tcW w:w="9000" w:type="dxa"/>
            <w:vAlign w:val="bottom"/>
          </w:tcPr>
          <w:p>
            <w:pPr>
              <w:ind w:left="104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(3,101)</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520"/>
        </w:trPr>
        <w:tc>
          <w:tcPr>
            <w:tcW w:w="90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Proceeds from (repayments of) short-term borrowings, net</w:t>
            </w:r>
          </w:p>
        </w:tc>
        <w:tc>
          <w:tcPr>
            <w:tcW w:w="154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Proceeds from borrowings</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9,281</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Repurchases and repayments of debt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(7,439)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Repurchases of common stock under employee plans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(977)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70"/>
        </w:trPr>
        <w:tc>
          <w:tcPr>
            <w:tcW w:w="9000" w:type="dxa"/>
            <w:vAlign w:val="bottom"/>
          </w:tcPr>
          <w:p>
            <w:pPr>
              <w:ind w:left="28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83"/>
        </w:trPr>
        <w:tc>
          <w:tcPr>
            <w:tcW w:w="9000" w:type="dxa"/>
            <w:vAlign w:val="bottom"/>
          </w:tcPr>
          <w:p>
            <w:pPr>
              <w:ind w:left="28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534"/>
        </w:trPr>
        <w:tc>
          <w:tcPr>
            <w:tcW w:w="9000" w:type="dxa"/>
            <w:vAlign w:val="bottom"/>
          </w:tcPr>
          <w:p>
            <w:pPr>
              <w:ind w:left="1040"/>
              <w:spacing w:after="0"/>
              <w:rPr>
                <w:sz w:val="20"/>
                <w:szCs w:val="20"/>
                <w:color w:val="auto"/>
              </w:rPr>
            </w:pPr>
            <w:r>
              <w:rPr>
                <w:rFonts w:ascii="Arial" w:cs="Arial" w:eastAsia="Arial" w:hAnsi="Arial"/>
                <w:sz w:val="16"/>
                <w:szCs w:val="16"/>
                <w:color w:val="auto"/>
              </w:rPr>
              <w:t>Net cash provided by (used in) financing activities</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374</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(4,325)</w:t>
            </w:r>
          </w:p>
        </w:tc>
        <w:tc>
          <w:tcPr>
            <w:tcW w:w="0" w:type="dxa"/>
            <w:vAlign w:val="bottom"/>
          </w:tcPr>
          <w:p>
            <w:pPr>
              <w:spacing w:after="0"/>
              <w:rPr>
                <w:sz w:val="1"/>
                <w:szCs w:val="1"/>
                <w:color w:val="auto"/>
              </w:rPr>
            </w:pPr>
          </w:p>
        </w:tc>
      </w:tr>
      <w:tr>
        <w:trPr>
          <w:trHeight w:val="493"/>
        </w:trPr>
        <w:tc>
          <w:tcPr>
            <w:tcW w:w="9000" w:type="dxa"/>
            <w:vAlign w:val="bottom"/>
          </w:tcPr>
          <w:p>
            <w:pPr>
              <w:ind w:left="40"/>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90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0"/>
        </w:trPr>
        <w:tc>
          <w:tcPr>
            <w:tcW w:w="9000" w:type="dxa"/>
            <w:vAlign w:val="bottom"/>
          </w:tcPr>
          <w:p>
            <w:pPr>
              <w:ind w:left="40"/>
              <w:spacing w:after="0"/>
              <w:rPr>
                <w:sz w:val="20"/>
                <w:szCs w:val="20"/>
                <w:color w:val="auto"/>
              </w:rPr>
            </w:pPr>
            <w:r>
              <w:rPr>
                <w:rFonts w:ascii="Arial" w:cs="Arial" w:eastAsia="Arial" w:hAnsi="Arial"/>
                <w:sz w:val="16"/>
                <w:szCs w:val="16"/>
                <w:color w:val="auto"/>
              </w:rPr>
              <w:t>Increase (decrease) in cash, cash equivalents and restricted cash</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3,020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553"/>
        </w:trPr>
        <w:tc>
          <w:tcPr>
            <w:tcW w:w="90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5,589</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3,909</w:t>
            </w:r>
          </w:p>
        </w:tc>
        <w:tc>
          <w:tcPr>
            <w:tcW w:w="0" w:type="dxa"/>
            <w:vAlign w:val="bottom"/>
          </w:tcPr>
          <w:p>
            <w:pPr>
              <w:spacing w:after="0"/>
              <w:rPr>
                <w:sz w:val="1"/>
                <w:szCs w:val="1"/>
                <w:color w:val="auto"/>
              </w:rPr>
            </w:pPr>
          </w:p>
        </w:tc>
      </w:tr>
      <w:tr>
        <w:trPr>
          <w:trHeight w:val="534"/>
        </w:trPr>
        <w:tc>
          <w:tcPr>
            <w:tcW w:w="9000" w:type="dxa"/>
            <w:vAlign w:val="bottom"/>
          </w:tcPr>
          <w:p>
            <w:pPr>
              <w:ind w:left="4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$8,609</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$3,597</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5580"/>
              <w:spacing w:after="0"/>
              <w:rPr>
                <w:sz w:val="20"/>
                <w:szCs w:val="20"/>
                <w:color w:val="auto"/>
              </w:rPr>
            </w:pPr>
            <w:r>
              <w:rPr>
                <w:rFonts w:ascii="Arial" w:cs="Arial" w:eastAsia="Arial" w:hAnsi="Arial"/>
                <w:sz w:val="14"/>
                <w:szCs w:val="14"/>
                <w:color w:val="auto"/>
              </w:rPr>
              <w:t>9</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90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90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7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11" w:right="339" w:bottom="0" w:gutter="0" w:footer="0" w:header="0"/>
        </w:sectPr>
      </w:pPr>
    </w:p>
    <w:bookmarkStart w:id="12" w:name="page13"/>
    <w:bookmarkEnd w:id="12"/>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6294755</wp:posOffset>
            </wp:positionH>
            <wp:positionV relativeFrom="page">
              <wp:posOffset>466090</wp:posOffset>
            </wp:positionV>
            <wp:extent cx="102870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828282"/>
        </w:rPr>
        <w:t>TABLE 3</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color w:val="auto"/>
              </w:rPr>
              <w:t>(in millions)</w:t>
            </w:r>
          </w:p>
        </w:tc>
        <w:tc>
          <w:tcPr>
            <w:tcW w:w="1800" w:type="dxa"/>
            <w:vAlign w:val="bottom"/>
            <w:gridSpan w:val="2"/>
          </w:tcPr>
          <w:p>
            <w:pPr>
              <w:ind w:left="380"/>
              <w:spacing w:after="0"/>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7"/>
        </w:trPr>
        <w:tc>
          <w:tcPr>
            <w:tcW w:w="7840" w:type="dxa"/>
            <w:vAlign w:val="bottom"/>
          </w:tcPr>
          <w:p>
            <w:pPr>
              <w:spacing w:after="0"/>
              <w:rPr>
                <w:sz w:val="24"/>
                <w:szCs w:val="24"/>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784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$8,516</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10,800</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Programming rights</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77"/>
        </w:trPr>
        <w:tc>
          <w:tcPr>
            <w:tcW w:w="78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4,768</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4,723</w:t>
            </w:r>
          </w:p>
        </w:tc>
        <w:tc>
          <w:tcPr>
            <w:tcW w:w="0" w:type="dxa"/>
            <w:vAlign w:val="bottom"/>
          </w:tcPr>
          <w:p>
            <w:pPr>
              <w:spacing w:after="0"/>
              <w:rPr>
                <w:sz w:val="1"/>
                <w:szCs w:val="1"/>
                <w:color w:val="auto"/>
              </w:rPr>
            </w:pPr>
          </w:p>
        </w:tc>
      </w:tr>
      <w:tr>
        <w:trPr>
          <w:trHeight w:val="250"/>
        </w:trPr>
        <w:tc>
          <w:tcPr>
            <w:tcW w:w="784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24,084</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527"/>
        </w:trPr>
        <w:tc>
          <w:tcPr>
            <w:tcW w:w="784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12,385</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6,468</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612</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48,442</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48,322</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67,218</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68,725</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59,365</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34,672</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36,128</w:t>
            </w:r>
          </w:p>
        </w:tc>
        <w:tc>
          <w:tcPr>
            <w:tcW w:w="0" w:type="dxa"/>
            <w:vAlign w:val="bottom"/>
          </w:tcPr>
          <w:p>
            <w:pPr>
              <w:spacing w:after="0"/>
              <w:rPr>
                <w:sz w:val="1"/>
                <w:szCs w:val="1"/>
                <w:color w:val="auto"/>
              </w:rPr>
            </w:pPr>
          </w:p>
        </w:tc>
      </w:tr>
      <w:tr>
        <w:trPr>
          <w:trHeight w:val="547"/>
        </w:trPr>
        <w:tc>
          <w:tcPr>
            <w:tcW w:w="784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9,175</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533"/>
        </w:trPr>
        <w:tc>
          <w:tcPr>
            <w:tcW w:w="7840" w:type="dxa"/>
            <w:vAlign w:val="bottom"/>
          </w:tcPr>
          <w:p>
            <w:pPr>
              <w:spacing w:after="0"/>
              <w:rPr>
                <w:sz w:val="24"/>
                <w:szCs w:val="24"/>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$262,421</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$263,414</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8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8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$9,963</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$10,826</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1,894</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2,634</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10,136</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77"/>
        </w:trPr>
        <w:tc>
          <w:tcPr>
            <w:tcW w:w="78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2,973</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50"/>
        </w:trPr>
        <w:tc>
          <w:tcPr>
            <w:tcW w:w="78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27,600</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30,292</w:t>
            </w:r>
          </w:p>
        </w:tc>
        <w:tc>
          <w:tcPr>
            <w:tcW w:w="0" w:type="dxa"/>
            <w:vAlign w:val="bottom"/>
          </w:tcPr>
          <w:p>
            <w:pPr>
              <w:spacing w:after="0"/>
              <w:rPr>
                <w:sz w:val="1"/>
                <w:szCs w:val="1"/>
                <w:color w:val="auto"/>
              </w:rPr>
            </w:pPr>
          </w:p>
        </w:tc>
      </w:tr>
      <w:tr>
        <w:trPr>
          <w:trHeight w:val="526"/>
        </w:trPr>
        <w:tc>
          <w:tcPr>
            <w:tcW w:w="78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100,604</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97,765</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5,166</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27,865</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28,180</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17,144</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16,765</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1,259</w:t>
            </w:r>
          </w:p>
        </w:tc>
        <w:tc>
          <w:tcPr>
            <w:tcW w:w="20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540"/>
        </w:trPr>
        <w:tc>
          <w:tcPr>
            <w:tcW w:w="784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rPr>
              <w:t>81,506</w:t>
            </w:r>
          </w:p>
        </w:tc>
        <w:tc>
          <w:tcPr>
            <w:tcW w:w="20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82,726</w:t>
            </w:r>
          </w:p>
        </w:tc>
        <w:tc>
          <w:tcPr>
            <w:tcW w:w="0" w:type="dxa"/>
            <w:vAlign w:val="bottom"/>
          </w:tcPr>
          <w:p>
            <w:pPr>
              <w:spacing w:after="0"/>
              <w:rPr>
                <w:sz w:val="1"/>
                <w:szCs w:val="1"/>
                <w:color w:val="auto"/>
              </w:rPr>
            </w:pPr>
          </w:p>
        </w:tc>
      </w:tr>
      <w:tr>
        <w:trPr>
          <w:trHeight w:val="277"/>
        </w:trPr>
        <w:tc>
          <w:tcPr>
            <w:tcW w:w="78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1,277</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50"/>
        </w:trPr>
        <w:tc>
          <w:tcPr>
            <w:tcW w:w="784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82,783</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83,874</w:t>
            </w:r>
          </w:p>
        </w:tc>
        <w:tc>
          <w:tcPr>
            <w:tcW w:w="0" w:type="dxa"/>
            <w:vAlign w:val="bottom"/>
          </w:tcPr>
          <w:p>
            <w:pPr>
              <w:spacing w:after="0"/>
              <w:rPr>
                <w:sz w:val="1"/>
                <w:szCs w:val="1"/>
                <w:color w:val="auto"/>
              </w:rPr>
            </w:pPr>
          </w:p>
        </w:tc>
      </w:tr>
      <w:tr>
        <w:trPr>
          <w:trHeight w:val="533"/>
        </w:trPr>
        <w:tc>
          <w:tcPr>
            <w:tcW w:w="7840" w:type="dxa"/>
            <w:vAlign w:val="bottom"/>
          </w:tcPr>
          <w:p>
            <w:pPr>
              <w:spacing w:after="0"/>
              <w:rPr>
                <w:sz w:val="24"/>
                <w:szCs w:val="24"/>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$262,421</w:t>
            </w:r>
          </w:p>
        </w:tc>
        <w:tc>
          <w:tcPr>
            <w:tcW w:w="200" w:type="dxa"/>
            <w:vAlign w:val="bottom"/>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$263,414</w:t>
            </w:r>
          </w:p>
        </w:tc>
        <w:tc>
          <w:tcPr>
            <w:tcW w:w="0" w:type="dxa"/>
            <w:vAlign w:val="bottom"/>
          </w:tcPr>
          <w:p>
            <w:pPr>
              <w:spacing w:after="0"/>
              <w:rPr>
                <w:sz w:val="1"/>
                <w:szCs w:val="1"/>
                <w:color w:val="auto"/>
              </w:rPr>
            </w:pPr>
          </w:p>
        </w:tc>
      </w:tr>
    </w:tbl>
    <w:p>
      <w:pPr>
        <w:sectPr>
          <w:pgSz w:w="11900" w:h="16891" w:orient="portrait"/>
          <w:cols w:equalWidth="0" w:num="1">
            <w:col w:w="11200"/>
          </w:cols>
          <w:pgMar w:left="360" w:top="811" w:right="3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160655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-102235</wp:posOffset>
            </wp:positionV>
            <wp:extent cx="1028700" cy="436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0" cy="436880"/>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9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57"/>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$2,147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Income tax expense</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700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Interest expense</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1,212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Investment and other (income) loss, net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716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3,264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282"/>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(1)</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63"/>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$8,130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$8,553</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360" w:type="dxa"/>
            <w:vAlign w:val="bottom"/>
            <w:tcBorders>
              <w:bottom w:val="single" w:sz="8" w:color="004EA8"/>
            </w:tcBorders>
            <w:gridSpan w:val="2"/>
            <w:vMerge w:val="continue"/>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100" w:type="dxa"/>
            <w:vAlign w:val="bottom"/>
            <w:tcBorders>
              <w:bottom w:val="single" w:sz="8" w:color="004EA8"/>
            </w:tcBorders>
          </w:tcPr>
          <w:p>
            <w:pPr>
              <w:spacing w:after="0"/>
              <w:rPr>
                <w:sz w:val="24"/>
                <w:szCs w:val="24"/>
                <w:color w:val="auto"/>
              </w:rPr>
            </w:pPr>
          </w:p>
        </w:tc>
        <w:tc>
          <w:tcPr>
            <w:tcW w:w="280" w:type="dxa"/>
            <w:vAlign w:val="bottom"/>
            <w:tcBorders>
              <w:bottom w:val="single" w:sz="8" w:color="004EA8"/>
            </w:tcBorders>
          </w:tcPr>
          <w:p>
            <w:pPr>
              <w:spacing w:after="0"/>
              <w:rPr>
                <w:sz w:val="24"/>
                <w:szCs w:val="24"/>
                <w:color w:val="auto"/>
              </w:rPr>
            </w:pPr>
          </w:p>
        </w:tc>
        <w:tc>
          <w:tcPr>
            <w:tcW w:w="60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9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57"/>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$5,824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$7,231</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(1,881)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276"/>
        </w:trPr>
        <w:tc>
          <w:tcPr>
            <w:tcW w:w="9340" w:type="dxa"/>
            <w:vAlign w:val="bottom"/>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(618)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69"/>
        </w:trPr>
        <w:tc>
          <w:tcPr>
            <w:tcW w:w="9340" w:type="dxa"/>
            <w:vAlign w:val="bottom"/>
          </w:tcPr>
          <w:p>
            <w:pPr>
              <w:ind w:left="40"/>
              <w:spacing w:after="0"/>
              <w:rPr>
                <w:sz w:val="20"/>
                <w:szCs w:val="20"/>
                <w:color w:val="auto"/>
              </w:rPr>
            </w:pPr>
            <w:r>
              <w:rPr>
                <w:rFonts w:ascii="Arial" w:cs="Arial" w:eastAsia="Arial" w:hAnsi="Arial"/>
                <w:sz w:val="14"/>
                <w:szCs w:val="14"/>
                <w:b w:val="1"/>
                <w:bCs w:val="1"/>
                <w:color w:val="auto"/>
              </w:rPr>
              <w:t>Total Free Cash Flow</w:t>
            </w: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$3,325</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360" w:type="dxa"/>
            <w:vAlign w:val="bottom"/>
            <w:tcBorders>
              <w:bottom w:val="single" w:sz="8" w:color="004EA8"/>
            </w:tcBorders>
            <w:gridSpan w:val="2"/>
          </w:tcPr>
          <w:p>
            <w:pPr>
              <w:ind w:left="4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900" w:type="dxa"/>
            <w:vAlign w:val="bottom"/>
            <w:tcBorders>
              <w:bottom w:val="single" w:sz="8" w:color="004EA8"/>
            </w:tcBorders>
          </w:tcPr>
          <w:p>
            <w:pPr>
              <w:spacing w:after="0"/>
              <w:rPr>
                <w:sz w:val="24"/>
                <w:szCs w:val="24"/>
                <w:color w:val="auto"/>
              </w:rPr>
            </w:pPr>
          </w:p>
        </w:tc>
        <w:tc>
          <w:tcPr>
            <w:tcW w:w="100" w:type="dxa"/>
            <w:vAlign w:val="bottom"/>
            <w:tcBorders>
              <w:bottom w:val="single" w:sz="8" w:color="004EA8"/>
            </w:tcBorders>
          </w:tcPr>
          <w:p>
            <w:pPr>
              <w:spacing w:after="0"/>
              <w:rPr>
                <w:sz w:val="24"/>
                <w:szCs w:val="24"/>
                <w:color w:val="auto"/>
              </w:rPr>
            </w:pPr>
          </w:p>
        </w:tc>
        <w:tc>
          <w:tcPr>
            <w:tcW w:w="280" w:type="dxa"/>
            <w:vAlign w:val="bottom"/>
            <w:tcBorders>
              <w:bottom w:val="single" w:sz="8" w:color="004EA8"/>
            </w:tcBorders>
          </w:tcPr>
          <w:p>
            <w:pPr>
              <w:spacing w:after="0"/>
              <w:rPr>
                <w:sz w:val="24"/>
                <w:szCs w:val="24"/>
                <w:color w:val="auto"/>
              </w:rPr>
            </w:pPr>
          </w:p>
        </w:tc>
        <w:tc>
          <w:tcPr>
            <w:tcW w:w="60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9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58"/>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$8,130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$8,553</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(1,881)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Cash interest expense</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(991)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Cash taxes</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(1,393)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70"/>
        </w:trPr>
        <w:tc>
          <w:tcPr>
            <w:tcW w:w="9360" w:type="dxa"/>
            <w:vAlign w:val="bottom"/>
            <w:gridSpan w:val="2"/>
          </w:tcPr>
          <w:p>
            <w:pPr>
              <w:ind w:left="40"/>
              <w:spacing w:after="0"/>
              <w:rPr>
                <w:sz w:val="20"/>
                <w:szCs w:val="20"/>
                <w:color w:val="auto"/>
              </w:rPr>
            </w:pPr>
            <w:r>
              <w:rPr>
                <w:rFonts w:ascii="Arial" w:cs="Arial" w:eastAsia="Arial" w:hAnsi="Arial"/>
                <w:sz w:val="14"/>
                <w:szCs w:val="14"/>
                <w:color w:val="auto"/>
              </w:rPr>
              <w:t>Noncash share-based compensation</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298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82"/>
        </w:trPr>
        <w:tc>
          <w:tcPr>
            <w:tcW w:w="9340" w:type="dxa"/>
            <w:vAlign w:val="bottom"/>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3"/>
                <w:szCs w:val="23"/>
                <w:color w:val="auto"/>
                <w:vertAlign w:val="superscript"/>
              </w:rPr>
              <w:t>(2)</w:t>
            </w: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64"/>
        </w:trPr>
        <w:tc>
          <w:tcPr>
            <w:tcW w:w="93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Free Cash Flow</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$3,325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right="780" w:hanging="225"/>
        <w:spacing w:after="0" w:line="193" w:lineRule="auto"/>
        <w:tabs>
          <w:tab w:leader="none" w:pos="26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First quarter 2020 and 2019 Adjusted EBITDA exclude $14 million and $51 million of other operating and administrative expense, respectively, related to the Sky transaction.</w:t>
      </w:r>
    </w:p>
    <w:p>
      <w:pPr>
        <w:spacing w:after="0" w:line="328" w:lineRule="exact"/>
        <w:rPr>
          <w:rFonts w:ascii="Arial" w:cs="Arial" w:eastAsia="Arial" w:hAnsi="Arial"/>
          <w:sz w:val="22"/>
          <w:szCs w:val="22"/>
          <w:color w:val="auto"/>
          <w:vertAlign w:val="superscript"/>
        </w:rPr>
      </w:pPr>
    </w:p>
    <w:p>
      <w:pPr>
        <w:ind w:left="260" w:right="40" w:hanging="225"/>
        <w:spacing w:after="0" w:line="193" w:lineRule="auto"/>
        <w:tabs>
          <w:tab w:leader="none" w:pos="26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First quarter 2020 and 2019 include decreases of $14 million and $51 million of costs related to the Sky transaction, respectively, as these amounts are excluded from Adjusted EBITDA.</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 Minor differences may exist due to rounding.</w:t>
      </w:r>
    </w:p>
    <w:p>
      <w:pPr>
        <w:sectPr>
          <w:pgSz w:w="11900" w:h="16838" w:orient="portrait"/>
          <w:cols w:equalWidth="0" w:num="1">
            <w:col w:w="11240"/>
          </w:cols>
          <w:pgMar w:left="320" w:top="649"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-42545</wp:posOffset>
            </wp:positionV>
            <wp:extent cx="1080135" cy="462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0135" cy="4629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680" w:type="dxa"/>
            <w:vAlign w:val="bottom"/>
            <w:gridSpan w:val="5"/>
          </w:tcPr>
          <w:p>
            <w:pPr>
              <w:jc w:val="center"/>
              <w:ind w:left="40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r>
      <w:tr>
        <w:trPr>
          <w:trHeight w:val="190"/>
        </w:trPr>
        <w:tc>
          <w:tcPr>
            <w:tcW w:w="8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6"/>
        </w:trPr>
        <w:tc>
          <w:tcPr>
            <w:tcW w:w="802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23"/>
                <w:szCs w:val="23"/>
                <w:color w:val="auto"/>
              </w:rPr>
            </w:pPr>
          </w:p>
        </w:tc>
      </w:tr>
      <w:tr>
        <w:trPr>
          <w:trHeight w:val="258"/>
        </w:trPr>
        <w:tc>
          <w:tcPr>
            <w:tcW w:w="802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6"/>
        </w:trPr>
        <w:tc>
          <w:tcPr>
            <w:tcW w:w="8020" w:type="dxa"/>
            <w:vAlign w:val="bottom"/>
          </w:tcPr>
          <w:p>
            <w:pPr>
              <w:spacing w:after="0"/>
              <w:rPr>
                <w:sz w:val="23"/>
                <w:szCs w:val="23"/>
                <w:color w:val="auto"/>
              </w:rPr>
            </w:pPr>
          </w:p>
        </w:tc>
        <w:tc>
          <w:tcPr>
            <w:tcW w:w="104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EPS</w:t>
            </w:r>
          </w:p>
        </w:tc>
        <w:tc>
          <w:tcPr>
            <w:tcW w:w="7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EPS</w:t>
            </w:r>
          </w:p>
        </w:tc>
      </w:tr>
      <w:tr>
        <w:trPr>
          <w:trHeight w:val="297"/>
        </w:trPr>
        <w:tc>
          <w:tcPr>
            <w:tcW w:w="80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 earnings per share attributable to Comcast Corporation</w:t>
            </w:r>
          </w:p>
        </w:tc>
        <w:tc>
          <w:tcPr>
            <w:tcW w:w="10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r>
        <w:trPr>
          <w:trHeight w:val="190"/>
        </w:trPr>
        <w:tc>
          <w:tcPr>
            <w:tcW w:w="8020" w:type="dxa"/>
            <w:vAlign w:val="bottom"/>
          </w:tcPr>
          <w:p>
            <w:pPr>
              <w:spacing w:after="0"/>
              <w:rPr>
                <w:sz w:val="20"/>
                <w:szCs w:val="20"/>
                <w:color w:val="auto"/>
              </w:rPr>
            </w:pPr>
            <w:r>
              <w:rPr>
                <w:rFonts w:ascii="Arial" w:cs="Arial" w:eastAsia="Arial" w:hAnsi="Arial"/>
                <w:sz w:val="14"/>
                <w:szCs w:val="14"/>
                <w:b w:val="1"/>
                <w:bCs w:val="1"/>
                <w:color w:val="auto"/>
              </w:rPr>
              <w:t>shareholders</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$2,147</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color w:val="auto"/>
                <w:w w:val="97"/>
              </w:rPr>
              <w:t>$3,553</w:t>
            </w:r>
          </w:p>
        </w:tc>
        <w:tc>
          <w:tcPr>
            <w:tcW w:w="500" w:type="dxa"/>
            <w:vAlign w:val="bottom"/>
          </w:tcPr>
          <w:p>
            <w:pPr>
              <w:jc w:val="right"/>
              <w:spacing w:after="0"/>
              <w:rPr>
                <w:sz w:val="20"/>
                <w:szCs w:val="20"/>
                <w:color w:val="auto"/>
              </w:rPr>
            </w:pPr>
            <w:r>
              <w:rPr>
                <w:rFonts w:ascii="Arial" w:cs="Arial" w:eastAsia="Arial" w:hAnsi="Arial"/>
                <w:sz w:val="14"/>
                <w:szCs w:val="14"/>
                <w:color w:val="auto"/>
              </w:rPr>
              <w:t>$0.77</w:t>
            </w:r>
          </w:p>
        </w:tc>
      </w:tr>
      <w:tr>
        <w:trPr>
          <w:trHeight w:val="270"/>
        </w:trPr>
        <w:tc>
          <w:tcPr>
            <w:tcW w:w="802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1040" w:type="dxa"/>
            <w:vAlign w:val="bottom"/>
          </w:tcPr>
          <w:p>
            <w:pPr>
              <w:jc w:val="right"/>
              <w:ind w:right="248"/>
              <w:spacing w:after="0"/>
              <w:rPr>
                <w:sz w:val="20"/>
                <w:szCs w:val="20"/>
                <w:color w:val="auto"/>
              </w:rPr>
            </w:pPr>
            <w:r>
              <w:rPr>
                <w:rFonts w:ascii="Arial" w:cs="Arial" w:eastAsia="Arial" w:hAnsi="Arial"/>
                <w:sz w:val="14"/>
                <w:szCs w:val="14"/>
                <w:i w:val="1"/>
                <w:iCs w:val="1"/>
                <w:color w:val="auto"/>
              </w:rPr>
              <w:t>(39.6%)</w:t>
            </w: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(40.3%)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471"/>
        </w:trPr>
        <w:tc>
          <w:tcPr>
            <w:tcW w:w="802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23"/>
                <w:szCs w:val="23"/>
                <w:color w:val="auto"/>
                <w:vertAlign w:val="superscript"/>
              </w:rPr>
              <w:t>(1)</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458</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308"/>
              <w:spacing w:after="0"/>
              <w:rPr>
                <w:sz w:val="20"/>
                <w:szCs w:val="20"/>
                <w:color w:val="auto"/>
              </w:rPr>
            </w:pPr>
            <w:r>
              <w:rPr>
                <w:rFonts w:ascii="Arial" w:cs="Arial" w:eastAsia="Arial" w:hAnsi="Arial"/>
                <w:sz w:val="14"/>
                <w:szCs w:val="14"/>
                <w:color w:val="auto"/>
              </w:rPr>
              <w:t>400</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0.09</w:t>
            </w:r>
          </w:p>
        </w:tc>
      </w:tr>
      <w:tr>
        <w:trPr>
          <w:trHeight w:val="288"/>
        </w:trPr>
        <w:tc>
          <w:tcPr>
            <w:tcW w:w="802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23"/>
                <w:szCs w:val="23"/>
                <w:color w:val="auto"/>
                <w:vertAlign w:val="superscript"/>
              </w:rPr>
              <w:t>(2)</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544</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color w:val="auto"/>
              </w:rPr>
              <w:t>(438)</w:t>
            </w:r>
          </w:p>
        </w:tc>
        <w:tc>
          <w:tcPr>
            <w:tcW w:w="500" w:type="dxa"/>
            <w:vAlign w:val="bottom"/>
          </w:tcPr>
          <w:p>
            <w:pPr>
              <w:jc w:val="right"/>
              <w:spacing w:after="0"/>
              <w:rPr>
                <w:sz w:val="20"/>
                <w:szCs w:val="20"/>
                <w:color w:val="auto"/>
              </w:rPr>
            </w:pPr>
            <w:r>
              <w:rPr>
                <w:rFonts w:ascii="Arial" w:cs="Arial" w:eastAsia="Arial" w:hAnsi="Arial"/>
                <w:sz w:val="14"/>
                <w:szCs w:val="14"/>
                <w:color w:val="auto"/>
              </w:rPr>
              <w:t>(0.09)</w:t>
            </w:r>
          </w:p>
        </w:tc>
      </w:tr>
      <w:tr>
        <w:trPr>
          <w:trHeight w:val="172"/>
        </w:trPr>
        <w:tc>
          <w:tcPr>
            <w:tcW w:w="802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8020" w:type="dxa"/>
            <w:vAlign w:val="bottom"/>
          </w:tcPr>
          <w:p>
            <w:pPr>
              <w:ind w:left="140"/>
              <w:spacing w:after="0"/>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23"/>
                <w:szCs w:val="23"/>
                <w:color w:val="auto"/>
                <w:vertAlign w:val="superscript"/>
              </w:rPr>
              <w:t>(3)</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106</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020" w:type="dxa"/>
            <w:vAlign w:val="bottom"/>
          </w:tcPr>
          <w:p>
            <w:pPr>
              <w:ind w:left="140"/>
              <w:spacing w:after="0"/>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23"/>
                <w:szCs w:val="23"/>
                <w:color w:val="auto"/>
                <w:vertAlign w:val="superscript"/>
              </w:rPr>
              <w:t>(4)</w:t>
            </w: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11</w:t>
            </w: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308"/>
              <w:spacing w:after="0"/>
              <w:rPr>
                <w:sz w:val="20"/>
                <w:szCs w:val="20"/>
                <w:color w:val="auto"/>
              </w:rPr>
            </w:pPr>
            <w:r>
              <w:rPr>
                <w:rFonts w:ascii="Arial" w:cs="Arial" w:eastAsia="Arial" w:hAnsi="Arial"/>
                <w:sz w:val="14"/>
                <w:szCs w:val="14"/>
                <w:color w:val="auto"/>
              </w:rPr>
              <w:t>41</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70"/>
        </w:trPr>
        <w:tc>
          <w:tcPr>
            <w:tcW w:w="8020" w:type="dxa"/>
            <w:vAlign w:val="bottom"/>
          </w:tcPr>
          <w:p>
            <w:pPr>
              <w:ind w:left="140"/>
              <w:spacing w:after="0"/>
              <w:rPr>
                <w:sz w:val="20"/>
                <w:szCs w:val="20"/>
                <w:color w:val="auto"/>
              </w:rPr>
            </w:pPr>
            <w:r>
              <w:rPr>
                <w:rFonts w:ascii="Arial" w:cs="Arial" w:eastAsia="Arial" w:hAnsi="Arial"/>
                <w:sz w:val="14"/>
                <w:szCs w:val="14"/>
                <w:color w:val="auto"/>
              </w:rPr>
              <w:t xml:space="preserve">Purchase accounting adjustments </w:t>
            </w:r>
            <w:r>
              <w:rPr>
                <w:rFonts w:ascii="Arial" w:cs="Arial" w:eastAsia="Arial" w:hAnsi="Arial"/>
                <w:sz w:val="23"/>
                <w:szCs w:val="23"/>
                <w:color w:val="auto"/>
                <w:vertAlign w:val="superscript"/>
              </w:rPr>
              <w:t>(5)</w:t>
            </w: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308"/>
              <w:spacing w:after="0"/>
              <w:rPr>
                <w:sz w:val="20"/>
                <w:szCs w:val="20"/>
                <w:color w:val="auto"/>
              </w:rPr>
            </w:pPr>
            <w:r>
              <w:rPr>
                <w:rFonts w:ascii="Arial" w:cs="Arial" w:eastAsia="Arial" w:hAnsi="Arial"/>
                <w:sz w:val="14"/>
                <w:szCs w:val="14"/>
                <w:color w:val="auto"/>
              </w:rPr>
              <w:t>39</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02"/>
        </w:trPr>
        <w:tc>
          <w:tcPr>
            <w:tcW w:w="80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23"/>
                <w:szCs w:val="23"/>
                <w:color w:val="auto"/>
                <w:vertAlign w:val="superscript"/>
              </w:rPr>
              <w:t>(6)</w:t>
            </w: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48"/>
              <w:spacing w:after="0"/>
              <w:rPr>
                <w:sz w:val="20"/>
                <w:szCs w:val="20"/>
                <w:color w:val="auto"/>
              </w:rPr>
            </w:pPr>
            <w:r>
              <w:rPr>
                <w:rFonts w:ascii="Arial" w:cs="Arial" w:eastAsia="Arial" w:hAnsi="Arial"/>
                <w:sz w:val="14"/>
                <w:szCs w:val="14"/>
                <w:color w:val="auto"/>
              </w:rPr>
              <w:t>(118)</w:t>
            </w:r>
          </w:p>
        </w:tc>
        <w:tc>
          <w:tcPr>
            <w:tcW w:w="50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385"/>
        </w:trPr>
        <w:tc>
          <w:tcPr>
            <w:tcW w:w="802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0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$3,266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$0.71</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97"/>
              </w:rPr>
              <w:t>$3,477</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$0.76</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8"/>
        </w:trPr>
        <w:tc>
          <w:tcPr>
            <w:tcW w:w="802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1040" w:type="dxa"/>
            <w:vAlign w:val="bottom"/>
          </w:tcPr>
          <w:p>
            <w:pPr>
              <w:jc w:val="right"/>
              <w:ind w:right="248"/>
              <w:spacing w:after="0"/>
              <w:rPr>
                <w:sz w:val="20"/>
                <w:szCs w:val="20"/>
                <w:color w:val="auto"/>
              </w:rPr>
            </w:pPr>
            <w:r>
              <w:rPr>
                <w:rFonts w:ascii="Arial" w:cs="Arial" w:eastAsia="Arial" w:hAnsi="Arial"/>
                <w:sz w:val="14"/>
                <w:szCs w:val="14"/>
                <w:i w:val="1"/>
                <w:iCs w:val="1"/>
                <w:color w:val="auto"/>
              </w:rPr>
              <w:t>(6.1%)</w:t>
            </w: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170" w:lineRule="exact"/>
        <w:rPr>
          <w:sz w:val="20"/>
          <w:szCs w:val="20"/>
          <w:color w:val="auto"/>
        </w:rPr>
      </w:pPr>
    </w:p>
    <w:p>
      <w:pPr>
        <w:ind w:left="260" w:right="260" w:hanging="252"/>
        <w:spacing w:after="0" w:line="250"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300" w:lineRule="exact"/>
        <w:rPr>
          <w:sz w:val="20"/>
          <w:szCs w:val="20"/>
          <w:color w:val="auto"/>
        </w:rPr>
      </w:pPr>
    </w:p>
    <w:p>
      <w:pPr>
        <w:ind w:left="9480"/>
        <w:spacing w:after="0"/>
        <w:rPr>
          <w:sz w:val="20"/>
          <w:szCs w:val="20"/>
          <w:color w:val="auto"/>
        </w:rPr>
      </w:pPr>
      <w:r>
        <w:rPr>
          <w:rFonts w:ascii="Arial" w:cs="Arial" w:eastAsia="Arial" w:hAnsi="Arial"/>
          <w:sz w:val="13"/>
          <w:szCs w:val="13"/>
          <w:color w:val="auto"/>
        </w:rPr>
        <w:t>Three Months Ended</w:t>
      </w:r>
    </w:p>
    <w:p>
      <w:pPr>
        <w:ind w:left="9820"/>
        <w:spacing w:after="0"/>
        <w:rPr>
          <w:sz w:val="20"/>
          <w:szCs w:val="20"/>
          <w:color w:val="auto"/>
        </w:rPr>
      </w:pPr>
      <w:r>
        <w:rPr>
          <w:rFonts w:ascii="Arial" w:cs="Arial" w:eastAsia="Arial" w:hAnsi="Arial"/>
          <w:sz w:val="13"/>
          <w:szCs w:val="13"/>
          <w:color w:val="auto"/>
        </w:rPr>
        <w:t>March 31,</w:t>
      </w:r>
    </w:p>
    <w:p>
      <w:pPr>
        <w:spacing w:after="0" w:line="121" w:lineRule="exact"/>
        <w:rPr>
          <w:sz w:val="20"/>
          <w:szCs w:val="20"/>
          <w:color w:val="auto"/>
        </w:rPr>
      </w:pPr>
    </w:p>
    <w:p>
      <w:pPr>
        <w:ind w:left="9480"/>
        <w:spacing w:after="0"/>
        <w:tabs>
          <w:tab w:leader="none" w:pos="10420" w:val="left"/>
        </w:tabs>
        <w:rPr>
          <w:sz w:val="20"/>
          <w:szCs w:val="20"/>
          <w:color w:val="auto"/>
        </w:rPr>
      </w:pPr>
      <w:r>
        <w:rPr>
          <w:rFonts w:ascii="Arial" w:cs="Arial" w:eastAsia="Arial" w:hAnsi="Arial"/>
          <w:sz w:val="13"/>
          <w:szCs w:val="13"/>
          <w:color w:val="auto"/>
        </w:rPr>
        <w:t>2020</w:t>
      </w:r>
      <w:r>
        <w:rPr>
          <w:sz w:val="20"/>
          <w:szCs w:val="20"/>
          <w:color w:val="auto"/>
        </w:rPr>
        <w:tab/>
      </w:r>
      <w:r>
        <w:rPr>
          <w:rFonts w:ascii="Arial" w:cs="Arial" w:eastAsia="Arial" w:hAnsi="Arial"/>
          <w:sz w:val="13"/>
          <w:szCs w:val="13"/>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11430</wp:posOffset>
            </wp:positionV>
            <wp:extent cx="10801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Amortization of acquisition-related intangible assets before income taxes</w:t>
      </w:r>
    </w:p>
    <w:p>
      <w:pPr>
        <w:ind w:left="9700"/>
        <w:spacing w:after="0"/>
        <w:tabs>
          <w:tab w:leader="none" w:pos="10620" w:val="left"/>
        </w:tabs>
        <w:rPr>
          <w:sz w:val="20"/>
          <w:szCs w:val="20"/>
          <w:color w:val="auto"/>
        </w:rPr>
      </w:pPr>
      <w:r>
        <w:rPr>
          <w:rFonts w:ascii="Arial" w:cs="Arial" w:eastAsia="Arial" w:hAnsi="Arial"/>
          <w:sz w:val="13"/>
          <w:szCs w:val="13"/>
          <w:color w:val="auto"/>
        </w:rPr>
        <w:t>$575</w:t>
      </w:r>
      <w:r>
        <w:rPr>
          <w:sz w:val="20"/>
          <w:szCs w:val="20"/>
          <w:color w:val="auto"/>
        </w:rPr>
        <w:tab/>
      </w:r>
      <w:r>
        <w:rPr>
          <w:rFonts w:ascii="Arial" w:cs="Arial" w:eastAsia="Arial" w:hAnsi="Arial"/>
          <w:sz w:val="12"/>
          <w:szCs w:val="12"/>
          <w:color w:val="auto"/>
        </w:rPr>
        <w:t>$504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11430</wp:posOffset>
            </wp:positionV>
            <wp:extent cx="10801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3"/>
          <w:szCs w:val="13"/>
          <w:color w:val="auto"/>
        </w:rPr>
        <w:t>Amortization of acquisition-related intangible assets, net of tax</w:t>
      </w:r>
    </w:p>
    <w:p>
      <w:pPr>
        <w:ind w:left="9700"/>
        <w:spacing w:after="0"/>
        <w:tabs>
          <w:tab w:leader="none" w:pos="10620" w:val="left"/>
        </w:tabs>
        <w:rPr>
          <w:sz w:val="20"/>
          <w:szCs w:val="20"/>
          <w:color w:val="auto"/>
        </w:rPr>
      </w:pPr>
      <w:r>
        <w:rPr>
          <w:rFonts w:ascii="Arial" w:cs="Arial" w:eastAsia="Arial" w:hAnsi="Arial"/>
          <w:sz w:val="13"/>
          <w:szCs w:val="13"/>
          <w:color w:val="auto"/>
        </w:rPr>
        <w:t>$458</w:t>
      </w:r>
      <w:r>
        <w:rPr>
          <w:sz w:val="20"/>
          <w:szCs w:val="20"/>
          <w:color w:val="auto"/>
        </w:rPr>
        <w:tab/>
      </w:r>
      <w:r>
        <w:rPr>
          <w:rFonts w:ascii="Arial" w:cs="Arial" w:eastAsia="Arial" w:hAnsi="Arial"/>
          <w:sz w:val="12"/>
          <w:szCs w:val="12"/>
          <w:color w:val="auto"/>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11430</wp:posOffset>
            </wp:positionV>
            <wp:extent cx="10801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0135" cy="25400"/>
                    </a:xfrm>
                    <a:prstGeom prst="rect">
                      <a:avLst/>
                    </a:prstGeom>
                    <a:noFill/>
                  </pic:spPr>
                </pic:pic>
              </a:graphicData>
            </a:graphic>
          </wp:anchor>
        </w:drawing>
      </w:r>
    </w:p>
    <w:p>
      <w:pPr>
        <w:spacing w:after="0" w:line="141" w:lineRule="exact"/>
        <w:rPr>
          <w:sz w:val="20"/>
          <w:szCs w:val="20"/>
          <w:color w:val="auto"/>
        </w:rPr>
      </w:pPr>
    </w:p>
    <w:p>
      <w:pPr>
        <w:ind w:left="260" w:right="420" w:hanging="252"/>
        <w:spacing w:after="0" w:line="242" w:lineRule="auto"/>
        <w:tabs>
          <w:tab w:leader="none" w:pos="2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our investments in Atairos and Hulu (following May 2019 transaction).</w:t>
      </w:r>
    </w:p>
    <w:p>
      <w:pPr>
        <w:spacing w:after="0" w:line="143" w:lineRule="exact"/>
        <w:rPr>
          <w:sz w:val="20"/>
          <w:szCs w:val="20"/>
          <w:color w:val="auto"/>
        </w:rPr>
      </w:pPr>
    </w:p>
    <w:p>
      <w:pPr>
        <w:ind w:left="9500"/>
        <w:spacing w:after="0"/>
        <w:rPr>
          <w:sz w:val="20"/>
          <w:szCs w:val="20"/>
          <w:color w:val="auto"/>
        </w:rPr>
      </w:pPr>
      <w:r>
        <w:rPr>
          <w:rFonts w:ascii="Arial" w:cs="Arial" w:eastAsia="Arial" w:hAnsi="Arial"/>
          <w:sz w:val="13"/>
          <w:szCs w:val="13"/>
          <w:color w:val="auto"/>
        </w:rPr>
        <w:t>Three Months Ended</w:t>
      </w:r>
    </w:p>
    <w:tbl>
      <w:tblPr>
        <w:tblLayout w:type="fixed"/>
        <w:tblInd w:w="420" w:type="dxa"/>
        <w:tblCellMar>
          <w:top w:w="0" w:type="dxa"/>
          <w:left w:w="0" w:type="dxa"/>
          <w:bottom w:w="0" w:type="dxa"/>
          <w:right w:w="0" w:type="dxa"/>
        </w:tblCellMar>
      </w:tblPr>
      <w:tr>
        <w:trPr>
          <w:trHeight w:val="152"/>
        </w:trPr>
        <w:tc>
          <w:tcPr>
            <w:tcW w:w="8820" w:type="dxa"/>
            <w:vAlign w:val="bottom"/>
          </w:tcPr>
          <w:p>
            <w:pPr>
              <w:spacing w:after="0"/>
              <w:rPr>
                <w:sz w:val="13"/>
                <w:szCs w:val="13"/>
                <w:color w:val="auto"/>
              </w:rPr>
            </w:pPr>
          </w:p>
        </w:tc>
        <w:tc>
          <w:tcPr>
            <w:tcW w:w="1180" w:type="dxa"/>
            <w:vAlign w:val="bottom"/>
            <w:gridSpan w:val="3"/>
          </w:tcPr>
          <w:p>
            <w:pPr>
              <w:ind w:left="580"/>
              <w:spacing w:after="0"/>
              <w:rPr>
                <w:sz w:val="20"/>
                <w:szCs w:val="20"/>
                <w:color w:val="auto"/>
              </w:rPr>
            </w:pPr>
            <w:r>
              <w:rPr>
                <w:rFonts w:ascii="Arial" w:cs="Arial" w:eastAsia="Arial" w:hAnsi="Arial"/>
                <w:sz w:val="13"/>
                <w:szCs w:val="13"/>
                <w:color w:val="auto"/>
              </w:rPr>
              <w:t>March 31,</w:t>
            </w:r>
          </w:p>
        </w:tc>
        <w:tc>
          <w:tcPr>
            <w:tcW w:w="520" w:type="dxa"/>
            <w:vAlign w:val="bottom"/>
          </w:tcPr>
          <w:p>
            <w:pPr>
              <w:spacing w:after="0"/>
              <w:rPr>
                <w:sz w:val="13"/>
                <w:szCs w:val="13"/>
                <w:color w:val="auto"/>
              </w:rPr>
            </w:pPr>
          </w:p>
        </w:tc>
      </w:tr>
      <w:tr>
        <w:trPr>
          <w:trHeight w:val="280"/>
        </w:trPr>
        <w:tc>
          <w:tcPr>
            <w:tcW w:w="8820" w:type="dxa"/>
            <w:vAlign w:val="bottom"/>
          </w:tcPr>
          <w:p>
            <w:pPr>
              <w:spacing w:after="0"/>
              <w:rPr>
                <w:sz w:val="24"/>
                <w:szCs w:val="2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2020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96"/>
              </w:rPr>
              <w:t>2019</w:t>
            </w:r>
          </w:p>
        </w:tc>
      </w:tr>
      <w:tr>
        <w:trPr>
          <w:trHeight w:val="254"/>
        </w:trPr>
        <w:tc>
          <w:tcPr>
            <w:tcW w:w="882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($214)</w:t>
            </w:r>
          </w:p>
        </w:tc>
      </w:tr>
      <w:tr>
        <w:trPr>
          <w:trHeight w:val="280"/>
        </w:trPr>
        <w:tc>
          <w:tcPr>
            <w:tcW w:w="8820" w:type="dxa"/>
            <w:vAlign w:val="bottom"/>
          </w:tcPr>
          <w:p>
            <w:pPr>
              <w:spacing w:after="0"/>
              <w:rPr>
                <w:sz w:val="20"/>
                <w:szCs w:val="20"/>
                <w:color w:val="auto"/>
              </w:rPr>
            </w:pPr>
            <w:r>
              <w:rPr>
                <w:rFonts w:ascii="Arial" w:cs="Arial" w:eastAsia="Arial" w:hAnsi="Arial"/>
                <w:sz w:val="13"/>
                <w:szCs w:val="13"/>
                <w:color w:val="auto"/>
              </w:rPr>
              <w:t>Equity in net (income) losses of investees, net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663</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w:t>
            </w:r>
          </w:p>
        </w:tc>
      </w:tr>
      <w:tr>
        <w:trPr>
          <w:trHeight w:val="240"/>
        </w:trPr>
        <w:tc>
          <w:tcPr>
            <w:tcW w:w="882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(588)</w:t>
            </w:r>
          </w:p>
        </w:tc>
      </w:tr>
      <w:tr>
        <w:trPr>
          <w:trHeight w:val="285"/>
        </w:trPr>
        <w:tc>
          <w:tcPr>
            <w:tcW w:w="8820" w:type="dxa"/>
            <w:vAlign w:val="bottom"/>
          </w:tcPr>
          <w:p>
            <w:pPr>
              <w:spacing w:after="0"/>
              <w:rPr>
                <w:sz w:val="20"/>
                <w:szCs w:val="20"/>
                <w:color w:val="auto"/>
              </w:rPr>
            </w:pPr>
            <w:r>
              <w:rPr>
                <w:rFonts w:ascii="Arial" w:cs="Arial" w:eastAsia="Arial" w:hAnsi="Arial"/>
                <w:sz w:val="13"/>
                <w:szCs w:val="13"/>
                <w:color w:val="auto"/>
              </w:rPr>
              <w:t>Investments, net of tax</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$544</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w:t>
            </w:r>
          </w:p>
        </w:tc>
      </w:tr>
      <w:tr>
        <w:trPr>
          <w:trHeight w:val="20"/>
        </w:trPr>
        <w:tc>
          <w:tcPr>
            <w:tcW w:w="8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1st quarter 2020 net income attributable to Comcast Corporation includes $140 million of interest expense, $106 million net of tax, resulting from the early redemption of debt.</w:t>
      </w:r>
    </w:p>
    <w:p>
      <w:pPr>
        <w:spacing w:after="0" w:line="215" w:lineRule="exact"/>
        <w:rPr>
          <w:rFonts w:ascii="Arial" w:cs="Arial" w:eastAsia="Arial" w:hAnsi="Arial"/>
          <w:sz w:val="13"/>
          <w:szCs w:val="13"/>
          <w:color w:val="auto"/>
        </w:rPr>
      </w:pPr>
    </w:p>
    <w:p>
      <w:pPr>
        <w:ind w:left="260" w:right="20" w:hanging="252"/>
        <w:spacing w:after="0" w:line="242" w:lineRule="auto"/>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1st quarter 2020 and 2019 net income attributable to Comcast Corporation includes $14 million and $51 million of operating costs and expenses, $11 million and $41 million net of tax, respectively, related to the Sky transaction, primarily relating to the replacement of share-based compensation awards and costs related to integration activities.</w:t>
      </w:r>
    </w:p>
    <w:p>
      <w:pPr>
        <w:spacing w:after="0" w:line="211" w:lineRule="exact"/>
        <w:rPr>
          <w:rFonts w:ascii="Arial" w:cs="Arial" w:eastAsia="Arial" w:hAnsi="Arial"/>
          <w:sz w:val="13"/>
          <w:szCs w:val="13"/>
          <w:color w:val="auto"/>
        </w:rPr>
      </w:pPr>
    </w:p>
    <w:p>
      <w:pPr>
        <w:ind w:left="260" w:right="20" w:hanging="252"/>
        <w:spacing w:after="0" w:line="242" w:lineRule="auto"/>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1st quarter 2019 net income attributable to Comcast Corporation includes $53 million of depreciation and amortization expense, $39 million net of tax, related to the 4th quarter 2018, as a result of adjustments to the purchase price allocation of Sky, primarily related to intangible assets and property and equipment.</w:t>
      </w:r>
    </w:p>
    <w:p>
      <w:pPr>
        <w:spacing w:after="0" w:line="211" w:lineRule="exact"/>
        <w:rPr>
          <w:rFonts w:ascii="Arial" w:cs="Arial" w:eastAsia="Arial" w:hAnsi="Arial"/>
          <w:sz w:val="13"/>
          <w:szCs w:val="13"/>
          <w:color w:val="auto"/>
        </w:rPr>
      </w:pPr>
    </w:p>
    <w:p>
      <w:pPr>
        <w:ind w:left="260" w:hanging="252"/>
        <w:spacing w:after="0"/>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1st quarter 2019 net income attributable to Comcast Corporation includes a gain of $159 million in other income, $118 million net of tax, related to our investment in Hulu.</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ectPr>
          <w:pgSz w:w="11900" w:h="16838" w:orient="portrait"/>
          <w:cols w:equalWidth="0" w:num="1">
            <w:col w:w="11240"/>
          </w:cols>
          <w:pgMar w:left="320" w:top="609" w:right="3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328930</wp:posOffset>
            </wp:positionV>
            <wp:extent cx="1209040" cy="52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26035</wp:posOffset>
            </wp:positionV>
            <wp:extent cx="7089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310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left="79"/>
              <w:spacing w:after="0"/>
              <w:rPr>
                <w:sz w:val="20"/>
                <w:szCs w:val="20"/>
                <w:color w:val="auto"/>
              </w:rPr>
            </w:pPr>
            <w:r>
              <w:rPr>
                <w:rFonts w:ascii="Arial" w:cs="Arial" w:eastAsia="Arial" w:hAnsi="Arial"/>
                <w:sz w:val="16"/>
                <w:szCs w:val="16"/>
                <w:b w:val="1"/>
                <w:bCs w:val="1"/>
                <w:color w:val="auto"/>
              </w:rPr>
              <w:t>March 31,</w:t>
            </w:r>
          </w:p>
        </w:tc>
        <w:tc>
          <w:tcPr>
            <w:tcW w:w="1120" w:type="dxa"/>
            <w:vAlign w:val="bottom"/>
          </w:tcPr>
          <w:p>
            <w:pPr>
              <w:spacing w:after="0"/>
              <w:rPr>
                <w:sz w:val="18"/>
                <w:szCs w:val="18"/>
                <w:color w:val="auto"/>
              </w:rPr>
            </w:pPr>
          </w:p>
        </w:tc>
      </w:tr>
      <w:tr>
        <w:trPr>
          <w:trHeight w:val="289"/>
        </w:trPr>
        <w:tc>
          <w:tcPr>
            <w:tcW w:w="8100" w:type="dxa"/>
            <w:vAlign w:val="bottom"/>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ind w:right="79"/>
              <w:spacing w:after="0" w:line="290" w:lineRule="exact"/>
              <w:rPr>
                <w:sz w:val="20"/>
                <w:szCs w:val="20"/>
                <w:color w:val="auto"/>
              </w:rPr>
            </w:pPr>
            <w:r>
              <w:rPr>
                <w:rFonts w:ascii="Arial" w:cs="Arial" w:eastAsia="Arial" w:hAnsi="Arial"/>
                <w:sz w:val="16"/>
                <w:szCs w:val="16"/>
                <w:color w:val="auto"/>
              </w:rPr>
              <w:t xml:space="preserve">2019 </w:t>
            </w:r>
            <w:r>
              <w:rPr>
                <w:rFonts w:ascii="Arial" w:cs="Arial" w:eastAsia="Arial" w:hAnsi="Arial"/>
                <w:sz w:val="26"/>
                <w:szCs w:val="26"/>
                <w:color w:val="auto"/>
                <w:vertAlign w:val="superscript"/>
              </w:rPr>
              <w:t>(1)</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Growth %</w:t>
            </w:r>
          </w:p>
        </w:tc>
      </w:tr>
      <w:tr>
        <w:trPr>
          <w:trHeight w:val="419"/>
        </w:trPr>
        <w:tc>
          <w:tcPr>
            <w:tcW w:w="8100" w:type="dxa"/>
            <w:vAlign w:val="bottom"/>
          </w:tcPr>
          <w:p>
            <w:pPr>
              <w:spacing w:after="0"/>
              <w:rPr>
                <w:sz w:val="20"/>
                <w:szCs w:val="20"/>
                <w:color w:val="auto"/>
              </w:rPr>
            </w:pPr>
            <w:r>
              <w:rPr>
                <w:rFonts w:ascii="Arial" w:cs="Arial" w:eastAsia="Arial" w:hAnsi="Arial"/>
                <w:sz w:val="16"/>
                <w:szCs w:val="16"/>
                <w:color w:val="auto"/>
              </w:rPr>
              <w:t>Direct-to-Consumer</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$3,679</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$3,749</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8100" w:type="dxa"/>
            <w:vAlign w:val="bottom"/>
          </w:tcPr>
          <w:p>
            <w:pPr>
              <w:spacing w:after="0"/>
              <w:rPr>
                <w:sz w:val="20"/>
                <w:szCs w:val="20"/>
                <w:color w:val="auto"/>
              </w:rPr>
            </w:pPr>
            <w:r>
              <w:rPr>
                <w:rFonts w:ascii="Arial" w:cs="Arial" w:eastAsia="Arial" w:hAnsi="Arial"/>
                <w:sz w:val="16"/>
                <w:szCs w:val="16"/>
                <w:color w:val="auto"/>
              </w:rPr>
              <w:t>Content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325</w:t>
            </w:r>
          </w:p>
        </w:tc>
        <w:tc>
          <w:tcPr>
            <w:tcW w:w="1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83"/>
        </w:trPr>
        <w:tc>
          <w:tcPr>
            <w:tcW w:w="8100" w:type="dxa"/>
            <w:vAlign w:val="bottom"/>
          </w:tcPr>
          <w:p>
            <w:pPr>
              <w:spacing w:after="0"/>
              <w:rPr>
                <w:sz w:val="20"/>
                <w:szCs w:val="20"/>
                <w:color w:val="auto"/>
              </w:rPr>
            </w:pPr>
            <w:r>
              <w:rPr>
                <w:rFonts w:ascii="Arial" w:cs="Arial" w:eastAsia="Arial" w:hAnsi="Arial"/>
                <w:sz w:val="16"/>
                <w:szCs w:val="16"/>
                <w:color w:val="auto"/>
              </w:rPr>
              <w:t>Advertising</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513</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67"/>
        </w:trPr>
        <w:tc>
          <w:tcPr>
            <w:tcW w:w="81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$4,517</w:t>
            </w:r>
          </w:p>
        </w:tc>
        <w:tc>
          <w:tcPr>
            <w:tcW w:w="120" w:type="dxa"/>
            <w:vAlign w:val="bottom"/>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$4,692</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8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56"/>
        </w:trPr>
        <w:tc>
          <w:tcPr>
            <w:tcW w:w="810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$3,966</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$4,041</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92"/>
        </w:trPr>
        <w:tc>
          <w:tcPr>
            <w:tcW w:w="810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$551</w:t>
            </w:r>
          </w:p>
        </w:tc>
        <w:tc>
          <w:tcPr>
            <w:tcW w:w="1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w:t>
            </w:r>
          </w:p>
        </w:tc>
      </w:tr>
    </w:tbl>
    <w:p>
      <w:pPr>
        <w:spacing w:after="0" w:line="351" w:lineRule="exact"/>
        <w:rPr>
          <w:sz w:val="20"/>
          <w:szCs w:val="20"/>
          <w:color w:val="auto"/>
        </w:rPr>
      </w:pPr>
    </w:p>
    <w:p>
      <w:pPr>
        <w:ind w:left="260" w:hanging="252"/>
        <w:spacing w:after="0" w:line="242" w:lineRule="auto"/>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2019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69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3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79"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76"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3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1548130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3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7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7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194"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09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2020-04-30T06:09:11Z</dcterms:created>
  <dcterms:modified xsi:type="dcterms:W3CDTF">2020-04-30T06:09:11Z</dcterms:modified>
</cp:coreProperties>
</file>