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ind w:left="4540" w:right="2419" w:hanging="4529"/>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September 29, 1998 Registration No. 333-06161</w:t>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1979"/>
        <w:spacing w:after="0" w:line="237" w:lineRule="auto"/>
        <w:rPr>
          <w:sz w:val="20"/>
          <w:szCs w:val="20"/>
          <w:color w:val="auto"/>
        </w:rPr>
      </w:pPr>
      <w:r>
        <w:rPr>
          <w:rFonts w:ascii="Courier New" w:cs="Courier New" w:eastAsia="Courier New" w:hAnsi="Courier New"/>
          <w:sz w:val="18"/>
          <w:szCs w:val="18"/>
          <w:color w:val="auto"/>
        </w:rPr>
        <w:t>POST EFFECTIVE AMENDMENT NO. 2</w:t>
      </w:r>
    </w:p>
    <w:p>
      <w:pPr>
        <w:jc w:val="center"/>
        <w:ind w:right="1979"/>
        <w:spacing w:after="0" w:line="238" w:lineRule="auto"/>
        <w:rPr>
          <w:sz w:val="20"/>
          <w:szCs w:val="20"/>
          <w:color w:val="auto"/>
        </w:rPr>
      </w:pPr>
      <w:r>
        <w:rPr>
          <w:rFonts w:ascii="Courier New" w:cs="Courier New" w:eastAsia="Courier New" w:hAnsi="Courier New"/>
          <w:sz w:val="18"/>
          <w:szCs w:val="18"/>
          <w:color w:val="auto"/>
        </w:rPr>
        <w:t>TO</w:t>
      </w:r>
    </w:p>
    <w:p>
      <w:pPr>
        <w:jc w:val="center"/>
        <w:ind w:right="1979"/>
        <w:spacing w:after="0"/>
        <w:rPr>
          <w:sz w:val="20"/>
          <w:szCs w:val="20"/>
          <w:color w:val="auto"/>
        </w:rPr>
      </w:pPr>
      <w:r>
        <w:rPr>
          <w:rFonts w:ascii="Courier New" w:cs="Courier New" w:eastAsia="Courier New" w:hAnsi="Courier New"/>
          <w:sz w:val="18"/>
          <w:szCs w:val="18"/>
          <w:color w:val="auto"/>
        </w:rPr>
        <w:t>FORM S-3</w:t>
      </w:r>
    </w:p>
    <w:p>
      <w:pPr>
        <w:jc w:val="center"/>
        <w:ind w:right="1979"/>
        <w:spacing w:after="0" w:line="237"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7" w:lineRule="auto"/>
        <w:rPr>
          <w:sz w:val="20"/>
          <w:szCs w:val="20"/>
          <w:color w:val="auto"/>
        </w:rPr>
      </w:pPr>
      <w:r>
        <w:rPr>
          <w:rFonts w:ascii="Courier New" w:cs="Courier New" w:eastAsia="Courier New" w:hAnsi="Courier New"/>
          <w:sz w:val="18"/>
          <w:szCs w:val="18"/>
          <w:color w:val="auto"/>
        </w:rPr>
        <w:t>COMCAST CORPORATION</w:t>
      </w:r>
    </w:p>
    <w:p>
      <w:pPr>
        <w:ind w:left="12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7" w:orient="portrait"/>
          <w:cols w:equalWidth="0" w:num="1">
            <w:col w:w="10219"/>
          </w:cols>
          <w:pgMar w:left="240" w:top="655" w:right="1440" w:bottom="0" w:gutter="0" w:footer="0" w:header="0"/>
        </w:sectPr>
      </w:pP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jurisdiction of</w:t>
      </w:r>
    </w:p>
    <w:p>
      <w:pPr>
        <w:ind w:left="420"/>
        <w:spacing w:after="0" w:line="238" w:lineRule="auto"/>
        <w:rPr>
          <w:sz w:val="20"/>
          <w:szCs w:val="20"/>
          <w:color w:val="auto"/>
        </w:rPr>
      </w:pPr>
      <w:r>
        <w:rPr>
          <w:rFonts w:ascii="Courier New" w:cs="Courier New" w:eastAsia="Courier New" w:hAnsi="Courier New"/>
          <w:sz w:val="18"/>
          <w:szCs w:val="18"/>
          <w:color w:val="auto"/>
        </w:rPr>
        <w:t>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incorporation or</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Identification No.)</w:t>
      </w:r>
    </w:p>
    <w:p>
      <w:pPr>
        <w:spacing w:after="0" w:line="402" w:lineRule="exact"/>
        <w:rPr>
          <w:sz w:val="24"/>
          <w:szCs w:val="24"/>
          <w:color w:val="auto"/>
        </w:rPr>
      </w:pPr>
    </w:p>
    <w:p>
      <w:pPr>
        <w:sectPr>
          <w:pgSz w:w="11900" w:h="16877" w:orient="portrait"/>
          <w:cols w:equalWidth="0" w:num="2">
            <w:col w:w="4020" w:space="720"/>
            <w:col w:w="5479"/>
          </w:cols>
          <w:pgMar w:left="240" w:top="655" w:right="1440" w:bottom="0" w:gutter="0" w:footer="0" w:header="0"/>
          <w:type w:val="continuous"/>
        </w:sectPr>
      </w:pPr>
    </w:p>
    <w:p>
      <w:pPr>
        <w:spacing w:after="0" w:line="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1500 Market Street</w:t>
      </w:r>
    </w:p>
    <w:p>
      <w:pPr>
        <w:ind w:left="2740"/>
        <w:spacing w:after="0" w:line="238" w:lineRule="auto"/>
        <w:rPr>
          <w:sz w:val="20"/>
          <w:szCs w:val="20"/>
          <w:color w:val="auto"/>
        </w:rPr>
      </w:pPr>
      <w:r>
        <w:rPr>
          <w:rFonts w:ascii="Courier New" w:cs="Courier New" w:eastAsia="Courier New" w:hAnsi="Courier New"/>
          <w:sz w:val="18"/>
          <w:szCs w:val="18"/>
          <w:color w:val="auto"/>
        </w:rPr>
        <w:t>Philadelphia, PA 19102-2148</w:t>
      </w:r>
    </w:p>
    <w:p>
      <w:pPr>
        <w:ind w:left="3380"/>
        <w:spacing w:after="0"/>
        <w:rPr>
          <w:sz w:val="20"/>
          <w:szCs w:val="20"/>
          <w:color w:val="auto"/>
        </w:rPr>
      </w:pPr>
      <w:r>
        <w:rPr>
          <w:rFonts w:ascii="Courier New" w:cs="Courier New" w:eastAsia="Courier New" w:hAnsi="Courier New"/>
          <w:sz w:val="18"/>
          <w:szCs w:val="18"/>
          <w:color w:val="auto"/>
        </w:rPr>
        <w:t>(215) 665-1700</w:t>
      </w:r>
    </w:p>
    <w:p>
      <w:pPr>
        <w:spacing w:after="0" w:line="3"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(Address, including zip code, and telephone number, including area code,</w:t>
      </w:r>
    </w:p>
    <w:p>
      <w:pPr>
        <w:spacing w:after="0" w:line="1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of Registrant's principal executive offices)</w:t>
      </w:r>
    </w:p>
    <w:p>
      <w:pPr>
        <w:sectPr>
          <w:pgSz w:w="11900" w:h="16877" w:orient="portrait"/>
          <w:cols w:equalWidth="0" w:num="1">
            <w:col w:w="10219"/>
          </w:cols>
          <w:pgMar w:left="240" w:top="655" w:right="1440" w:bottom="0" w:gutter="0" w:footer="0" w:header="0"/>
          <w:type w:val="continuous"/>
        </w:sectPr>
      </w:pP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John R. Alchin</w:t>
      </w:r>
    </w:p>
    <w:p>
      <w:pPr>
        <w:ind w:left="2740"/>
        <w:spacing w:after="0" w:line="238" w:lineRule="auto"/>
        <w:rPr>
          <w:sz w:val="20"/>
          <w:szCs w:val="20"/>
          <w:color w:val="auto"/>
        </w:rPr>
      </w:pPr>
      <w:r>
        <w:rPr>
          <w:rFonts w:ascii="Courier New" w:cs="Courier New" w:eastAsia="Courier New" w:hAnsi="Courier New"/>
          <w:sz w:val="18"/>
          <w:szCs w:val="18"/>
          <w:color w:val="auto"/>
        </w:rPr>
        <w:t>Senior Vice President and</w:t>
      </w:r>
    </w:p>
    <w:p>
      <w:pPr>
        <w:ind w:left="3580"/>
        <w:spacing w:after="0"/>
        <w:rPr>
          <w:sz w:val="20"/>
          <w:szCs w:val="20"/>
          <w:color w:val="auto"/>
        </w:rPr>
      </w:pPr>
      <w:r>
        <w:rPr>
          <w:rFonts w:ascii="Courier New" w:cs="Courier New" w:eastAsia="Courier New" w:hAnsi="Courier New"/>
          <w:sz w:val="18"/>
          <w:szCs w:val="18"/>
          <w:color w:val="auto"/>
        </w:rPr>
        <w:t>Treasurer</w:t>
      </w:r>
    </w:p>
    <w:p>
      <w:pPr>
        <w:ind w:left="3060"/>
        <w:spacing w:after="0" w:line="237" w:lineRule="auto"/>
        <w:rPr>
          <w:sz w:val="20"/>
          <w:szCs w:val="20"/>
          <w:color w:val="auto"/>
        </w:rPr>
      </w:pPr>
      <w:r>
        <w:rPr>
          <w:rFonts w:ascii="Courier New" w:cs="Courier New" w:eastAsia="Courier New" w:hAnsi="Courier New"/>
          <w:sz w:val="18"/>
          <w:szCs w:val="18"/>
          <w:color w:val="auto"/>
        </w:rPr>
        <w:t>1500 Market Street</w:t>
      </w:r>
    </w:p>
    <w:p>
      <w:pPr>
        <w:ind w:left="2640"/>
        <w:spacing w:after="0" w:line="238" w:lineRule="auto"/>
        <w:rPr>
          <w:sz w:val="20"/>
          <w:szCs w:val="20"/>
          <w:color w:val="auto"/>
        </w:rPr>
      </w:pPr>
      <w:r>
        <w:rPr>
          <w:rFonts w:ascii="Courier New" w:cs="Courier New" w:eastAsia="Courier New" w:hAnsi="Courier New"/>
          <w:sz w:val="18"/>
          <w:szCs w:val="18"/>
          <w:color w:val="auto"/>
        </w:rPr>
        <w:t>Philadelphia, PA 19102-2148</w:t>
      </w:r>
    </w:p>
    <w:p>
      <w:pPr>
        <w:ind w:left="3280"/>
        <w:spacing w:after="0"/>
        <w:rPr>
          <w:sz w:val="20"/>
          <w:szCs w:val="20"/>
          <w:color w:val="auto"/>
        </w:rPr>
      </w:pPr>
      <w:r>
        <w:rPr>
          <w:rFonts w:ascii="Courier New" w:cs="Courier New" w:eastAsia="Courier New" w:hAnsi="Courier New"/>
          <w:sz w:val="18"/>
          <w:szCs w:val="18"/>
          <w:color w:val="auto"/>
        </w:rPr>
        <w:t>(215) 665-1700</w:t>
      </w:r>
    </w:p>
    <w:p>
      <w:pPr>
        <w:spacing w:after="0" w:line="4" w:lineRule="exact"/>
        <w:rPr>
          <w:sz w:val="24"/>
          <w:szCs w:val="24"/>
          <w:color w:val="auto"/>
        </w:rPr>
      </w:pPr>
    </w:p>
    <w:p>
      <w:pPr>
        <w:ind w:left="2540" w:right="2739" w:hanging="2106"/>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ind w:left="3160"/>
        <w:spacing w:after="0" w:line="238" w:lineRule="auto"/>
        <w:rPr>
          <w:sz w:val="20"/>
          <w:szCs w:val="20"/>
          <w:color w:val="auto"/>
        </w:rPr>
      </w:pPr>
      <w:r>
        <w:rPr>
          <w:rFonts w:ascii="Courier New" w:cs="Courier New" w:eastAsia="Courier New" w:hAnsi="Courier New"/>
          <w:sz w:val="18"/>
          <w:szCs w:val="18"/>
          <w:color w:val="auto"/>
        </w:rPr>
        <w:t>Bruce K. Dallas, Esq.</w:t>
      </w:r>
    </w:p>
    <w:p>
      <w:pPr>
        <w:ind w:left="3160"/>
        <w:spacing w:after="0"/>
        <w:rPr>
          <w:sz w:val="20"/>
          <w:szCs w:val="20"/>
          <w:color w:val="auto"/>
        </w:rPr>
      </w:pPr>
      <w:r>
        <w:rPr>
          <w:rFonts w:ascii="Courier New" w:cs="Courier New" w:eastAsia="Courier New" w:hAnsi="Courier New"/>
          <w:sz w:val="18"/>
          <w:szCs w:val="18"/>
          <w:color w:val="auto"/>
        </w:rPr>
        <w:t>Davis Polk &amp; Wardwell</w:t>
      </w:r>
    </w:p>
    <w:p>
      <w:pPr>
        <w:ind w:left="3160"/>
        <w:spacing w:after="0" w:line="237" w:lineRule="auto"/>
        <w:rPr>
          <w:sz w:val="20"/>
          <w:szCs w:val="20"/>
          <w:color w:val="auto"/>
        </w:rPr>
      </w:pPr>
      <w:r>
        <w:rPr>
          <w:rFonts w:ascii="Courier New" w:cs="Courier New" w:eastAsia="Courier New" w:hAnsi="Courier New"/>
          <w:sz w:val="18"/>
          <w:szCs w:val="18"/>
          <w:color w:val="auto"/>
        </w:rPr>
        <w:t>450 Lexington Avenue</w:t>
      </w:r>
    </w:p>
    <w:p>
      <w:pPr>
        <w:ind w:left="2960"/>
        <w:spacing w:after="0" w:line="238" w:lineRule="auto"/>
        <w:tabs>
          <w:tab w:leader="none" w:pos="5040" w:val="left"/>
        </w:tabs>
        <w:rPr>
          <w:sz w:val="20"/>
          <w:szCs w:val="20"/>
          <w:color w:val="auto"/>
        </w:rPr>
      </w:pPr>
      <w:r>
        <w:rPr>
          <w:rFonts w:ascii="Courier New" w:cs="Courier New" w:eastAsia="Courier New" w:hAnsi="Courier New"/>
          <w:sz w:val="18"/>
          <w:szCs w:val="18"/>
          <w:color w:val="auto"/>
        </w:rPr>
        <w:t>New York, New York</w:t>
        <w:tab/>
        <w:t>10017</w:t>
      </w:r>
    </w:p>
    <w:p>
      <w:pPr>
        <w:ind w:left="3480"/>
        <w:spacing w:after="0"/>
        <w:rPr>
          <w:sz w:val="20"/>
          <w:szCs w:val="20"/>
          <w:color w:val="auto"/>
        </w:rPr>
      </w:pPr>
      <w:r>
        <w:rPr>
          <w:rFonts w:ascii="Courier New" w:cs="Courier New" w:eastAsia="Courier New" w:hAnsi="Courier New"/>
          <w:sz w:val="18"/>
          <w:szCs w:val="18"/>
          <w:color w:val="auto"/>
        </w:rPr>
        <w:t>(212) 450-4000</w:t>
      </w:r>
    </w:p>
    <w:p>
      <w:pPr>
        <w:spacing w:after="0" w:line="206" w:lineRule="exact"/>
        <w:rPr>
          <w:sz w:val="24"/>
          <w:szCs w:val="24"/>
          <w:color w:val="auto"/>
        </w:rPr>
      </w:pPr>
    </w:p>
    <w:p>
      <w:pPr>
        <w:jc w:val="both"/>
        <w:ind w:right="2099" w:firstLine="1580"/>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2099" w:firstLine="1580"/>
        <w:spacing w:after="0" w:line="275"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182" w:lineRule="exact"/>
        <w:rPr>
          <w:sz w:val="24"/>
          <w:szCs w:val="24"/>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 _______</w:t>
      </w:r>
    </w:p>
    <w:p>
      <w:pPr>
        <w:spacing w:after="0" w:line="207" w:lineRule="exact"/>
        <w:rPr>
          <w:sz w:val="24"/>
          <w:szCs w:val="24"/>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If delivery for the prospectus is expected to be made pursuant to Rule 434, please check the following box. [ ]</w:t>
      </w:r>
    </w:p>
    <w:p>
      <w:pPr>
        <w:spacing w:after="0" w:line="208" w:lineRule="exact"/>
        <w:rPr>
          <w:sz w:val="24"/>
          <w:szCs w:val="24"/>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999" w:firstLine="1580"/>
        <w:spacing w:after="0" w:line="273" w:lineRule="auto"/>
        <w:rPr>
          <w:sz w:val="20"/>
          <w:szCs w:val="20"/>
          <w:color w:val="auto"/>
        </w:rPr>
      </w:pPr>
      <w:r>
        <w:rPr>
          <w:rFonts w:ascii="Courier New" w:cs="Courier New" w:eastAsia="Courier New" w:hAnsi="Courier New"/>
          <w:sz w:val="16"/>
          <w:szCs w:val="16"/>
          <w:color w:val="auto"/>
        </w:rPr>
        <w:t>Comcast Corporation (the "Company") registered the resale of its Class A Special Common Stock, $1.00 par value (the "Class A Special Common Stock") to be offered from time to time for the account of certain selling shareholders (the "Selling Shareholders") and their permitted pledgees, donees and counterparties including (i) up to 3,496,821 shares (the "Merger Shares")</w:t>
      </w:r>
    </w:p>
    <w:p>
      <w:pPr>
        <w:sectPr>
          <w:pgSz w:w="11900" w:h="16877" w:orient="portrait"/>
          <w:cols w:equalWidth="0" w:num="1">
            <w:col w:w="10219"/>
          </w:cols>
          <w:pgMar w:left="240" w:top="655" w:right="1440" w:bottom="0" w:gutter="0" w:footer="0" w:header="0"/>
          <w:type w:val="continuous"/>
        </w:sectPr>
      </w:pPr>
    </w:p>
    <w:bookmarkStart w:id="1" w:name="page2"/>
    <w:bookmarkEnd w:id="1"/>
    <w:p>
      <w:pPr>
        <w:ind w:right="1999"/>
        <w:spacing w:after="0" w:line="238" w:lineRule="auto"/>
        <w:rPr>
          <w:sz w:val="20"/>
          <w:szCs w:val="20"/>
          <w:color w:val="auto"/>
        </w:rPr>
      </w:pPr>
      <w:r>
        <w:rPr>
          <w:rFonts w:ascii="Courier New" w:cs="Courier New" w:eastAsia="Courier New" w:hAnsi="Courier New"/>
          <w:sz w:val="18"/>
          <w:szCs w:val="18"/>
          <w:color w:val="auto"/>
        </w:rPr>
        <w:t>of Class A Special Common Stock that were received by the Selling Shareholders in connection with the consummation of the Sports Venture Merger (as defined below), (ii) up to 1,332,077 shares (the "Conversion Shares") of Class A Special Common Stock issuable upon the conversion, if any, of shares (the "Preferred Shares") of 5% Series A Convertible Preferred Stock, without par value, of the Company (the "Series A Convertible Preferred Stock") that were received by certain of the Selling Shareholders in connection with the consummation of the Sports Venture Merger and (iii) such indeterminate additional number of shares (together with the Merger Shares and the Conversion Shares, the "Shares") of Class A Special Common Stock as may become issuable upon adjustment of the conversion ratio applicable to the conversion of the Preferred Shares pursuant to the terms of the Series A Convertible Preferred Stock.</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On July 17, 1996, the Company completed its acquisition (the "Sports Venture Acquisition") of an interest of approximately 66% in Philadelphia Flyers Limited Partnership, a Pennsylvania limited partnership ("PFLP"). Concurrently with the completion of the Sports Venture Acquisition, PFLP was renamed Comcast Spectacor, L.P.</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Merger Shares and the Preferred Shares were issued to the Selling Shareholders in connection with the consummation of the Sports Venture Acquisition, pursuant to an agreement and plan of merger (the "Sports Venture Merger Agreement") among the Company, a wholly owned subsidiary of the Company (the "Merger Subsidiary"), Philadelphia Hockey Club, Inc., a Pennsylvania corporation ("PHCI"), Spectrum, Ltd., a Pennsylvania corporation ("Spectrum"), and each of the Selling Shareholders. Pursuant to the Sports Venture Merger Agreement, PHCI and Spectrum were merged with and into the Merger Subsidiary (the "Sports Venture Merger").</w:t>
      </w:r>
    </w:p>
    <w:p>
      <w:pPr>
        <w:spacing w:after="0" w:line="214" w:lineRule="exact"/>
        <w:rPr>
          <w:sz w:val="20"/>
          <w:szCs w:val="20"/>
          <w:color w:val="auto"/>
        </w:rPr>
      </w:pPr>
    </w:p>
    <w:p>
      <w:pPr>
        <w:ind w:right="2319" w:firstLine="1580"/>
        <w:spacing w:after="0" w:line="275" w:lineRule="auto"/>
        <w:rPr>
          <w:sz w:val="20"/>
          <w:szCs w:val="20"/>
          <w:color w:val="auto"/>
        </w:rPr>
      </w:pPr>
      <w:r>
        <w:rPr>
          <w:rFonts w:ascii="Courier New" w:cs="Courier New" w:eastAsia="Courier New" w:hAnsi="Courier New"/>
          <w:sz w:val="16"/>
          <w:szCs w:val="16"/>
          <w:color w:val="auto"/>
        </w:rPr>
        <w:t>The offer and resale of the Shares were registered by the Company pursuant to registration rights granted to the Selling Shareholders under the Sports Venture Merger Agreement, under which the Company was required to keep the Registration Statement effective for two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ind w:left="1580"/>
              <w:spacing w:after="0"/>
              <w:rPr>
                <w:sz w:val="20"/>
                <w:szCs w:val="20"/>
                <w:color w:val="auto"/>
              </w:rPr>
            </w:pPr>
            <w:r>
              <w:rPr>
                <w:rFonts w:ascii="Courier New" w:cs="Courier New" w:eastAsia="Courier New" w:hAnsi="Courier New"/>
                <w:sz w:val="18"/>
                <w:szCs w:val="18"/>
                <w:color w:val="auto"/>
              </w:rPr>
              <w:t>An</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aggregate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9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1,407,547 shares of Class A</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Special Common</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Stock have been sold</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under the</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Registration</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Statement.  As</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time period for</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which the Company</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60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required to keep the Registration Statement effective has</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elapsed, the Company</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hereby</w:t>
            </w:r>
          </w:p>
        </w:tc>
        <w:tc>
          <w:tcPr>
            <w:tcW w:w="1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deregisters the</w:t>
            </w:r>
          </w:p>
        </w:tc>
        <w:tc>
          <w:tcPr>
            <w:tcW w:w="3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3,421,351 shares of Class A</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Special Common Stock</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that have</w:t>
            </w:r>
          </w:p>
        </w:tc>
        <w:tc>
          <w:tcPr>
            <w:tcW w:w="2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not been sold.</w:t>
            </w:r>
          </w:p>
        </w:tc>
        <w:tc>
          <w:tcPr>
            <w:tcW w:w="20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has duly caused this post-effective amendment to be signed on its behalf by the undersigned, thereunto duly authorized, in the City of Philadelphia, Commonwealth of Pennsylvania on September 29, 1998.</w:t>
      </w:r>
    </w:p>
    <w:p>
      <w:pPr>
        <w:spacing w:after="0" w:line="202"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4840" w:val="left"/>
        </w:tabs>
        <w:rPr>
          <w:sz w:val="20"/>
          <w:szCs w:val="20"/>
          <w:color w:val="auto"/>
        </w:rPr>
      </w:pPr>
      <w:r>
        <w:rPr>
          <w:rFonts w:ascii="Courier New" w:cs="Courier New" w:eastAsia="Courier New" w:hAnsi="Courier New"/>
          <w:sz w:val="18"/>
          <w:szCs w:val="18"/>
          <w:color w:val="auto"/>
        </w:rPr>
        <w:t>By:</w:t>
        <w:tab/>
        <w:t>/s/ Arthur R. Block</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Arthur R. Block</w:t>
      </w:r>
    </w:p>
    <w:p>
      <w:pPr>
        <w:ind w:left="4860"/>
        <w:spacing w:after="0" w:line="237" w:lineRule="auto"/>
        <w:rPr>
          <w:sz w:val="20"/>
          <w:szCs w:val="20"/>
          <w:color w:val="auto"/>
        </w:rPr>
      </w:pPr>
      <w:r>
        <w:rPr>
          <w:rFonts w:ascii="Courier New" w:cs="Courier New" w:eastAsia="Courier New" w:hAnsi="Courier New"/>
          <w:sz w:val="18"/>
          <w:szCs w:val="18"/>
          <w:color w:val="auto"/>
        </w:rPr>
        <w:t>Vice President</w:t>
      </w:r>
    </w:p>
    <w:p>
      <w:pPr>
        <w:ind w:left="4860"/>
        <w:spacing w:after="0" w:line="238" w:lineRule="auto"/>
        <w:rPr>
          <w:sz w:val="20"/>
          <w:szCs w:val="20"/>
          <w:color w:val="auto"/>
        </w:rPr>
      </w:pPr>
      <w:r>
        <w:rPr>
          <w:rFonts w:ascii="Courier New" w:cs="Courier New" w:eastAsia="Courier New" w:hAnsi="Courier New"/>
          <w:sz w:val="18"/>
          <w:szCs w:val="18"/>
          <w:color w:val="auto"/>
        </w:rPr>
        <w:t>and Senior Deputy General Counsel</w:t>
      </w:r>
    </w:p>
    <w:p>
      <w:pPr>
        <w:spacing w:after="0" w:line="208" w:lineRule="exact"/>
        <w:rPr>
          <w:sz w:val="20"/>
          <w:szCs w:val="20"/>
          <w:color w:val="auto"/>
        </w:rPr>
      </w:pPr>
    </w:p>
    <w:p>
      <w:pPr>
        <w:ind w:right="2199" w:firstLine="1580"/>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has been signed below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ind w:left="640"/>
              <w:spacing w:after="0"/>
              <w:rPr>
                <w:sz w:val="20"/>
                <w:szCs w:val="20"/>
                <w:color w:val="auto"/>
              </w:rPr>
            </w:pPr>
            <w:r>
              <w:rPr>
                <w:rFonts w:ascii="Courier New" w:cs="Courier New" w:eastAsia="Courier New" w:hAnsi="Courier New"/>
                <w:sz w:val="18"/>
                <w:szCs w:val="18"/>
                <w:color w:val="auto"/>
              </w:rPr>
              <w:t>Signature</w:t>
            </w:r>
          </w:p>
        </w:tc>
        <w:tc>
          <w:tcPr>
            <w:tcW w:w="3580" w:type="dxa"/>
            <w:vAlign w:val="bottom"/>
          </w:tcPr>
          <w:p>
            <w:pPr>
              <w:ind w:left="1220"/>
              <w:spacing w:after="0"/>
              <w:rPr>
                <w:sz w:val="20"/>
                <w:szCs w:val="20"/>
                <w:color w:val="auto"/>
              </w:rPr>
            </w:pPr>
            <w:r>
              <w:rPr>
                <w:rFonts w:ascii="Courier New" w:cs="Courier New" w:eastAsia="Courier New" w:hAnsi="Courier New"/>
                <w:sz w:val="18"/>
                <w:szCs w:val="18"/>
                <w:color w:val="auto"/>
              </w:rPr>
              <w:t>Title</w:t>
            </w: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w:t>
            </w:r>
          </w:p>
        </w:tc>
        <w:tc>
          <w:tcPr>
            <w:tcW w:w="35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0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Chairman of the Board of</w:t>
            </w:r>
          </w:p>
        </w:tc>
        <w:tc>
          <w:tcPr>
            <w:tcW w:w="206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Directors; Director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September 29, 1998</w:t>
            </w:r>
          </w:p>
        </w:tc>
      </w:tr>
      <w:tr>
        <w:trPr>
          <w:trHeight w:val="203"/>
        </w:trPr>
        <w:tc>
          <w:tcPr>
            <w:tcW w:w="2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Ralph J. Roberts</w:t>
            </w: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0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Vice Chairman of the Board of</w:t>
            </w:r>
          </w:p>
        </w:tc>
        <w:tc>
          <w:tcPr>
            <w:tcW w:w="20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Directors; Director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September 29, 1998</w:t>
            </w:r>
          </w:p>
        </w:tc>
      </w:tr>
      <w:tr>
        <w:trPr>
          <w:trHeight w:val="203"/>
        </w:trPr>
        <w:tc>
          <w:tcPr>
            <w:tcW w:w="2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Julian A. Brodsky</w:t>
            </w: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0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President; Director (Principal</w:t>
            </w:r>
          </w:p>
        </w:tc>
        <w:tc>
          <w:tcPr>
            <w:tcW w:w="20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September 29, 1998</w:t>
            </w:r>
          </w:p>
        </w:tc>
      </w:tr>
      <w:tr>
        <w:trPr>
          <w:trHeight w:val="203"/>
        </w:trPr>
        <w:tc>
          <w:tcPr>
            <w:tcW w:w="2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Brian L. Roberts</w:t>
            </w: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0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Executive Vice President</w:t>
            </w:r>
          </w:p>
        </w:tc>
        <w:tc>
          <w:tcPr>
            <w:tcW w:w="2060" w:type="dxa"/>
            <w:vAlign w:val="bottom"/>
          </w:tcPr>
          <w:p>
            <w:pPr>
              <w:spacing w:after="0"/>
              <w:rPr>
                <w:sz w:val="24"/>
                <w:szCs w:val="24"/>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September 29, 1998</w:t>
            </w:r>
          </w:p>
        </w:tc>
      </w:tr>
      <w:tr>
        <w:trPr>
          <w:trHeight w:val="203"/>
        </w:trPr>
        <w:tc>
          <w:tcPr>
            <w:tcW w:w="2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Lawrence S. Smith</w:t>
            </w:r>
          </w:p>
        </w:tc>
        <w:tc>
          <w:tcPr>
            <w:tcW w:w="35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00" w:type="dxa"/>
            <w:vAlign w:val="bottom"/>
          </w:tcPr>
          <w:p>
            <w:pPr>
              <w:jc w:val="center"/>
              <w:ind w:right="492"/>
              <w:spacing w:after="0"/>
              <w:rPr>
                <w:sz w:val="20"/>
                <w:szCs w:val="20"/>
                <w:color w:val="auto"/>
              </w:rPr>
            </w:pPr>
            <w:r>
              <w:rPr>
                <w:rFonts w:ascii="Courier New" w:cs="Courier New" w:eastAsia="Courier New" w:hAnsi="Courier New"/>
                <w:sz w:val="18"/>
                <w:szCs w:val="18"/>
                <w:color w:val="auto"/>
                <w:w w:val="92"/>
              </w:rPr>
              <w:t>*</w:t>
            </w:r>
          </w:p>
        </w:tc>
        <w:tc>
          <w:tcPr>
            <w:tcW w:w="3580" w:type="dxa"/>
            <w:vAlign w:val="bottom"/>
          </w:tcPr>
          <w:p>
            <w:pPr>
              <w:ind w:left="60"/>
              <w:spacing w:after="0"/>
              <w:rPr>
                <w:sz w:val="20"/>
                <w:szCs w:val="20"/>
                <w:color w:val="auto"/>
              </w:rPr>
            </w:pPr>
            <w:r>
              <w:rPr>
                <w:rFonts w:ascii="Courier New" w:cs="Courier New" w:eastAsia="Courier New" w:hAnsi="Courier New"/>
                <w:sz w:val="18"/>
                <w:szCs w:val="18"/>
                <w:color w:val="auto"/>
              </w:rPr>
              <w:t>Senior Vice President, Treasurer</w:t>
            </w:r>
          </w:p>
        </w:tc>
        <w:tc>
          <w:tcPr>
            <w:tcW w:w="2060" w:type="dxa"/>
            <w:vAlign w:val="bottom"/>
          </w:tcPr>
          <w:p>
            <w:pPr>
              <w:spacing w:after="0"/>
              <w:rPr>
                <w:sz w:val="24"/>
                <w:szCs w:val="24"/>
                <w:color w:val="auto"/>
              </w:rPr>
            </w:pPr>
          </w:p>
        </w:tc>
      </w:tr>
    </w:tbl>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(Principal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29, 1998</w:t>
      </w:r>
    </w:p>
    <w:p>
      <w:pPr>
        <w:spacing w:after="0" w:line="21" w:lineRule="exact"/>
        <w:rPr>
          <w:sz w:val="20"/>
          <w:szCs w:val="20"/>
          <w:color w:val="auto"/>
        </w:rPr>
      </w:pPr>
    </w:p>
    <w:p>
      <w:pPr>
        <w:sectPr>
          <w:pgSz w:w="11900" w:h="16838" w:orient="portrait"/>
          <w:cols w:equalWidth="0" w:num="3">
            <w:col w:w="2740" w:space="320"/>
            <w:col w:w="3060" w:space="420"/>
            <w:col w:w="3679"/>
          </w:cols>
          <w:pgMar w:left="240" w:top="142" w:right="1440" w:bottom="1440" w:gutter="0" w:footer="0" w:header="0"/>
        </w:sectPr>
      </w:pPr>
    </w:p>
    <w:p>
      <w:pPr>
        <w:ind w:left="420"/>
        <w:spacing w:after="0"/>
        <w:rPr>
          <w:sz w:val="20"/>
          <w:szCs w:val="20"/>
          <w:color w:val="auto"/>
        </w:rPr>
      </w:pPr>
      <w:r>
        <w:rPr>
          <w:rFonts w:ascii="Courier New" w:cs="Courier New" w:eastAsia="Courier New" w:hAnsi="Courier New"/>
          <w:sz w:val="16"/>
          <w:szCs w:val="16"/>
          <w:color w:val="auto"/>
        </w:rPr>
        <w:t>John R. Alchin</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1" w:lineRule="exact"/>
        <w:rPr>
          <w:sz w:val="20"/>
          <w:szCs w:val="20"/>
          <w:color w:val="auto"/>
        </w:rPr>
      </w:pPr>
    </w:p>
    <w:p>
      <w:pPr>
        <w:sectPr>
          <w:pgSz w:w="11900" w:h="16838" w:orient="portrait"/>
          <w:cols w:equalWidth="0" w:num="2">
            <w:col w:w="2140" w:space="720"/>
            <w:col w:w="73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Gustave G. Amsterdam</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Sheldon M. Bonovitz</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Joseph L. Castle II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Bernard C. Watson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Irving A. Wechsler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29, 1998</w:t>
      </w:r>
    </w:p>
    <w:p>
      <w:pPr>
        <w:spacing w:after="0" w:line="21" w:lineRule="exact"/>
        <w:rPr>
          <w:sz w:val="20"/>
          <w:szCs w:val="20"/>
          <w:color w:val="auto"/>
        </w:rPr>
      </w:pPr>
    </w:p>
    <w:p>
      <w:pPr>
        <w:sectPr>
          <w:pgSz w:w="11900" w:h="16838" w:orient="portrait"/>
          <w:cols w:equalWidth="0" w:num="3">
            <w:col w:w="2740" w:space="120"/>
            <w:col w:w="2960" w:space="720"/>
            <w:col w:w="3679"/>
          </w:cols>
          <w:pgMar w:left="240" w:top="142"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Anne Wexler</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 Arthur R. Block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Arthur R. Block,</w:t>
      </w:r>
    </w:p>
    <w:p>
      <w:pPr>
        <w:ind w:left="4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420" w:space="0"/>
            <w:col w:w="9799"/>
          </w:cols>
          <w:pgMar w:left="240" w:top="14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September 29, 1998</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2019-12-12T23:06:18Z</dcterms:created>
  <dcterms:modified xsi:type="dcterms:W3CDTF">2019-12-12T23:06:18Z</dcterms:modified>
</cp:coreProperties>
</file>