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200025</wp:posOffset>
            </wp:positionV>
            <wp:extent cx="23069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13, 2018</w:t>
      </w:r>
    </w:p>
    <w:p>
      <w:pPr>
        <w:spacing w:after="0" w:line="217" w:lineRule="exact"/>
        <w:rPr>
          <w:sz w:val="24"/>
          <w:szCs w:val="24"/>
          <w:color w:val="auto"/>
        </w:rPr>
      </w:pPr>
    </w:p>
    <w:tbl>
      <w:tblPr>
        <w:tblLayout w:type="fixed"/>
        <w:tblInd w:w="420" w:type="dxa"/>
        <w:tblCellMar>
          <w:top w:w="0" w:type="dxa"/>
          <w:left w:w="0" w:type="dxa"/>
          <w:bottom w:w="0" w:type="dxa"/>
          <w:right w:w="0" w:type="dxa"/>
        </w:tblCellMar>
      </w:tblPr>
      <w:tr>
        <w:trPr>
          <w:trHeight w:val="301"/>
        </w:trPr>
        <w:tc>
          <w:tcPr>
            <w:tcW w:w="3320" w:type="dxa"/>
            <w:vAlign w:val="bottom"/>
          </w:tcPr>
          <w:p>
            <w:pPr>
              <w:spacing w:after="0"/>
              <w:rPr>
                <w:sz w:val="24"/>
                <w:szCs w:val="24"/>
                <w:color w:val="auto"/>
              </w:rPr>
            </w:pPr>
          </w:p>
        </w:tc>
        <w:tc>
          <w:tcPr>
            <w:tcW w:w="7040" w:type="dxa"/>
            <w:vAlign w:val="bottom"/>
          </w:tcPr>
          <w:p>
            <w:pPr>
              <w:jc w:val="center"/>
              <w:ind w:right="3010"/>
              <w:spacing w:after="0"/>
              <w:rPr>
                <w:sz w:val="20"/>
                <w:szCs w:val="20"/>
                <w:color w:val="auto"/>
              </w:rPr>
            </w:pPr>
            <w:r>
              <w:rPr>
                <w:rFonts w:ascii="Arial" w:cs="Arial" w:eastAsia="Arial" w:hAnsi="Arial"/>
                <w:sz w:val="25"/>
                <w:szCs w:val="25"/>
                <w:b w:val="1"/>
                <w:bCs w:val="1"/>
                <w:color w:val="auto"/>
                <w:w w:val="91"/>
              </w:rPr>
              <w:t>Comcast Corporation</w:t>
            </w:r>
          </w:p>
        </w:tc>
      </w:tr>
      <w:tr>
        <w:trPr>
          <w:trHeight w:val="149"/>
        </w:trPr>
        <w:tc>
          <w:tcPr>
            <w:tcW w:w="3320" w:type="dxa"/>
            <w:vAlign w:val="bottom"/>
          </w:tcPr>
          <w:p>
            <w:pPr>
              <w:spacing w:after="0"/>
              <w:rPr>
                <w:sz w:val="12"/>
                <w:szCs w:val="12"/>
                <w:color w:val="auto"/>
              </w:rPr>
            </w:pPr>
          </w:p>
        </w:tc>
        <w:tc>
          <w:tcPr>
            <w:tcW w:w="7040" w:type="dxa"/>
            <w:vAlign w:val="bottom"/>
          </w:tcPr>
          <w:p>
            <w:pPr>
              <w:jc w:val="center"/>
              <w:ind w:right="3010"/>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3320" w:type="dxa"/>
            <w:vAlign w:val="bottom"/>
          </w:tcPr>
          <w:p>
            <w:pPr>
              <w:spacing w:after="0"/>
              <w:rPr>
                <w:sz w:val="15"/>
                <w:szCs w:val="15"/>
                <w:color w:val="auto"/>
              </w:rPr>
            </w:pPr>
          </w:p>
        </w:tc>
        <w:tc>
          <w:tcPr>
            <w:tcW w:w="7040" w:type="dxa"/>
            <w:vAlign w:val="bottom"/>
          </w:tcPr>
          <w:p>
            <w:pPr>
              <w:jc w:val="center"/>
              <w:ind w:right="2990"/>
              <w:spacing w:after="0"/>
              <w:rPr>
                <w:sz w:val="20"/>
                <w:szCs w:val="20"/>
                <w:color w:val="auto"/>
              </w:rPr>
            </w:pPr>
            <w:r>
              <w:rPr>
                <w:rFonts w:ascii="Arial" w:cs="Arial" w:eastAsia="Arial" w:hAnsi="Arial"/>
                <w:sz w:val="14"/>
                <w:szCs w:val="14"/>
                <w:color w:val="auto"/>
                <w:w w:val="92"/>
              </w:rPr>
              <w:t>as Specified in Charter)</w:t>
            </w:r>
          </w:p>
        </w:tc>
      </w:tr>
      <w:tr>
        <w:trPr>
          <w:trHeight w:val="403"/>
        </w:trPr>
        <w:tc>
          <w:tcPr>
            <w:tcW w:w="3320" w:type="dxa"/>
            <w:vAlign w:val="bottom"/>
          </w:tcPr>
          <w:p>
            <w:pPr>
              <w:spacing w:after="0"/>
              <w:rPr>
                <w:sz w:val="24"/>
                <w:szCs w:val="24"/>
                <w:color w:val="auto"/>
              </w:rPr>
            </w:pPr>
          </w:p>
        </w:tc>
        <w:tc>
          <w:tcPr>
            <w:tcW w:w="7040" w:type="dxa"/>
            <w:vAlign w:val="bottom"/>
          </w:tcPr>
          <w:p>
            <w:pPr>
              <w:jc w:val="center"/>
              <w:ind w:right="2970"/>
              <w:spacing w:after="0"/>
              <w:rPr>
                <w:sz w:val="20"/>
                <w:szCs w:val="20"/>
                <w:color w:val="auto"/>
              </w:rPr>
            </w:pPr>
            <w:r>
              <w:rPr>
                <w:rFonts w:ascii="Arial" w:cs="Arial" w:eastAsia="Arial" w:hAnsi="Arial"/>
                <w:sz w:val="18"/>
                <w:szCs w:val="18"/>
                <w:b w:val="1"/>
                <w:bCs w:val="1"/>
                <w:color w:val="auto"/>
                <w:w w:val="88"/>
              </w:rPr>
              <w:t>Pennsylvania</w:t>
            </w:r>
          </w:p>
        </w:tc>
      </w:tr>
      <w:tr>
        <w:trPr>
          <w:trHeight w:val="230"/>
        </w:trPr>
        <w:tc>
          <w:tcPr>
            <w:tcW w:w="3320" w:type="dxa"/>
            <w:vAlign w:val="bottom"/>
          </w:tcPr>
          <w:p>
            <w:pPr>
              <w:spacing w:after="0"/>
              <w:rPr>
                <w:sz w:val="20"/>
                <w:szCs w:val="20"/>
                <w:color w:val="auto"/>
              </w:rPr>
            </w:pPr>
          </w:p>
        </w:tc>
        <w:tc>
          <w:tcPr>
            <w:tcW w:w="7040" w:type="dxa"/>
            <w:vAlign w:val="bottom"/>
          </w:tcPr>
          <w:p>
            <w:pPr>
              <w:jc w:val="center"/>
              <w:ind w:right="2990"/>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8"/>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001-32871</w:t>
            </w:r>
          </w:p>
        </w:tc>
        <w:tc>
          <w:tcPr>
            <w:tcW w:w="7040" w:type="dxa"/>
            <w:vAlign w:val="bottom"/>
          </w:tcPr>
          <w:p>
            <w:pPr>
              <w:jc w:val="center"/>
              <w:ind w:left="447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7040" w:type="dxa"/>
            <w:vAlign w:val="bottom"/>
          </w:tcPr>
          <w:p>
            <w:pPr>
              <w:jc w:val="center"/>
              <w:ind w:left="44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One Comcast Center</w:t>
            </w:r>
          </w:p>
        </w:tc>
        <w:tc>
          <w:tcPr>
            <w:tcW w:w="7040" w:type="dxa"/>
            <w:vAlign w:val="bottom"/>
          </w:tcPr>
          <w:p>
            <w:pPr>
              <w:spacing w:after="0"/>
              <w:rPr>
                <w:sz w:val="24"/>
                <w:szCs w:val="24"/>
                <w:color w:val="auto"/>
              </w:rPr>
            </w:pPr>
          </w:p>
        </w:tc>
      </w:tr>
      <w:tr>
        <w:trPr>
          <w:trHeight w:val="220"/>
        </w:trPr>
        <w:tc>
          <w:tcPr>
            <w:tcW w:w="332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Philadelphia, PA</w:t>
            </w:r>
          </w:p>
        </w:tc>
        <w:tc>
          <w:tcPr>
            <w:tcW w:w="7040" w:type="dxa"/>
            <w:vAlign w:val="bottom"/>
          </w:tcPr>
          <w:p>
            <w:pPr>
              <w:jc w:val="center"/>
              <w:ind w:left="447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3320" w:type="dxa"/>
            <w:vAlign w:val="bottom"/>
          </w:tcPr>
          <w:p>
            <w:pPr>
              <w:jc w:val="center"/>
              <w:ind w:right="290"/>
              <w:spacing w:after="0"/>
              <w:rPr>
                <w:sz w:val="20"/>
                <w:szCs w:val="20"/>
                <w:color w:val="auto"/>
              </w:rPr>
            </w:pPr>
            <w:r>
              <w:rPr>
                <w:rFonts w:ascii="Arial" w:cs="Arial" w:eastAsia="Arial" w:hAnsi="Arial"/>
                <w:sz w:val="18"/>
                <w:szCs w:val="18"/>
                <w:color w:val="auto"/>
                <w:w w:val="92"/>
              </w:rPr>
              <w:t>(Address of Principal Executive Offices)</w:t>
            </w:r>
          </w:p>
        </w:tc>
        <w:tc>
          <w:tcPr>
            <w:tcW w:w="7040" w:type="dxa"/>
            <w:vAlign w:val="bottom"/>
          </w:tcPr>
          <w:p>
            <w:pPr>
              <w:jc w:val="center"/>
              <w:ind w:left="44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13, 2018, Comcast Corporation (“Comcast”) issued a press release relating to its proposal to acquire Twenty-First Century Fox, Inc. (“21CF”). A copy of the press release is attached hereto as Exhibit 99.1 and incorporated by reference herein. The information contained in Exhibit 99.1 shall not be deemed “filed” with the U.S. Securities and Exchange Commission (the “SEC”) nor incorporated by reference in any registration statement filed by Comcast Corporation under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This document does not constitute an offer to buy or solicitation of an offer to sell any securities. This document is for informational purposes only and relates to a proposal that Comcast has made to 21CF. Comcast is filing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http://www.sec.gov or by contacting Comcast’s proxy solicitation agent, MacKenzie Partners, Inc., at (800) 322-2885 or comcast@mackenziepartners.com.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in Item 7.01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Comcast Corporation, dated 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186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June 13, 2018</w:t>
            </w:r>
          </w:p>
        </w:tc>
        <w:tc>
          <w:tcPr>
            <w:tcW w:w="7880" w:type="dxa"/>
            <w:vAlign w:val="bottom"/>
            <w:gridSpan w:val="3"/>
          </w:tcPr>
          <w:p>
            <w:pPr>
              <w:ind w:left="1860"/>
              <w:spacing w:after="0"/>
              <w:rPr>
                <w:sz w:val="20"/>
                <w:szCs w:val="20"/>
                <w:color w:val="auto"/>
              </w:rPr>
            </w:pPr>
            <w:r>
              <w:rPr>
                <w:rFonts w:ascii="Arial" w:cs="Arial" w:eastAsia="Arial" w:hAnsi="Arial"/>
                <w:sz w:val="18"/>
                <w:szCs w:val="18"/>
                <w:color w:val="auto"/>
              </w:rPr>
              <w:t>By:  /s/ Arthur R. Block</w:t>
            </w:r>
          </w:p>
        </w:tc>
      </w:tr>
      <w:tr>
        <w:trPr>
          <w:trHeight w:val="195"/>
        </w:trPr>
        <w:tc>
          <w:tcPr>
            <w:tcW w:w="3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1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945"/>
        </w:trPr>
        <w:tc>
          <w:tcPr>
            <w:tcW w:w="35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0"/>
                <w:szCs w:val="20"/>
                <w:color w:val="auto"/>
              </w:rPr>
            </w:pPr>
          </w:p>
        </w:tc>
        <w:tc>
          <w:tcPr>
            <w:tcW w:w="10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2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100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June 13, 2018.</w:t>
              </w:r>
            </w:hyperlink>
          </w:p>
        </w:tc>
      </w:tr>
      <w:tr>
        <w:trPr>
          <w:trHeight w:val="1114"/>
        </w:trPr>
        <w:tc>
          <w:tcPr>
            <w:tcW w:w="32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174942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49425" cy="754380"/>
                    </a:xfrm>
                    <a:prstGeom prst="rect">
                      <a:avLst/>
                    </a:prstGeom>
                    <a:noFill/>
                  </pic:spPr>
                </pic:pic>
              </a:graphicData>
            </a:graphic>
          </wp:anchor>
        </w:drawing>
      </w:r>
    </w:p>
    <w:p>
      <w:pPr>
        <w:spacing w:after="0" w:line="326" w:lineRule="exact"/>
        <w:rPr>
          <w:sz w:val="20"/>
          <w:szCs w:val="20"/>
          <w:color w:val="auto"/>
        </w:rPr>
      </w:pPr>
    </w:p>
    <w:p>
      <w:pPr>
        <w:ind w:left="7980"/>
        <w:spacing w:after="0"/>
        <w:rPr>
          <w:sz w:val="20"/>
          <w:szCs w:val="20"/>
          <w:color w:val="auto"/>
        </w:rPr>
      </w:pPr>
      <w:r>
        <w:rPr>
          <w:rFonts w:ascii="Arial" w:cs="Arial" w:eastAsia="Arial" w:hAnsi="Arial"/>
          <w:sz w:val="20"/>
          <w:szCs w:val="20"/>
          <w:b w:val="1"/>
          <w:bCs w:val="1"/>
          <w:color w:val="auto"/>
        </w:rPr>
        <w:t>PRESS RELEASE</w:t>
      </w:r>
    </w:p>
    <w:p>
      <w:pPr>
        <w:spacing w:after="0" w:line="8"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Comcast Corporation</w:t>
      </w:r>
    </w:p>
    <w:p>
      <w:pPr>
        <w:ind w:left="7980"/>
        <w:spacing w:after="0" w:line="234" w:lineRule="auto"/>
        <w:rPr>
          <w:sz w:val="20"/>
          <w:szCs w:val="20"/>
          <w:color w:val="auto"/>
        </w:rPr>
      </w:pPr>
      <w:r>
        <w:rPr>
          <w:rFonts w:ascii="Arial" w:cs="Arial" w:eastAsia="Arial" w:hAnsi="Arial"/>
          <w:sz w:val="18"/>
          <w:szCs w:val="18"/>
          <w:color w:val="auto"/>
        </w:rPr>
        <w:t>One Comcast Center</w:t>
      </w:r>
    </w:p>
    <w:p>
      <w:pPr>
        <w:ind w:left="798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www.comcastcorporation.com</w:t>
      </w:r>
    </w:p>
    <w:p>
      <w:pPr>
        <w:spacing w:after="0" w:line="200" w:lineRule="exact"/>
        <w:rPr>
          <w:sz w:val="20"/>
          <w:szCs w:val="20"/>
          <w:color w:val="auto"/>
        </w:rPr>
      </w:pPr>
    </w:p>
    <w:p>
      <w:pPr>
        <w:spacing w:after="0" w:line="363" w:lineRule="exact"/>
        <w:rPr>
          <w:sz w:val="20"/>
          <w:szCs w:val="20"/>
          <w:color w:val="auto"/>
        </w:rPr>
      </w:pPr>
    </w:p>
    <w:p>
      <w:pPr>
        <w:jc w:val="center"/>
        <w:ind w:left="260" w:right="40"/>
        <w:spacing w:after="0" w:line="258" w:lineRule="auto"/>
        <w:rPr>
          <w:sz w:val="20"/>
          <w:szCs w:val="20"/>
          <w:color w:val="auto"/>
        </w:rPr>
      </w:pPr>
      <w:r>
        <w:rPr>
          <w:rFonts w:ascii="Arial" w:cs="Arial" w:eastAsia="Arial" w:hAnsi="Arial"/>
          <w:sz w:val="20"/>
          <w:szCs w:val="20"/>
          <w:b w:val="1"/>
          <w:bCs w:val="1"/>
          <w:color w:val="auto"/>
        </w:rPr>
        <w:t>COMCAST MAKES SUPERIOR ALL-CASH PROPOSAL TO ACQUIRE TWENTY-FIRST CENTURY FOX AFTER SPINOFF OF “NEW FOX”</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$35.00 Per Share Proposal Provides Premium of Approximately 19% to Current Value of Disney’s All-Stock Offer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PHILADELPHIA – June 13, 2018 – </w:t>
      </w:r>
      <w:r>
        <w:rPr>
          <w:rFonts w:ascii="Arial" w:cs="Arial" w:eastAsia="Arial" w:hAnsi="Arial"/>
          <w:sz w:val="18"/>
          <w:szCs w:val="18"/>
          <w:color w:val="auto"/>
        </w:rPr>
        <w:t>Comcast Corporation (Nasdaq: CMCSA) issued the following statement:</w:t>
      </w:r>
    </w:p>
    <w:p>
      <w:pPr>
        <w:spacing w:after="0" w:line="2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Today, Comcast Corporation (“Comcast”) delivered a letter to the Board of Directors of Twenty-First Century Fox, Inc. (“21CF”) setting forth the terms of a superior proposal by Comcast to acquire the businesses that 21CF has agreed to sell to The Walt Disney Company (“Disney”) for $35.00 per share in cash, which represents a premium of approximately 19% to the value of Disney’s all-stock offer as of 12:00 p.m., noon (Eastern Time) on June 13, 2018. The structure and other terms of Comcast’s proposal, including with respect to the spin-off of “New Fox” and the regulatory risk provisions and related termination fee, are at least as favorable to 21CF shareholders as the Disney offer.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copy of the letter that Comcast delivered to the Board of Directors of 21CF:</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13, 2018</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Board of Directors</w:t>
      </w:r>
    </w:p>
    <w:p>
      <w:pPr>
        <w:ind w:left="340"/>
        <w:spacing w:after="0" w:line="234" w:lineRule="auto"/>
        <w:rPr>
          <w:sz w:val="20"/>
          <w:szCs w:val="20"/>
          <w:color w:val="auto"/>
        </w:rPr>
      </w:pPr>
      <w:r>
        <w:rPr>
          <w:rFonts w:ascii="Arial" w:cs="Arial" w:eastAsia="Arial" w:hAnsi="Arial"/>
          <w:sz w:val="18"/>
          <w:szCs w:val="18"/>
          <w:color w:val="auto"/>
        </w:rPr>
        <w:t>Twenty-First Century Fox, Inc.</w:t>
      </w:r>
    </w:p>
    <w:p>
      <w:pPr>
        <w:ind w:left="340"/>
        <w:spacing w:after="0" w:line="235" w:lineRule="auto"/>
        <w:rPr>
          <w:sz w:val="20"/>
          <w:szCs w:val="20"/>
          <w:color w:val="auto"/>
        </w:rPr>
      </w:pPr>
      <w:r>
        <w:rPr>
          <w:rFonts w:ascii="Arial" w:cs="Arial" w:eastAsia="Arial" w:hAnsi="Arial"/>
          <w:sz w:val="18"/>
          <w:szCs w:val="18"/>
          <w:color w:val="auto"/>
        </w:rPr>
        <w:t>1211 Avenue of the Americas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10036</w:t>
      </w:r>
    </w:p>
    <w:p>
      <w:pPr>
        <w:sectPr>
          <w:pgSz w:w="11900" w:h="16838" w:orient="portrait"/>
          <w:cols w:equalWidth="0" w:num="1">
            <w:col w:w="11420"/>
          </w:cols>
          <w:pgMar w:left="240" w:top="112" w:right="239" w:bottom="1440" w:gutter="0" w:footer="0" w:header="0"/>
        </w:sectPr>
      </w:pPr>
    </w:p>
    <w:p>
      <w:pPr>
        <w:spacing w:after="0" w:line="198"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Mr. K. Rupert Murdoch, Executive Chairman</w:t>
      </w:r>
    </w:p>
    <w:p>
      <w:pPr>
        <w:spacing w:after="0" w:line="234" w:lineRule="auto"/>
        <w:rPr>
          <w:sz w:val="20"/>
          <w:szCs w:val="20"/>
          <w:color w:val="auto"/>
        </w:rPr>
      </w:pPr>
      <w:r>
        <w:rPr>
          <w:rFonts w:ascii="Arial" w:cs="Arial" w:eastAsia="Arial" w:hAnsi="Arial"/>
          <w:sz w:val="18"/>
          <w:szCs w:val="18"/>
          <w:color w:val="auto"/>
        </w:rPr>
        <w:t>Mr. Lachlan K. Murdoch, Executive Chairman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Mr. James R. Murdoch, Chief Executive Officer</w:t>
      </w:r>
    </w:p>
    <w:p>
      <w:pPr>
        <w:spacing w:after="0" w:line="200" w:lineRule="exact"/>
        <w:rPr>
          <w:sz w:val="20"/>
          <w:szCs w:val="20"/>
          <w:color w:val="auto"/>
        </w:rPr>
      </w:pPr>
    </w:p>
    <w:p>
      <w:pPr>
        <w:sectPr>
          <w:pgSz w:w="11900" w:h="16838" w:orient="portrait"/>
          <w:cols w:equalWidth="0" w:num="2">
            <w:col w:w="1100" w:space="320"/>
            <w:col w:w="10000"/>
          </w:cols>
          <w:pgMar w:left="240" w:top="112" w:right="239" w:bottom="1440" w:gutter="0" w:footer="0" w:header="0"/>
          <w:type w:val="continuous"/>
        </w:sectPr>
      </w:pPr>
    </w:p>
    <w:p>
      <w:pPr>
        <w:spacing w:after="0" w:line="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Rupert, Lachlan and James,</w:t>
      </w:r>
    </w:p>
    <w:p>
      <w:pPr>
        <w:spacing w:after="0" w:line="198" w:lineRule="exact"/>
        <w:rPr>
          <w:sz w:val="20"/>
          <w:szCs w:val="20"/>
          <w:color w:val="auto"/>
        </w:rPr>
      </w:pPr>
    </w:p>
    <w:p>
      <w:pPr>
        <w:ind w:left="340" w:right="100"/>
        <w:spacing w:after="0"/>
        <w:rPr>
          <w:sz w:val="20"/>
          <w:szCs w:val="20"/>
          <w:color w:val="auto"/>
        </w:rPr>
      </w:pPr>
      <w:r>
        <w:rPr>
          <w:rFonts w:ascii="Arial" w:cs="Arial" w:eastAsia="Arial" w:hAnsi="Arial"/>
          <w:sz w:val="18"/>
          <w:szCs w:val="18"/>
          <w:color w:val="auto"/>
        </w:rPr>
        <w:t>We have long admired what the Murdoch family has built at Twenty-First Century Fox. After our meetings last year, we came away convinced that the 21CF businesses to be sold are highly complementary to ours, and that our company would be the right strategic home for them.</w:t>
      </w:r>
    </w:p>
    <w:p>
      <w:pPr>
        <w:spacing w:after="0" w:line="189" w:lineRule="exact"/>
        <w:rPr>
          <w:sz w:val="20"/>
          <w:szCs w:val="20"/>
          <w:color w:val="auto"/>
        </w:rPr>
      </w:pPr>
    </w:p>
    <w:p>
      <w:pPr>
        <w:ind w:left="340" w:right="40"/>
        <w:spacing w:after="0" w:line="238" w:lineRule="auto"/>
        <w:rPr>
          <w:sz w:val="20"/>
          <w:szCs w:val="20"/>
          <w:color w:val="auto"/>
        </w:rPr>
      </w:pPr>
      <w:r>
        <w:rPr>
          <w:rFonts w:ascii="Arial" w:cs="Arial" w:eastAsia="Arial" w:hAnsi="Arial"/>
          <w:sz w:val="18"/>
          <w:szCs w:val="18"/>
          <w:color w:val="auto"/>
        </w:rPr>
        <w:t>So, we were disappointed when 21CF decided to enter into a transaction with The Walt Disney Company, even though we had offered a meaningfully higher price. We have reviewed the publicly available terms of the proposed Disney transaction, as well as the joint proxy statement/prospectus filed with the SEC describing the reasons for the 21CF Board of Directors’ decision. In light of yesterday’s decision in the AT&amp;T/Time Warner case, the limited time prior to your shareholders’ meeting, and our strong continued interest, we are pleased to present a new, all-cash proposal that fully addresses the Board’s stated concerns with our prior proposal.</w:t>
      </w:r>
    </w:p>
    <w:p>
      <w:pPr>
        <w:spacing w:after="0" w:line="189" w:lineRule="exact"/>
        <w:rPr>
          <w:sz w:val="20"/>
          <w:szCs w:val="20"/>
          <w:color w:val="auto"/>
        </w:rPr>
      </w:pPr>
    </w:p>
    <w:p>
      <w:pPr>
        <w:ind w:left="340" w:right="80"/>
        <w:spacing w:after="0" w:line="239" w:lineRule="auto"/>
        <w:rPr>
          <w:sz w:val="20"/>
          <w:szCs w:val="20"/>
          <w:color w:val="auto"/>
        </w:rPr>
      </w:pPr>
      <w:r>
        <w:rPr>
          <w:rFonts w:ascii="Arial" w:cs="Arial" w:eastAsia="Arial" w:hAnsi="Arial"/>
          <w:sz w:val="18"/>
          <w:szCs w:val="18"/>
          <w:color w:val="auto"/>
        </w:rPr>
        <w:t>Our new proposal offers 21CF shareholders $35.00 per share in cash and 100% of the shares of New Fox after giving effect to its proposed spinoff, providing superior and more certain value as compared to Disney’s all-stock offer. Our proposal represents a premium of approximately 19% to the value of Disney’s offer as of noon today. We are highly confident in our ability to finance the transaction, and our offer includes no financing-related conditions.</w:t>
      </w:r>
    </w:p>
    <w:p>
      <w:pPr>
        <w:spacing w:after="0" w:line="188" w:lineRule="exact"/>
        <w:rPr>
          <w:sz w:val="20"/>
          <w:szCs w:val="20"/>
          <w:color w:val="auto"/>
        </w:rPr>
      </w:pPr>
    </w:p>
    <w:p>
      <w:pPr>
        <w:ind w:left="340" w:right="60"/>
        <w:spacing w:after="0" w:line="237" w:lineRule="auto"/>
        <w:rPr>
          <w:sz w:val="20"/>
          <w:szCs w:val="20"/>
          <w:color w:val="auto"/>
        </w:rPr>
      </w:pPr>
      <w:r>
        <w:rPr>
          <w:rFonts w:ascii="Arial" w:cs="Arial" w:eastAsia="Arial" w:hAnsi="Arial"/>
          <w:sz w:val="18"/>
          <w:szCs w:val="18"/>
          <w:color w:val="auto"/>
        </w:rPr>
        <w:t>We are also highly confident that our proposed transaction will obtain all necessary regulatory approvals in a timely manner and that our transaction is as or more likely to receive regulatory approval than the Disney transaction. Accordingly, we are offering the same regulatory commitments as the ones 21CF has already obtained from Disney, including the same $2.5 billion reverse termination fee agreed to by Disney. To further evidence our commitment, we also are offering to reimburse the $1.525 billion break-up fee to be paid by you to Disney, for a total cost to Comcast of $4.025 billion, in the highly unlikely scenario that our transaction does not close because we fail to obtain all necessary regulatory approvals.</w:t>
      </w:r>
    </w:p>
    <w:p>
      <w:pPr>
        <w:spacing w:after="0" w:line="192" w:lineRule="exact"/>
        <w:rPr>
          <w:sz w:val="20"/>
          <w:szCs w:val="20"/>
          <w:color w:val="auto"/>
        </w:rPr>
      </w:pPr>
    </w:p>
    <w:p>
      <w:pPr>
        <w:ind w:left="340" w:right="100"/>
        <w:spacing w:after="0"/>
        <w:rPr>
          <w:sz w:val="20"/>
          <w:szCs w:val="20"/>
          <w:color w:val="auto"/>
        </w:rPr>
      </w:pPr>
      <w:r>
        <w:rPr>
          <w:rFonts w:ascii="Arial" w:cs="Arial" w:eastAsia="Arial" w:hAnsi="Arial"/>
          <w:sz w:val="18"/>
          <w:szCs w:val="18"/>
          <w:color w:val="auto"/>
        </w:rPr>
        <w:t>We welcome the opportunity to discuss the regulatory issues presented by each deal. We note that there should not be any meaningful difference in the timing of the U.S. antitrust review between a Comcast and Disney transaction. We have made our HSR filing today, which formally begins our regulatory review at the DOJ. In addition, we have already submitted a large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18"/>
          <w:szCs w:val="18"/>
          <w:color w:val="auto"/>
        </w:rPr>
        <w:t>volume of documents and data to the DOJ in connection with its review of the Disney transaction. This information largely overlaps with the information that the DOJ will need to review a Comcast transaction. As a result, our transaction should be reviewable by the DOJ in the same cycle as Disney’s transaction. We similarly expect that our transaction should be reviewable by international regulators in as timely a manner as the Disney transaction, and should be as or more likely to receive international approvals, given our relatively small presence outside the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unanimously approved this proposal, and no Comcast shareholder vote will be required for this transaction.</w:t>
      </w:r>
    </w:p>
    <w:p>
      <w:pPr>
        <w:spacing w:after="0" w:line="19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Because of your decision to schedule the vote on the Disney merger proposal for July 10, time is of the essence for your consideration of our proposal. We are available to meet at any time to answer questions of the Board, management or your advisors, so that you are in a position to validate the superiority of our offer, and negotiate and enter into a merger agreement, as soon as possible thereafter. Given the very short time frame, today we are filing a preliminary proxy statement with the SEC in opposition to the Disney merger proposal, as we have been advised this is necessary to be in a position to be able to communicate with your shareholders directly regarding the votes they are being asked to cast on July 10. We hope this is precautionary only, as we expect to work together to reach an agreement over the next several days.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More detailed information regarding our proposal is attached.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our discussions and working with you toward completing this exciting transaction for the Fox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Brian L. Roberts</w:t>
      </w:r>
    </w:p>
    <w:p>
      <w:pPr>
        <w:spacing w:after="0"/>
        <w:rPr>
          <w:sz w:val="20"/>
          <w:szCs w:val="20"/>
          <w:color w:val="auto"/>
        </w:rPr>
      </w:pPr>
      <w:r>
        <w:rPr>
          <w:rFonts w:ascii="Arial" w:cs="Arial" w:eastAsia="Arial" w:hAnsi="Arial"/>
          <w:sz w:val="18"/>
          <w:szCs w:val="18"/>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417830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706" w:right="279" w:bottom="1440" w:gutter="0" w:footer="0" w:header="0"/>
        </w:sectPr>
      </w:pPr>
    </w:p>
    <w:bookmarkStart w:id="6" w:name="page7"/>
    <w:bookmarkEnd w:id="6"/>
    <w:p>
      <w:pPr>
        <w:ind w:left="1900"/>
        <w:spacing w:after="0"/>
        <w:rPr>
          <w:sz w:val="20"/>
          <w:szCs w:val="20"/>
          <w:color w:val="auto"/>
        </w:rPr>
      </w:pPr>
      <w:r>
        <w:rPr>
          <w:rFonts w:ascii="Arial" w:cs="Arial" w:eastAsia="Arial" w:hAnsi="Arial"/>
          <w:sz w:val="18"/>
          <w:szCs w:val="18"/>
          <w:color w:val="auto"/>
        </w:rPr>
        <w:t>COMCAST’S SUPERIOR PROPOSAL TO ACQUIRE TWENTY-FIRST CENTURY FOX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All-cash consideration</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Comcast proposes to acquire 100% of the outstanding shares of 21CF for $35.00 per share in cash, reflecting a $ 65 billion equity value for 21CF (after giving effect to the proposed spinoff of New Fox) and a premium of approximately 19% to the value of Disney’s offer as of noon today.</w:t>
      </w:r>
    </w:p>
    <w:p>
      <w:pPr>
        <w:spacing w:after="0" w:line="1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all-cash proposal will provide 21CF shareholders with certain value and immediate liquidity. Our proposal is not subject to a financing condition. We have received Highly Confident Letters from Bank of America Merrill Lynch and Wells Fargo.</w:t>
      </w:r>
    </w:p>
    <w:p>
      <w:pPr>
        <w:spacing w:after="0" w:line="18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have prepared a draft merger agreement reflecting the terms described herein and our legal team of Davis Polk and Wachtell Lipton are available to meet with their appropriate counterparts to discuss and review the document. Our draft merger agreement differs from the Disney agreement only to reflect the superior terms described in this letter, to adapt the agreement to reflect an all-cash transaction (including no Comcast shareholder vote) and to provide greater certainty by eliminating the need for any 21CF charter amendments. Our draft is subject to review of any material non-public information relating to 21CF’s proposed transaction with Disney, including with respect to Disney’s regulatory undertaking and the separation of New Fox.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regulatory risk</w:t>
      </w:r>
    </w:p>
    <w:p>
      <w:pPr>
        <w:spacing w:after="0" w:line="21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have revised our proposal to specifically address the 21CF Board of Directors’ stated concerns regarding the treatment of any required regulatory divestitures, including their tax costs, and a reverse termination fee.</w:t>
      </w:r>
    </w:p>
    <w:p>
      <w:pPr>
        <w:spacing w:after="0" w:line="165" w:lineRule="exact"/>
        <w:rPr>
          <w:sz w:val="20"/>
          <w:szCs w:val="20"/>
          <w:color w:val="auto"/>
        </w:rPr>
      </w:pPr>
    </w:p>
    <w:p>
      <w:pPr>
        <w:ind w:left="640" w:right="180" w:hanging="324"/>
        <w:spacing w:after="0" w:line="26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We will agree to the same divestiture package as Disney, </w:t>
      </w:r>
      <w:r>
        <w:rPr>
          <w:rFonts w:ascii="Arial" w:cs="Arial" w:eastAsia="Arial" w:hAnsi="Arial"/>
          <w:sz w:val="18"/>
          <w:szCs w:val="18"/>
          <w:i w:val="1"/>
          <w:iCs w:val="1"/>
          <w:u w:val="single" w:color="auto"/>
          <w:color w:val="auto"/>
        </w:rPr>
        <w:t>i.e.</w:t>
      </w:r>
      <w:r>
        <w:rPr>
          <w:rFonts w:ascii="Arial" w:cs="Arial" w:eastAsia="Arial" w:hAnsi="Arial"/>
          <w:sz w:val="18"/>
          <w:szCs w:val="18"/>
          <w:color w:val="auto"/>
        </w:rPr>
        <w:t>, a commitment to divest (i) any of 21CF’s RSNs and (ii) other 21CF assets representing up to $500 million of EBITDA (less up to $250 million of EBITDA attributable to divested RSNs).</w:t>
      </w:r>
    </w:p>
    <w:p>
      <w:pPr>
        <w:spacing w:after="0" w:line="165" w:lineRule="exact"/>
        <w:rPr>
          <w:rFonts w:ascii="Arial" w:cs="Arial" w:eastAsia="Arial" w:hAnsi="Arial"/>
          <w:sz w:val="18"/>
          <w:szCs w:val="18"/>
          <w:color w:val="auto"/>
        </w:rPr>
      </w:pPr>
    </w:p>
    <w:p>
      <w:pPr>
        <w:ind w:left="640" w:hanging="32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agree to the same allocation of any tax obligations as Disney in connection with any required divestitures.</w:t>
      </w:r>
    </w:p>
    <w:p>
      <w:pPr>
        <w:spacing w:after="0" w:line="211" w:lineRule="exact"/>
        <w:rPr>
          <w:rFonts w:ascii="Arial" w:cs="Arial" w:eastAsia="Arial" w:hAnsi="Arial"/>
          <w:sz w:val="18"/>
          <w:szCs w:val="18"/>
          <w:color w:val="auto"/>
        </w:rPr>
      </w:pPr>
    </w:p>
    <w:p>
      <w:pPr>
        <w:ind w:left="640" w:right="160" w:hanging="324"/>
        <w:spacing w:after="0" w:line="24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agree to the same reverse termination fee of $2.5 billion as Disney, in the event the transaction does not close as a result of a failure to obtain the required regulatory approvals.</w:t>
      </w:r>
    </w:p>
    <w:p>
      <w:pPr>
        <w:spacing w:after="0" w:line="183"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We will also agree to behavioral restrictions as extensive as those agreed to by Disney and, like Disney, we will also agree to litigate any action taken by the Department of Justice to block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408305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580" w:top="706" w:right="27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i w:val="1"/>
          <w:iCs w:val="1"/>
          <w:color w:val="auto"/>
        </w:rPr>
        <w:t>Reimbursement of Disney Break-Up Fee</w:t>
      </w:r>
    </w:p>
    <w:p>
      <w:pPr>
        <w:spacing w:after="0" w:line="216" w:lineRule="exact"/>
        <w:rPr>
          <w:sz w:val="20"/>
          <w:szCs w:val="20"/>
          <w:color w:val="auto"/>
        </w:rPr>
      </w:pPr>
    </w:p>
    <w:p>
      <w:pPr>
        <w:jc w:val="both"/>
        <w:ind w:left="340" w:right="100"/>
        <w:spacing w:after="0"/>
        <w:rPr>
          <w:sz w:val="20"/>
          <w:szCs w:val="20"/>
          <w:color w:val="auto"/>
        </w:rPr>
      </w:pPr>
      <w:r>
        <w:rPr>
          <w:rFonts w:ascii="Arial" w:cs="Arial" w:eastAsia="Arial" w:hAnsi="Arial"/>
          <w:sz w:val="18"/>
          <w:szCs w:val="18"/>
          <w:color w:val="auto"/>
        </w:rPr>
        <w:t>In addition to our payment of the $2.5 billion reverse termination fee, in the unlikely event that our transaction is terminated due to a failure to obtain the required regulatory approvals, we will also agree to reimburse 21CF for the $1.525 billion break-up fee required to be paid to Disney in connection with termination of the Disney transaction and entry into a merger agreement with 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Sky</w:t>
      </w:r>
    </w:p>
    <w:p>
      <w:pPr>
        <w:spacing w:after="0" w:line="216" w:lineRule="exact"/>
        <w:rPr>
          <w:sz w:val="20"/>
          <w:szCs w:val="20"/>
          <w:color w:val="auto"/>
        </w:rPr>
      </w:pPr>
    </w:p>
    <w:p>
      <w:pPr>
        <w:ind w:left="340"/>
        <w:spacing w:after="0" w:line="239" w:lineRule="auto"/>
        <w:rPr>
          <w:sz w:val="20"/>
          <w:szCs w:val="20"/>
          <w:color w:val="auto"/>
        </w:rPr>
      </w:pPr>
      <w:r>
        <w:rPr>
          <w:rFonts w:ascii="Arial" w:cs="Arial" w:eastAsia="Arial" w:hAnsi="Arial"/>
          <w:sz w:val="18"/>
          <w:szCs w:val="18"/>
          <w:color w:val="auto"/>
        </w:rPr>
        <w:t>Comcast has separately announced, pursuant to Rule 2.7 of the UK City Code on Takeovers and Mergers, a pre-conditional all-cash firm offer for the entire issued and to be issued share capital of Sky plc. We intend to pursue this offer in parallel with our acquisition of 21CF. Of course, the terms of any transaction between Comcast and 21CF will need to be consistent with our respective obligations under the UK takeover regime.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Details</w:t>
      </w:r>
    </w:p>
    <w:p>
      <w:pPr>
        <w:spacing w:after="0" w:line="220"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Comcast will host an investor call with the financial community today, June 13, 2018, at 4:45 p.m. (Eastern Time). The conference call and related materials will be broadcast live and posted on www.cmcsa.com. Details for the call are as follows: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Call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Date: June 13, 2018</w:t>
      </w:r>
    </w:p>
    <w:p>
      <w:pPr>
        <w:spacing w:after="0" w:line="234" w:lineRule="auto"/>
        <w:rPr>
          <w:sz w:val="20"/>
          <w:szCs w:val="20"/>
          <w:color w:val="auto"/>
        </w:rPr>
      </w:pPr>
      <w:r>
        <w:rPr>
          <w:rFonts w:ascii="Arial" w:cs="Arial" w:eastAsia="Arial" w:hAnsi="Arial"/>
          <w:sz w:val="18"/>
          <w:szCs w:val="18"/>
          <w:color w:val="auto"/>
        </w:rPr>
        <w:t>Time: 4:45pm (Eastern Time)</w:t>
      </w:r>
    </w:p>
    <w:p>
      <w:pPr>
        <w:spacing w:after="0" w:line="235" w:lineRule="auto"/>
        <w:rPr>
          <w:sz w:val="20"/>
          <w:szCs w:val="20"/>
          <w:color w:val="auto"/>
        </w:rPr>
      </w:pPr>
      <w:r>
        <w:rPr>
          <w:rFonts w:ascii="Arial" w:cs="Arial" w:eastAsia="Arial" w:hAnsi="Arial"/>
          <w:sz w:val="18"/>
          <w:szCs w:val="18"/>
          <w:color w:val="auto"/>
        </w:rPr>
        <w:t>Dial-in: (800) 263-8495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6499356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of Investor Call</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Time: Available from 7:45pm (Eastern Time) on June 13, 2018 until midnight (Eastern Time) on June 20, 2018</w:t>
      </w:r>
    </w:p>
    <w:p>
      <w:pPr>
        <w:spacing w:after="0" w:line="234" w:lineRule="auto"/>
        <w:rPr>
          <w:sz w:val="20"/>
          <w:szCs w:val="20"/>
          <w:color w:val="auto"/>
        </w:rPr>
      </w:pPr>
      <w:r>
        <w:rPr>
          <w:rFonts w:ascii="Arial" w:cs="Arial" w:eastAsia="Arial" w:hAnsi="Arial"/>
          <w:sz w:val="18"/>
          <w:szCs w:val="18"/>
          <w:color w:val="auto"/>
        </w:rPr>
        <w:t>Dial-in: (855) 859-2056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6499356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22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It also provides wireless and security and automation services to residential customers under the XFINITY brand. NBCUniversal operates news, entertainment, and sports cable networks, the NBC and Telemundo broadcast networks, television production operations, television station groups, Universal Pictures, and Universal Parks and Resorts. Visit www.comcastcorporation.com for more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tcPr>
          <w:p>
            <w:pPr>
              <w:spacing w:after="0"/>
              <w:rPr>
                <w:sz w:val="20"/>
                <w:szCs w:val="20"/>
                <w:color w:val="auto"/>
              </w:rPr>
            </w:pPr>
            <w:r>
              <w:rPr>
                <w:rFonts w:ascii="Arial" w:cs="Arial" w:eastAsia="Arial" w:hAnsi="Arial"/>
                <w:sz w:val="18"/>
                <w:szCs w:val="18"/>
                <w:b w:val="1"/>
                <w:bCs w:val="1"/>
                <w:color w:val="auto"/>
              </w:rPr>
              <w:t>Investor and Media Contacts:</w:t>
            </w:r>
          </w:p>
        </w:tc>
        <w:tc>
          <w:tcPr>
            <w:tcW w:w="3360" w:type="dxa"/>
            <w:vAlign w:val="bottom"/>
          </w:tcPr>
          <w:p>
            <w:pPr>
              <w:spacing w:after="0"/>
              <w:rPr>
                <w:sz w:val="20"/>
                <w:szCs w:val="20"/>
                <w:color w:val="auto"/>
              </w:rPr>
            </w:pPr>
          </w:p>
        </w:tc>
      </w:tr>
      <w:tr>
        <w:trPr>
          <w:trHeight w:val="405"/>
        </w:trPr>
        <w:tc>
          <w:tcPr>
            <w:tcW w:w="4120" w:type="dxa"/>
            <w:vAlign w:val="bottom"/>
          </w:tcPr>
          <w:p>
            <w:pPr>
              <w:spacing w:after="0"/>
              <w:rPr>
                <w:sz w:val="20"/>
                <w:szCs w:val="20"/>
                <w:color w:val="auto"/>
              </w:rPr>
            </w:pPr>
            <w:r>
              <w:rPr>
                <w:rFonts w:ascii="Arial" w:cs="Arial" w:eastAsia="Arial" w:hAnsi="Arial"/>
                <w:sz w:val="18"/>
                <w:szCs w:val="18"/>
                <w:b w:val="1"/>
                <w:bCs w:val="1"/>
                <w:color w:val="auto"/>
              </w:rPr>
              <w:t>Comcast Corporation</w:t>
            </w:r>
          </w:p>
        </w:tc>
        <w:tc>
          <w:tcPr>
            <w:tcW w:w="3360" w:type="dxa"/>
            <w:vAlign w:val="bottom"/>
          </w:tcPr>
          <w:p>
            <w:pPr>
              <w:spacing w:after="0"/>
              <w:rPr>
                <w:sz w:val="24"/>
                <w:szCs w:val="24"/>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color w:val="auto"/>
              </w:rPr>
              <w:t>D’Arcy Rudnay (Media)</w:t>
            </w:r>
          </w:p>
        </w:tc>
        <w:tc>
          <w:tcPr>
            <w:tcW w:w="3360" w:type="dxa"/>
            <w:vAlign w:val="bottom"/>
          </w:tcPr>
          <w:p>
            <w:pPr>
              <w:ind w:left="1600"/>
              <w:spacing w:after="0"/>
              <w:rPr>
                <w:sz w:val="20"/>
                <w:szCs w:val="20"/>
                <w:color w:val="auto"/>
              </w:rPr>
            </w:pPr>
            <w:r>
              <w:rPr>
                <w:rFonts w:ascii="Arial" w:cs="Arial" w:eastAsia="Arial" w:hAnsi="Arial"/>
                <w:sz w:val="18"/>
                <w:szCs w:val="18"/>
                <w:color w:val="auto"/>
                <w:w w:val="97"/>
              </w:rPr>
              <w:t>Tel +1 (215) 286-8582</w:t>
            </w: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John Demming (Media)</w:t>
            </w:r>
          </w:p>
        </w:tc>
        <w:tc>
          <w:tcPr>
            <w:tcW w:w="3360" w:type="dxa"/>
            <w:vAlign w:val="bottom"/>
          </w:tcPr>
          <w:p>
            <w:pPr>
              <w:ind w:left="1600"/>
              <w:spacing w:after="0"/>
              <w:rPr>
                <w:sz w:val="20"/>
                <w:szCs w:val="20"/>
                <w:color w:val="auto"/>
              </w:rPr>
            </w:pPr>
            <w:r>
              <w:rPr>
                <w:rFonts w:ascii="Arial" w:cs="Arial" w:eastAsia="Arial" w:hAnsi="Arial"/>
                <w:sz w:val="18"/>
                <w:szCs w:val="18"/>
                <w:color w:val="auto"/>
                <w:w w:val="97"/>
              </w:rPr>
              <w:t>Tel +1 (215) 286-8011</w:t>
            </w: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Jason Armstrong (Investors)</w:t>
            </w:r>
          </w:p>
        </w:tc>
        <w:tc>
          <w:tcPr>
            <w:tcW w:w="3360" w:type="dxa"/>
            <w:vAlign w:val="bottom"/>
          </w:tcPr>
          <w:p>
            <w:pPr>
              <w:ind w:left="1600"/>
              <w:spacing w:after="0"/>
              <w:rPr>
                <w:sz w:val="20"/>
                <w:szCs w:val="20"/>
                <w:color w:val="auto"/>
              </w:rPr>
            </w:pPr>
            <w:r>
              <w:rPr>
                <w:rFonts w:ascii="Arial" w:cs="Arial" w:eastAsia="Arial" w:hAnsi="Arial"/>
                <w:sz w:val="18"/>
                <w:szCs w:val="18"/>
                <w:color w:val="auto"/>
                <w:w w:val="97"/>
              </w:rPr>
              <w:t>Tel +1 (215) 286-7972</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press release may include statements relating to the expected timing, scope, terms and conditions of a Comcast transaction to acquire certain businesses and assets of 21CF, the likelihood and timing of receipt of regulatory approvals with respect to a Comcast transaction to acquire 21CF, the anticipated benefits of the potential transaction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U.S. Securities and Exchange Commission (“SEC”). The forward-looking statements contained in this press release should be construed in the light of such factors. Neither Comcast nor any of its associates or directors, officers or advisers, provides any representation, assurance or guarantee that the occurrence of the events expressed or implied in any forward-looking statements in this press release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document does not constitute an offer to buy or solicitation of an offer to sell any securities. This document is for informational purposes only and relates to a proposal that Comcast has made to 21CF. Comcast is filing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 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http://www.sec.gov or by contacting Comcast’s proxy solicitation agent, MacKenzie Partners, Inc., at (800) 322-2885 or comcast@mackenziepartners.com.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0"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2019-12-28T21:23:00Z</dcterms:created>
  <dcterms:modified xsi:type="dcterms:W3CDTF">2019-12-28T21:23:00Z</dcterms:modified>
</cp:coreProperties>
</file>