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Filed Pursuant to Rule 424(B)(2)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333-104034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prospectus dated March 26,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144145</wp:posOffset>
            </wp:positionV>
            <wp:extent cx="1440815" cy="368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$1,000,000,000 5.30%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160020</wp:posOffset>
            </wp:positionV>
            <wp:extent cx="22555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We will pay interest on the notes on January 15 and July 15 of each year beginning on January 15, 2004. The notes will bear interest at a rate of 5.30% per year and will mature on January 15, 2014. 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224" w:lineRule="exact"/>
        <w:rPr>
          <w:sz w:val="20"/>
          <w:szCs w:val="20"/>
          <w:color w:val="auto"/>
        </w:rPr>
      </w:pPr>
    </w:p>
    <w:p>
      <w:pPr>
        <w:ind w:right="580" w:firstLine="324"/>
        <w:spacing w:after="0" w:line="268" w:lineRule="auto"/>
        <w:rPr>
          <w:sz w:val="20"/>
          <w:szCs w:val="20"/>
          <w:color w:val="auto"/>
        </w:rPr>
      </w:pPr>
      <w:r>
        <w:rPr>
          <w:rFonts w:ascii="Arial" w:cs="Arial" w:eastAsia="Arial" w:hAnsi="Arial"/>
          <w:sz w:val="18"/>
          <w:szCs w:val="18"/>
          <w:color w:val="auto"/>
        </w:rPr>
        <w:t>We may redeem any of the notes at any time by paying the greater of the principal amount of the notes or a “make-whole” amount, plus, in each case, accrued interest. See “Description of the Notes and the Cable Guarantees—Optional Redemption.”</w:t>
      </w:r>
    </w:p>
    <w:p>
      <w:pPr>
        <w:spacing w:after="0" w:line="167" w:lineRule="exact"/>
        <w:rPr>
          <w:sz w:val="20"/>
          <w:szCs w:val="20"/>
          <w:color w:val="auto"/>
        </w:rPr>
      </w:pPr>
    </w:p>
    <w:p>
      <w:pPr>
        <w:ind w:right="880" w:firstLine="378"/>
        <w:spacing w:after="0" w:line="256" w:lineRule="auto"/>
        <w:rPr>
          <w:sz w:val="20"/>
          <w:szCs w:val="20"/>
          <w:color w:val="auto"/>
        </w:rPr>
      </w:pPr>
      <w:r>
        <w:rPr>
          <w:rFonts w:ascii="Arial" w:cs="Arial" w:eastAsia="Arial" w:hAnsi="Arial"/>
          <w:sz w:val="22"/>
          <w:szCs w:val="22"/>
          <w:b w:val="1"/>
          <w:bCs w:val="1"/>
          <w:color w:val="auto"/>
        </w:rPr>
        <w:t>Investing in the notes involves risks that are described in the “Risk Factors” section beginning on page 3 of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120650</wp:posOffset>
            </wp:positionV>
            <wp:extent cx="22555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00" w:type="dxa"/>
            <w:vAlign w:val="bottom"/>
          </w:tcPr>
          <w:p>
            <w:pPr>
              <w:jc w:val="right"/>
              <w:ind w:right="622"/>
              <w:spacing w:after="0"/>
              <w:rPr>
                <w:sz w:val="20"/>
                <w:szCs w:val="20"/>
                <w:color w:val="auto"/>
              </w:rPr>
            </w:pPr>
            <w:r>
              <w:rPr>
                <w:rFonts w:ascii="Arial" w:cs="Arial" w:eastAsia="Arial" w:hAnsi="Arial"/>
                <w:sz w:val="14"/>
                <w:szCs w:val="14"/>
                <w:b w:val="1"/>
                <w:bCs w:val="1"/>
                <w:color w:val="auto"/>
              </w:rPr>
              <w:t>Price to</w:t>
            </w:r>
          </w:p>
        </w:tc>
        <w:tc>
          <w:tcPr>
            <w:tcW w:w="240" w:type="dxa"/>
            <w:vAlign w:val="bottom"/>
          </w:tcPr>
          <w:p>
            <w:pPr>
              <w:spacing w:after="0"/>
              <w:rPr>
                <w:sz w:val="14"/>
                <w:szCs w:val="14"/>
                <w:color w:val="auto"/>
              </w:rPr>
            </w:pPr>
          </w:p>
        </w:tc>
        <w:tc>
          <w:tcPr>
            <w:tcW w:w="1840" w:type="dxa"/>
            <w:vAlign w:val="bottom"/>
          </w:tcPr>
          <w:p>
            <w:pPr>
              <w:jc w:val="right"/>
              <w:ind w:right="452"/>
              <w:spacing w:after="0"/>
              <w:rPr>
                <w:sz w:val="20"/>
                <w:szCs w:val="20"/>
                <w:color w:val="auto"/>
              </w:rPr>
            </w:pPr>
            <w:r>
              <w:rPr>
                <w:rFonts w:ascii="Arial" w:cs="Arial" w:eastAsia="Arial" w:hAnsi="Arial"/>
                <w:sz w:val="14"/>
                <w:szCs w:val="14"/>
                <w:b w:val="1"/>
                <w:bCs w:val="1"/>
                <w:color w:val="auto"/>
              </w:rPr>
              <w:t>Underwriters’</w:t>
            </w:r>
          </w:p>
        </w:tc>
        <w:tc>
          <w:tcPr>
            <w:tcW w:w="240" w:type="dxa"/>
            <w:vAlign w:val="bottom"/>
          </w:tcPr>
          <w:p>
            <w:pPr>
              <w:spacing w:after="0"/>
              <w:rPr>
                <w:sz w:val="14"/>
                <w:szCs w:val="14"/>
                <w:color w:val="auto"/>
              </w:rPr>
            </w:pPr>
          </w:p>
        </w:tc>
        <w:tc>
          <w:tcPr>
            <w:tcW w:w="2040" w:type="dxa"/>
            <w:vAlign w:val="bottom"/>
          </w:tcPr>
          <w:p>
            <w:pPr>
              <w:jc w:val="right"/>
              <w:ind w:right="532"/>
              <w:spacing w:after="0"/>
              <w:rPr>
                <w:sz w:val="20"/>
                <w:szCs w:val="20"/>
                <w:color w:val="auto"/>
              </w:rPr>
            </w:pPr>
            <w:r>
              <w:rPr>
                <w:rFonts w:ascii="Arial" w:cs="Arial" w:eastAsia="Arial" w:hAnsi="Arial"/>
                <w:sz w:val="14"/>
                <w:szCs w:val="14"/>
                <w:b w:val="1"/>
                <w:bCs w:val="1"/>
                <w:color w:val="auto"/>
              </w:rPr>
              <w:t>Proceeds to Us</w:t>
            </w:r>
          </w:p>
        </w:tc>
      </w:tr>
      <w:tr>
        <w:trPr>
          <w:trHeight w:val="174"/>
        </w:trPr>
        <w:tc>
          <w:tcPr>
            <w:tcW w:w="4120" w:type="dxa"/>
            <w:vAlign w:val="bottom"/>
          </w:tcPr>
          <w:p>
            <w:pPr>
              <w:spacing w:after="0"/>
              <w:rPr>
                <w:sz w:val="15"/>
                <w:szCs w:val="15"/>
                <w:color w:val="auto"/>
              </w:rPr>
            </w:pPr>
          </w:p>
        </w:tc>
        <w:tc>
          <w:tcPr>
            <w:tcW w:w="1800" w:type="dxa"/>
            <w:vAlign w:val="bottom"/>
          </w:tcPr>
          <w:p>
            <w:pPr>
              <w:jc w:val="right"/>
              <w:ind w:right="482"/>
              <w:spacing w:after="0"/>
              <w:rPr>
                <w:sz w:val="20"/>
                <w:szCs w:val="20"/>
                <w:color w:val="auto"/>
              </w:rPr>
            </w:pPr>
            <w:r>
              <w:rPr>
                <w:rFonts w:ascii="Arial" w:cs="Arial" w:eastAsia="Arial" w:hAnsi="Arial"/>
                <w:sz w:val="14"/>
                <w:szCs w:val="14"/>
                <w:b w:val="1"/>
                <w:bCs w:val="1"/>
                <w:color w:val="auto"/>
              </w:rPr>
              <w:t>Investors(1)</w:t>
            </w:r>
          </w:p>
        </w:tc>
        <w:tc>
          <w:tcPr>
            <w:tcW w:w="240" w:type="dxa"/>
            <w:vAlign w:val="bottom"/>
          </w:tcPr>
          <w:p>
            <w:pPr>
              <w:spacing w:after="0"/>
              <w:rPr>
                <w:sz w:val="15"/>
                <w:szCs w:val="15"/>
                <w:color w:val="auto"/>
              </w:rPr>
            </w:pPr>
          </w:p>
        </w:tc>
        <w:tc>
          <w:tcPr>
            <w:tcW w:w="1840" w:type="dxa"/>
            <w:vAlign w:val="bottom"/>
          </w:tcPr>
          <w:p>
            <w:pPr>
              <w:jc w:val="right"/>
              <w:ind w:right="612"/>
              <w:spacing w:after="0"/>
              <w:rPr>
                <w:sz w:val="20"/>
                <w:szCs w:val="20"/>
                <w:color w:val="auto"/>
              </w:rPr>
            </w:pPr>
            <w:r>
              <w:rPr>
                <w:rFonts w:ascii="Arial" w:cs="Arial" w:eastAsia="Arial" w:hAnsi="Arial"/>
                <w:sz w:val="14"/>
                <w:szCs w:val="14"/>
                <w:b w:val="1"/>
                <w:bCs w:val="1"/>
                <w:color w:val="auto"/>
              </w:rPr>
              <w:t>Discount</w:t>
            </w:r>
          </w:p>
        </w:tc>
        <w:tc>
          <w:tcPr>
            <w:tcW w:w="240" w:type="dxa"/>
            <w:vAlign w:val="bottom"/>
          </w:tcPr>
          <w:p>
            <w:pPr>
              <w:spacing w:after="0"/>
              <w:rPr>
                <w:sz w:val="15"/>
                <w:szCs w:val="15"/>
                <w:color w:val="auto"/>
              </w:rPr>
            </w:pPr>
          </w:p>
        </w:tc>
        <w:tc>
          <w:tcPr>
            <w:tcW w:w="2040" w:type="dxa"/>
            <w:vAlign w:val="bottom"/>
          </w:tcPr>
          <w:p>
            <w:pPr>
              <w:jc w:val="right"/>
              <w:ind w:right="492"/>
              <w:spacing w:after="0"/>
              <w:rPr>
                <w:sz w:val="20"/>
                <w:szCs w:val="20"/>
                <w:color w:val="auto"/>
              </w:rPr>
            </w:pPr>
            <w:r>
              <w:rPr>
                <w:rFonts w:ascii="Arial" w:cs="Arial" w:eastAsia="Arial" w:hAnsi="Arial"/>
                <w:sz w:val="14"/>
                <w:szCs w:val="14"/>
                <w:b w:val="1"/>
                <w:bCs w:val="1"/>
                <w:color w:val="auto"/>
              </w:rPr>
              <w:t>Before Expenses</w:t>
            </w:r>
          </w:p>
        </w:tc>
      </w:tr>
      <w:tr>
        <w:trPr>
          <w:trHeight w:val="95"/>
        </w:trPr>
        <w:tc>
          <w:tcPr>
            <w:tcW w:w="4120" w:type="dxa"/>
            <w:vAlign w:val="bottom"/>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r>
      <w:tr>
        <w:trPr>
          <w:trHeight w:val="309"/>
        </w:trPr>
        <w:tc>
          <w:tcPr>
            <w:tcW w:w="4120" w:type="dxa"/>
            <w:vAlign w:val="bottom"/>
          </w:tcPr>
          <w:p>
            <w:pPr>
              <w:spacing w:after="0"/>
              <w:rPr>
                <w:sz w:val="20"/>
                <w:szCs w:val="20"/>
                <w:color w:val="auto"/>
              </w:rPr>
            </w:pPr>
            <w:r>
              <w:rPr>
                <w:rFonts w:ascii="Arial" w:cs="Arial" w:eastAsia="Arial" w:hAnsi="Arial"/>
                <w:sz w:val="18"/>
                <w:szCs w:val="18"/>
                <w:color w:val="auto"/>
              </w:rPr>
              <w:t>Per note</w:t>
            </w:r>
          </w:p>
        </w:tc>
        <w:tc>
          <w:tcPr>
            <w:tcW w:w="1800" w:type="dxa"/>
            <w:vAlign w:val="bottom"/>
          </w:tcPr>
          <w:p>
            <w:pPr>
              <w:jc w:val="right"/>
              <w:ind w:right="222"/>
              <w:spacing w:after="0"/>
              <w:rPr>
                <w:sz w:val="20"/>
                <w:szCs w:val="20"/>
                <w:color w:val="auto"/>
              </w:rPr>
            </w:pPr>
            <w:r>
              <w:rPr>
                <w:rFonts w:ascii="Arial" w:cs="Arial" w:eastAsia="Arial" w:hAnsi="Arial"/>
                <w:sz w:val="18"/>
                <w:szCs w:val="18"/>
                <w:color w:val="auto"/>
              </w:rPr>
              <w:t>99.832%</w:t>
            </w:r>
          </w:p>
        </w:tc>
        <w:tc>
          <w:tcPr>
            <w:tcW w:w="2080" w:type="dxa"/>
            <w:vAlign w:val="bottom"/>
            <w:gridSpan w:val="2"/>
          </w:tcPr>
          <w:p>
            <w:pPr>
              <w:jc w:val="right"/>
              <w:ind w:right="372"/>
              <w:spacing w:after="0"/>
              <w:rPr>
                <w:sz w:val="20"/>
                <w:szCs w:val="20"/>
                <w:color w:val="auto"/>
              </w:rPr>
            </w:pPr>
            <w:r>
              <w:rPr>
                <w:rFonts w:ascii="Arial" w:cs="Arial" w:eastAsia="Arial" w:hAnsi="Arial"/>
                <w:sz w:val="18"/>
                <w:szCs w:val="18"/>
                <w:color w:val="auto"/>
              </w:rPr>
              <w:t>0.650%</w:t>
            </w:r>
          </w:p>
        </w:tc>
        <w:tc>
          <w:tcPr>
            <w:tcW w:w="2280" w:type="dxa"/>
            <w:vAlign w:val="bottom"/>
            <w:gridSpan w:val="2"/>
          </w:tcPr>
          <w:p>
            <w:pPr>
              <w:jc w:val="right"/>
              <w:ind w:right="372"/>
              <w:spacing w:after="0"/>
              <w:rPr>
                <w:sz w:val="20"/>
                <w:szCs w:val="20"/>
                <w:color w:val="auto"/>
              </w:rPr>
            </w:pPr>
            <w:r>
              <w:rPr>
                <w:rFonts w:ascii="Arial" w:cs="Arial" w:eastAsia="Arial" w:hAnsi="Arial"/>
                <w:sz w:val="18"/>
                <w:szCs w:val="18"/>
                <w:color w:val="auto"/>
              </w:rPr>
              <w:t>99.182%</w:t>
            </w:r>
          </w:p>
        </w:tc>
      </w:tr>
      <w:tr>
        <w:trPr>
          <w:trHeight w:val="222"/>
        </w:trPr>
        <w:tc>
          <w:tcPr>
            <w:tcW w:w="4120" w:type="dxa"/>
            <w:vAlign w:val="bottom"/>
          </w:tcPr>
          <w:p>
            <w:pPr>
              <w:ind w:left="240"/>
              <w:spacing w:after="0"/>
              <w:rPr>
                <w:sz w:val="20"/>
                <w:szCs w:val="20"/>
                <w:color w:val="auto"/>
              </w:rPr>
            </w:pPr>
            <w:r>
              <w:rPr>
                <w:rFonts w:ascii="Arial" w:cs="Arial" w:eastAsia="Arial" w:hAnsi="Arial"/>
                <w:sz w:val="18"/>
                <w:szCs w:val="18"/>
                <w:color w:val="auto"/>
              </w:rPr>
              <w:t>Total</w:t>
            </w:r>
          </w:p>
        </w:tc>
        <w:tc>
          <w:tcPr>
            <w:tcW w:w="1800" w:type="dxa"/>
            <w:vAlign w:val="bottom"/>
          </w:tcPr>
          <w:p>
            <w:pPr>
              <w:jc w:val="right"/>
              <w:ind w:right="362"/>
              <w:spacing w:after="0"/>
              <w:rPr>
                <w:sz w:val="20"/>
                <w:szCs w:val="20"/>
                <w:color w:val="auto"/>
              </w:rPr>
            </w:pPr>
            <w:r>
              <w:rPr>
                <w:rFonts w:ascii="Arial" w:cs="Arial" w:eastAsia="Arial" w:hAnsi="Arial"/>
                <w:sz w:val="18"/>
                <w:szCs w:val="18"/>
                <w:color w:val="auto"/>
              </w:rPr>
              <w:t>$998,320,000</w:t>
            </w:r>
          </w:p>
        </w:tc>
        <w:tc>
          <w:tcPr>
            <w:tcW w:w="2080" w:type="dxa"/>
            <w:vAlign w:val="bottom"/>
            <w:gridSpan w:val="2"/>
          </w:tcPr>
          <w:p>
            <w:pPr>
              <w:jc w:val="right"/>
              <w:ind w:right="512"/>
              <w:spacing w:after="0"/>
              <w:rPr>
                <w:sz w:val="20"/>
                <w:szCs w:val="20"/>
                <w:color w:val="auto"/>
              </w:rPr>
            </w:pPr>
            <w:r>
              <w:rPr>
                <w:rFonts w:ascii="Arial" w:cs="Arial" w:eastAsia="Arial" w:hAnsi="Arial"/>
                <w:sz w:val="18"/>
                <w:szCs w:val="18"/>
                <w:color w:val="auto"/>
              </w:rPr>
              <w:t>$6,500,000</w:t>
            </w:r>
          </w:p>
        </w:tc>
        <w:tc>
          <w:tcPr>
            <w:tcW w:w="2280" w:type="dxa"/>
            <w:vAlign w:val="bottom"/>
            <w:gridSpan w:val="2"/>
          </w:tcPr>
          <w:p>
            <w:pPr>
              <w:jc w:val="right"/>
              <w:ind w:right="532"/>
              <w:spacing w:after="0"/>
              <w:rPr>
                <w:sz w:val="20"/>
                <w:szCs w:val="20"/>
                <w:color w:val="auto"/>
              </w:rPr>
            </w:pPr>
            <w:r>
              <w:rPr>
                <w:rFonts w:ascii="Arial" w:cs="Arial" w:eastAsia="Arial" w:hAnsi="Arial"/>
                <w:sz w:val="18"/>
                <w:szCs w:val="18"/>
                <w:color w:val="auto"/>
              </w:rPr>
              <w:t>$991,820,000</w:t>
            </w:r>
          </w:p>
        </w:tc>
      </w:tr>
    </w:tbl>
    <w:p>
      <w:pPr>
        <w:spacing w:after="0" w:line="210" w:lineRule="exact"/>
        <w:rPr>
          <w:sz w:val="20"/>
          <w:szCs w:val="20"/>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Plus accrued interest, if any, from May 15, 2003, if settlement occurs after that date.</w:t>
      </w:r>
    </w:p>
    <w:p>
      <w:pPr>
        <w:spacing w:after="0" w:line="279"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notes will be ready for delivery only through The Depository Trust Company in book-entry form on or about May 15,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148590</wp:posOffset>
            </wp:positionV>
            <wp:extent cx="22555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i w:val="1"/>
                <w:iCs w:val="1"/>
                <w:color w:val="auto"/>
                <w:w w:val="89"/>
              </w:rPr>
              <w:t>Joint Book-Running Managers</w:t>
            </w:r>
          </w:p>
        </w:tc>
        <w:tc>
          <w:tcPr>
            <w:tcW w:w="3940" w:type="dxa"/>
            <w:vAlign w:val="bottom"/>
          </w:tcPr>
          <w:p>
            <w:pPr>
              <w:spacing w:after="0"/>
              <w:rPr>
                <w:sz w:val="19"/>
                <w:szCs w:val="19"/>
                <w:color w:val="auto"/>
              </w:rPr>
            </w:pPr>
          </w:p>
        </w:tc>
      </w:tr>
      <w:tr>
        <w:trPr>
          <w:trHeight w:val="749"/>
        </w:trPr>
        <w:tc>
          <w:tcPr>
            <w:tcW w:w="3940" w:type="dxa"/>
            <w:vAlign w:val="bottom"/>
          </w:tcPr>
          <w:p>
            <w:pPr>
              <w:jc w:val="right"/>
              <w:ind w:right="467"/>
              <w:spacing w:after="0"/>
              <w:rPr>
                <w:sz w:val="20"/>
                <w:szCs w:val="20"/>
                <w:color w:val="auto"/>
              </w:rPr>
            </w:pPr>
            <w:r>
              <w:rPr>
                <w:rFonts w:ascii="Arial" w:cs="Arial" w:eastAsia="Arial" w:hAnsi="Arial"/>
                <w:sz w:val="24"/>
                <w:szCs w:val="24"/>
                <w:b w:val="1"/>
                <w:bCs w:val="1"/>
                <w:color w:val="auto"/>
                <w:w w:val="92"/>
              </w:rPr>
              <w:t>Banc of America Securities LLC</w:t>
            </w:r>
          </w:p>
        </w:tc>
        <w:tc>
          <w:tcPr>
            <w:tcW w:w="3540" w:type="dxa"/>
            <w:vAlign w:val="bottom"/>
          </w:tcPr>
          <w:p>
            <w:pPr>
              <w:jc w:val="center"/>
              <w:spacing w:after="0"/>
              <w:rPr>
                <w:sz w:val="20"/>
                <w:szCs w:val="20"/>
                <w:color w:val="auto"/>
              </w:rPr>
            </w:pPr>
            <w:r>
              <w:rPr>
                <w:rFonts w:ascii="Arial" w:cs="Arial" w:eastAsia="Arial" w:hAnsi="Arial"/>
                <w:sz w:val="24"/>
                <w:szCs w:val="24"/>
                <w:b w:val="1"/>
                <w:bCs w:val="1"/>
                <w:color w:val="auto"/>
                <w:w w:val="93"/>
              </w:rPr>
              <w:t>Barclays Capital</w:t>
            </w:r>
          </w:p>
        </w:tc>
        <w:tc>
          <w:tcPr>
            <w:tcW w:w="3940" w:type="dxa"/>
            <w:vAlign w:val="bottom"/>
          </w:tcPr>
          <w:p>
            <w:pPr>
              <w:ind w:left="1300"/>
              <w:spacing w:after="0"/>
              <w:rPr>
                <w:sz w:val="20"/>
                <w:szCs w:val="20"/>
                <w:color w:val="auto"/>
              </w:rPr>
            </w:pPr>
            <w:r>
              <w:rPr>
                <w:rFonts w:ascii="Arial" w:cs="Arial" w:eastAsia="Arial" w:hAnsi="Arial"/>
                <w:sz w:val="24"/>
                <w:szCs w:val="24"/>
                <w:b w:val="1"/>
                <w:bCs w:val="1"/>
                <w:color w:val="auto"/>
                <w:w w:val="88"/>
              </w:rPr>
              <w:t>Deutsche Bank Securities</w:t>
            </w:r>
          </w:p>
        </w:tc>
      </w:tr>
      <w:tr>
        <w:trPr>
          <w:trHeight w:val="212"/>
        </w:trPr>
        <w:tc>
          <w:tcPr>
            <w:tcW w:w="3940" w:type="dxa"/>
            <w:vAlign w:val="bottom"/>
          </w:tcPr>
          <w:p>
            <w:pPr>
              <w:spacing w:after="0"/>
              <w:rPr>
                <w:sz w:val="18"/>
                <w:szCs w:val="18"/>
                <w:color w:val="auto"/>
              </w:rPr>
            </w:pPr>
          </w:p>
        </w:tc>
        <w:tc>
          <w:tcPr>
            <w:tcW w:w="3540" w:type="dxa"/>
            <w:vAlign w:val="bottom"/>
            <w:tcBorders>
              <w:bottom w:val="single" w:sz="8" w:color="808080"/>
            </w:tcBorders>
          </w:tcPr>
          <w:p>
            <w:pPr>
              <w:spacing w:after="0"/>
              <w:rPr>
                <w:sz w:val="18"/>
                <w:szCs w:val="18"/>
                <w:color w:val="auto"/>
              </w:rPr>
            </w:pPr>
          </w:p>
        </w:tc>
        <w:tc>
          <w:tcPr>
            <w:tcW w:w="3940" w:type="dxa"/>
            <w:vAlign w:val="bottom"/>
          </w:tcPr>
          <w:p>
            <w:pPr>
              <w:spacing w:after="0"/>
              <w:rPr>
                <w:sz w:val="18"/>
                <w:szCs w:val="18"/>
                <w:color w:val="auto"/>
              </w:rPr>
            </w:pPr>
          </w:p>
        </w:tc>
      </w:tr>
      <w:tr>
        <w:trPr>
          <w:trHeight w:val="532"/>
        </w:trPr>
        <w:tc>
          <w:tcPr>
            <w:tcW w:w="3940" w:type="dxa"/>
            <w:vAlign w:val="bottom"/>
          </w:tcPr>
          <w:p>
            <w:pPr>
              <w:jc w:val="right"/>
              <w:spacing w:after="0"/>
              <w:rPr>
                <w:sz w:val="20"/>
                <w:szCs w:val="20"/>
                <w:color w:val="auto"/>
              </w:rPr>
            </w:pPr>
            <w:r>
              <w:rPr>
                <w:rFonts w:ascii="Arial" w:cs="Arial" w:eastAsia="Arial" w:hAnsi="Arial"/>
                <w:sz w:val="18"/>
                <w:szCs w:val="18"/>
                <w:b w:val="1"/>
                <w:bCs w:val="1"/>
                <w:color w:val="auto"/>
              </w:rPr>
              <w:t>Banc One Capital Markets Inc.</w:t>
            </w:r>
          </w:p>
        </w:tc>
        <w:tc>
          <w:tcPr>
            <w:tcW w:w="3540" w:type="dxa"/>
            <w:vAlign w:val="bottom"/>
          </w:tcPr>
          <w:p>
            <w:pPr>
              <w:jc w:val="center"/>
              <w:ind w:left="647"/>
              <w:spacing w:after="0"/>
              <w:rPr>
                <w:sz w:val="20"/>
                <w:szCs w:val="20"/>
                <w:color w:val="auto"/>
              </w:rPr>
            </w:pPr>
            <w:r>
              <w:rPr>
                <w:rFonts w:ascii="Arial" w:cs="Arial" w:eastAsia="Arial" w:hAnsi="Arial"/>
                <w:sz w:val="18"/>
                <w:szCs w:val="18"/>
                <w:b w:val="1"/>
                <w:bCs w:val="1"/>
                <w:color w:val="auto"/>
                <w:w w:val="89"/>
              </w:rPr>
              <w:t>Citigroup</w:t>
            </w:r>
          </w:p>
        </w:tc>
        <w:tc>
          <w:tcPr>
            <w:tcW w:w="3940" w:type="dxa"/>
            <w:vAlign w:val="bottom"/>
          </w:tcPr>
          <w:p>
            <w:pPr>
              <w:ind w:left="800"/>
              <w:spacing w:after="0"/>
              <w:rPr>
                <w:sz w:val="20"/>
                <w:szCs w:val="20"/>
                <w:color w:val="auto"/>
              </w:rPr>
            </w:pPr>
            <w:r>
              <w:rPr>
                <w:rFonts w:ascii="Arial" w:cs="Arial" w:eastAsia="Arial" w:hAnsi="Arial"/>
                <w:sz w:val="18"/>
                <w:szCs w:val="18"/>
                <w:b w:val="1"/>
                <w:bCs w:val="1"/>
                <w:color w:val="auto"/>
              </w:rPr>
              <w:t>Credit Suisse First Boston</w:t>
            </w:r>
          </w:p>
        </w:tc>
      </w:tr>
      <w:tr>
        <w:trPr>
          <w:trHeight w:val="432"/>
        </w:trPr>
        <w:tc>
          <w:tcPr>
            <w:tcW w:w="3940" w:type="dxa"/>
            <w:vAlign w:val="bottom"/>
          </w:tcPr>
          <w:p>
            <w:pPr>
              <w:jc w:val="right"/>
              <w:spacing w:after="0"/>
              <w:rPr>
                <w:sz w:val="20"/>
                <w:szCs w:val="20"/>
                <w:color w:val="auto"/>
              </w:rPr>
            </w:pPr>
            <w:r>
              <w:rPr>
                <w:rFonts w:ascii="Arial" w:cs="Arial" w:eastAsia="Arial" w:hAnsi="Arial"/>
                <w:sz w:val="18"/>
                <w:szCs w:val="18"/>
                <w:b w:val="1"/>
                <w:bCs w:val="1"/>
                <w:color w:val="auto"/>
              </w:rPr>
              <w:t>Dresdner Kleinwort Wasserstein</w:t>
            </w:r>
          </w:p>
        </w:tc>
        <w:tc>
          <w:tcPr>
            <w:tcW w:w="3540" w:type="dxa"/>
            <w:vAlign w:val="bottom"/>
          </w:tcPr>
          <w:p>
            <w:pPr>
              <w:spacing w:after="0"/>
              <w:rPr>
                <w:sz w:val="24"/>
                <w:szCs w:val="24"/>
                <w:color w:val="auto"/>
              </w:rPr>
            </w:pPr>
          </w:p>
        </w:tc>
        <w:tc>
          <w:tcPr>
            <w:tcW w:w="3940" w:type="dxa"/>
            <w:vAlign w:val="bottom"/>
          </w:tcPr>
          <w:p>
            <w:pPr>
              <w:ind w:left="800"/>
              <w:spacing w:after="0"/>
              <w:rPr>
                <w:sz w:val="20"/>
                <w:szCs w:val="20"/>
                <w:color w:val="auto"/>
              </w:rPr>
            </w:pPr>
            <w:r>
              <w:rPr>
                <w:rFonts w:ascii="Arial" w:cs="Arial" w:eastAsia="Arial" w:hAnsi="Arial"/>
                <w:sz w:val="18"/>
                <w:szCs w:val="18"/>
                <w:b w:val="1"/>
                <w:bCs w:val="1"/>
                <w:color w:val="auto"/>
              </w:rPr>
              <w:t>Lehman Brothers</w:t>
            </w:r>
          </w:p>
        </w:tc>
      </w:tr>
      <w:tr>
        <w:trPr>
          <w:trHeight w:val="432"/>
        </w:trPr>
        <w:tc>
          <w:tcPr>
            <w:tcW w:w="3940" w:type="dxa"/>
            <w:vAlign w:val="bottom"/>
          </w:tcPr>
          <w:p>
            <w:pPr>
              <w:jc w:val="center"/>
              <w:ind w:left="427"/>
              <w:spacing w:after="0"/>
              <w:rPr>
                <w:sz w:val="20"/>
                <w:szCs w:val="20"/>
                <w:color w:val="auto"/>
              </w:rPr>
            </w:pPr>
            <w:r>
              <w:rPr>
                <w:rFonts w:ascii="Arial" w:cs="Arial" w:eastAsia="Arial" w:hAnsi="Arial"/>
                <w:sz w:val="18"/>
                <w:szCs w:val="18"/>
                <w:b w:val="1"/>
                <w:bCs w:val="1"/>
                <w:color w:val="auto"/>
                <w:w w:val="94"/>
              </w:rPr>
              <w:t>ABN AMRO Incorporated</w:t>
            </w:r>
          </w:p>
        </w:tc>
        <w:tc>
          <w:tcPr>
            <w:tcW w:w="3540" w:type="dxa"/>
            <w:vAlign w:val="bottom"/>
          </w:tcPr>
          <w:p>
            <w:pPr>
              <w:jc w:val="center"/>
              <w:ind w:left="647"/>
              <w:spacing w:after="0"/>
              <w:rPr>
                <w:sz w:val="20"/>
                <w:szCs w:val="20"/>
                <w:color w:val="auto"/>
              </w:rPr>
            </w:pPr>
            <w:r>
              <w:rPr>
                <w:rFonts w:ascii="Arial" w:cs="Arial" w:eastAsia="Arial" w:hAnsi="Arial"/>
                <w:sz w:val="18"/>
                <w:szCs w:val="18"/>
                <w:b w:val="1"/>
                <w:bCs w:val="1"/>
                <w:color w:val="auto"/>
                <w:w w:val="93"/>
              </w:rPr>
              <w:t>BNP PARIBAS</w:t>
            </w:r>
          </w:p>
        </w:tc>
        <w:tc>
          <w:tcPr>
            <w:tcW w:w="3940" w:type="dxa"/>
            <w:vAlign w:val="bottom"/>
          </w:tcPr>
          <w:p>
            <w:pPr>
              <w:ind w:left="1320"/>
              <w:spacing w:after="0"/>
              <w:rPr>
                <w:sz w:val="20"/>
                <w:szCs w:val="20"/>
                <w:color w:val="auto"/>
              </w:rPr>
            </w:pPr>
            <w:r>
              <w:rPr>
                <w:rFonts w:ascii="Arial" w:cs="Arial" w:eastAsia="Arial" w:hAnsi="Arial"/>
                <w:sz w:val="18"/>
                <w:szCs w:val="18"/>
                <w:b w:val="1"/>
                <w:bCs w:val="1"/>
                <w:color w:val="auto"/>
              </w:rPr>
              <w:t>Fleet Securities, Inc.</w:t>
            </w:r>
          </w:p>
        </w:tc>
      </w:tr>
      <w:tr>
        <w:trPr>
          <w:trHeight w:val="432"/>
        </w:trPr>
        <w:tc>
          <w:tcPr>
            <w:tcW w:w="3940" w:type="dxa"/>
            <w:vAlign w:val="bottom"/>
          </w:tcPr>
          <w:p>
            <w:pPr>
              <w:jc w:val="center"/>
              <w:ind w:left="427"/>
              <w:spacing w:after="0"/>
              <w:rPr>
                <w:sz w:val="20"/>
                <w:szCs w:val="20"/>
                <w:color w:val="auto"/>
              </w:rPr>
            </w:pPr>
            <w:r>
              <w:rPr>
                <w:rFonts w:ascii="Arial" w:cs="Arial" w:eastAsia="Arial" w:hAnsi="Arial"/>
                <w:sz w:val="18"/>
                <w:szCs w:val="18"/>
                <w:b w:val="1"/>
                <w:bCs w:val="1"/>
                <w:color w:val="auto"/>
                <w:w w:val="89"/>
              </w:rPr>
              <w:t>Scotia Capital</w:t>
            </w:r>
          </w:p>
        </w:tc>
        <w:tc>
          <w:tcPr>
            <w:tcW w:w="3540" w:type="dxa"/>
            <w:vAlign w:val="bottom"/>
          </w:tcPr>
          <w:p>
            <w:pPr>
              <w:jc w:val="center"/>
              <w:ind w:left="667"/>
              <w:spacing w:after="0"/>
              <w:rPr>
                <w:sz w:val="20"/>
                <w:szCs w:val="20"/>
                <w:color w:val="auto"/>
              </w:rPr>
            </w:pPr>
            <w:r>
              <w:rPr>
                <w:rFonts w:ascii="Arial" w:cs="Arial" w:eastAsia="Arial" w:hAnsi="Arial"/>
                <w:sz w:val="18"/>
                <w:szCs w:val="18"/>
                <w:b w:val="1"/>
                <w:bCs w:val="1"/>
                <w:color w:val="auto"/>
                <w:w w:val="86"/>
              </w:rPr>
              <w:t>Societe Generale</w:t>
            </w:r>
          </w:p>
        </w:tc>
        <w:tc>
          <w:tcPr>
            <w:tcW w:w="3940" w:type="dxa"/>
            <w:vAlign w:val="bottom"/>
          </w:tcPr>
          <w:p>
            <w:pPr>
              <w:ind w:left="920"/>
              <w:spacing w:after="0"/>
              <w:rPr>
                <w:sz w:val="20"/>
                <w:szCs w:val="20"/>
                <w:color w:val="auto"/>
              </w:rPr>
            </w:pPr>
            <w:r>
              <w:rPr>
                <w:rFonts w:ascii="Arial" w:cs="Arial" w:eastAsia="Arial" w:hAnsi="Arial"/>
                <w:sz w:val="18"/>
                <w:szCs w:val="18"/>
                <w:b w:val="1"/>
                <w:bCs w:val="1"/>
                <w:color w:val="auto"/>
              </w:rPr>
              <w:t>SunTrust Robinson Humphrey</w:t>
            </w:r>
          </w:p>
        </w:tc>
      </w:tr>
      <w:tr>
        <w:trPr>
          <w:trHeight w:val="432"/>
        </w:trPr>
        <w:tc>
          <w:tcPr>
            <w:tcW w:w="3940" w:type="dxa"/>
            <w:vAlign w:val="bottom"/>
          </w:tcPr>
          <w:p>
            <w:pPr>
              <w:jc w:val="center"/>
              <w:ind w:left="427"/>
              <w:spacing w:after="0"/>
              <w:rPr>
                <w:sz w:val="20"/>
                <w:szCs w:val="20"/>
                <w:color w:val="auto"/>
              </w:rPr>
            </w:pPr>
            <w:r>
              <w:rPr>
                <w:rFonts w:ascii="Arial" w:cs="Arial" w:eastAsia="Arial" w:hAnsi="Arial"/>
                <w:sz w:val="18"/>
                <w:szCs w:val="18"/>
                <w:b w:val="1"/>
                <w:bCs w:val="1"/>
                <w:color w:val="auto"/>
                <w:w w:val="88"/>
              </w:rPr>
              <w:t>The Royal Bank of Scotland</w:t>
            </w:r>
          </w:p>
        </w:tc>
        <w:tc>
          <w:tcPr>
            <w:tcW w:w="3540" w:type="dxa"/>
            <w:vAlign w:val="bottom"/>
          </w:tcPr>
          <w:p>
            <w:pPr>
              <w:jc w:val="center"/>
              <w:ind w:left="647"/>
              <w:spacing w:after="0"/>
              <w:rPr>
                <w:sz w:val="20"/>
                <w:szCs w:val="20"/>
                <w:color w:val="auto"/>
              </w:rPr>
            </w:pPr>
            <w:r>
              <w:rPr>
                <w:rFonts w:ascii="Arial" w:cs="Arial" w:eastAsia="Arial" w:hAnsi="Arial"/>
                <w:sz w:val="18"/>
                <w:szCs w:val="18"/>
                <w:b w:val="1"/>
                <w:bCs w:val="1"/>
                <w:color w:val="auto"/>
                <w:w w:val="94"/>
              </w:rPr>
              <w:t>UBS Warburg LLC</w:t>
            </w:r>
          </w:p>
        </w:tc>
        <w:tc>
          <w:tcPr>
            <w:tcW w:w="3940" w:type="dxa"/>
            <w:vAlign w:val="bottom"/>
          </w:tcPr>
          <w:p>
            <w:pPr>
              <w:ind w:left="1320"/>
              <w:spacing w:after="0"/>
              <w:rPr>
                <w:sz w:val="20"/>
                <w:szCs w:val="20"/>
                <w:color w:val="auto"/>
              </w:rPr>
            </w:pPr>
            <w:r>
              <w:rPr>
                <w:rFonts w:ascii="Arial" w:cs="Arial" w:eastAsia="Arial" w:hAnsi="Arial"/>
                <w:sz w:val="18"/>
                <w:szCs w:val="18"/>
                <w:b w:val="1"/>
                <w:bCs w:val="1"/>
                <w:color w:val="auto"/>
              </w:rPr>
              <w:t>Wachovia Securities</w:t>
            </w: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May 12,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740" w:type="dxa"/>
            <w:vAlign w:val="bottom"/>
          </w:tcPr>
          <w:p>
            <w:pPr>
              <w:jc w:val="right"/>
              <w:ind w:right="1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Prospectus Supplement Summary</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Use of Proceeds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Capitalization</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Description of the Notes and the Cable Guarantees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Underwriting</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S-10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Legal Matters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80" w:type="dxa"/>
            <w:vAlign w:val="bottom"/>
            <w:shd w:val="clear" w:color="auto" w:fill="EEEEEE"/>
          </w:tcPr>
          <w:p>
            <w:pPr>
              <w:ind w:left="2980"/>
              <w:spacing w:after="0"/>
              <w:rPr>
                <w:sz w:val="20"/>
                <w:szCs w:val="20"/>
                <w:color w:val="auto"/>
              </w:rPr>
            </w:pPr>
            <w:r>
              <w:rPr>
                <w:rFonts w:ascii="Arial" w:cs="Arial" w:eastAsia="Arial" w:hAnsi="Arial"/>
                <w:sz w:val="18"/>
                <w:szCs w:val="18"/>
                <w:b w:val="1"/>
                <w:bCs w:val="1"/>
                <w:color w:val="auto"/>
              </w:rPr>
              <w:t>Prospectus</w:t>
            </w:r>
          </w:p>
        </w:tc>
        <w:tc>
          <w:tcPr>
            <w:tcW w:w="7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08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Summary</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Risk Factors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Use of Proceeds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Dividend Policy</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Ratios of Earnings to Fixed Charges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Dividends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w w:val="92"/>
              </w:rPr>
              <w:t>Unaudited Pro Forma Combined Condensed Statement of Operations of Comcast</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80" w:type="dxa"/>
            <w:vAlign w:val="bottom"/>
            <w:shd w:val="clear" w:color="auto" w:fill="EEEEEE"/>
          </w:tcPr>
          <w:p>
            <w:pPr>
              <w:ind w:left="100"/>
              <w:spacing w:after="0"/>
              <w:rPr>
                <w:sz w:val="20"/>
                <w:szCs w:val="20"/>
                <w:color w:val="auto"/>
              </w:rPr>
            </w:pPr>
            <w:r>
              <w:rPr>
                <w:rFonts w:ascii="Arial" w:cs="Arial" w:eastAsia="Arial" w:hAnsi="Arial"/>
                <w:sz w:val="18"/>
                <w:szCs w:val="18"/>
                <w:color w:val="auto"/>
              </w:rPr>
              <w:t>Corporation</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w w:val="92"/>
              </w:rPr>
              <w:t>Description of the Senior Debt Securities, Subordinated Debt Securities and Cable</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Guarantees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Warrants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Description of Purchase Contracts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Units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Global Securities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Preferred Stock</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Description of Depositary Shares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Common Stock</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Description of Shareholder Rights Plan</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Plan of Distribution</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Legal Matters</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Experts</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Available Information</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EEEEEE"/>
          </w:tcPr>
          <w:p>
            <w:pPr>
              <w:spacing w:after="0"/>
              <w:rPr>
                <w:sz w:val="20"/>
                <w:szCs w:val="20"/>
                <w:color w:val="auto"/>
              </w:rPr>
            </w:pPr>
            <w:r>
              <w:rPr>
                <w:rFonts w:ascii="Arial" w:cs="Arial" w:eastAsia="Arial" w:hAnsi="Arial"/>
                <w:sz w:val="18"/>
                <w:szCs w:val="18"/>
                <w:color w:val="auto"/>
              </w:rPr>
              <w:t>Incorporation of Certain Documents by Reference</w:t>
            </w:r>
          </w:p>
        </w:tc>
        <w:tc>
          <w:tcPr>
            <w:tcW w:w="74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3" w:name="page4"/>
    <w:bookmarkEnd w:id="3"/>
    <w:p>
      <w:pPr>
        <w:ind w:left="3100"/>
        <w:spacing w:after="0"/>
        <w:rPr>
          <w:sz w:val="20"/>
          <w:szCs w:val="20"/>
          <w:color w:val="auto"/>
        </w:rPr>
      </w:pPr>
      <w:r>
        <w:rPr>
          <w:rFonts w:ascii="Arial" w:cs="Arial" w:eastAsia="Arial" w:hAnsi="Arial"/>
          <w:sz w:val="16"/>
          <w:szCs w:val="16"/>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452120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8" w:right="1440"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PROSPECTUS SUPPLEMENT SUMMARY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involved in three principal lines of business:</w:t>
      </w:r>
    </w:p>
    <w:p>
      <w:pPr>
        <w:spacing w:after="0" w:line="225" w:lineRule="exact"/>
        <w:rPr>
          <w:sz w:val="20"/>
          <w:szCs w:val="20"/>
          <w:color w:val="auto"/>
        </w:rPr>
      </w:pPr>
    </w:p>
    <w:p>
      <w:pPr>
        <w:ind w:left="460" w:right="180" w:hanging="101"/>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Cable — through the development, management and operation of broadband communications networks, including video, high-speed Internet and phone service,</w:t>
      </w:r>
    </w:p>
    <w:p>
      <w:pPr>
        <w:spacing w:after="0" w:line="212" w:lineRule="exact"/>
        <w:rPr>
          <w:rFonts w:ascii="Arial" w:cs="Arial" w:eastAsia="Arial" w:hAnsi="Arial"/>
          <w:sz w:val="18"/>
          <w:szCs w:val="18"/>
          <w:color w:val="auto"/>
        </w:rPr>
      </w:pPr>
    </w:p>
    <w:p>
      <w:pPr>
        <w:ind w:left="460" w:hanging="101"/>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Commerce — through QVC, our electronic retailing subsidiary, and</w:t>
      </w:r>
    </w:p>
    <w:p>
      <w:pPr>
        <w:spacing w:after="0" w:line="279" w:lineRule="exact"/>
        <w:rPr>
          <w:rFonts w:ascii="Arial" w:cs="Arial" w:eastAsia="Arial" w:hAnsi="Arial"/>
          <w:sz w:val="18"/>
          <w:szCs w:val="18"/>
          <w:color w:val="auto"/>
        </w:rPr>
      </w:pPr>
    </w:p>
    <w:p>
      <w:pPr>
        <w:ind w:left="460" w:right="340" w:hanging="101"/>
        <w:spacing w:after="0" w:line="259"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Content — through our consolidated programming investments, including, Comcast Spectacor, Comcast SportsNet, Comcast SportsNet Mid-Atlantic, Cable Sports Southeast, E! Entertainment Television, Style, The Golf Channel, Outdoor Life Network, G4, and through our other programming investments.</w:t>
      </w:r>
    </w:p>
    <w:p>
      <w:pPr>
        <w:spacing w:after="0" w:line="221" w:lineRule="exact"/>
        <w:rPr>
          <w:sz w:val="20"/>
          <w:szCs w:val="20"/>
          <w:color w:val="auto"/>
        </w:rPr>
      </w:pPr>
    </w:p>
    <w:p>
      <w:pPr>
        <w:ind w:firstLine="324"/>
        <w:spacing w:after="0" w:line="335" w:lineRule="auto"/>
        <w:rPr>
          <w:sz w:val="20"/>
          <w:szCs w:val="20"/>
          <w:color w:val="auto"/>
        </w:rPr>
      </w:pPr>
      <w:r>
        <w:rPr>
          <w:rFonts w:ascii="Arial" w:cs="Arial" w:eastAsia="Arial" w:hAnsi="Arial"/>
          <w:sz w:val="15"/>
          <w:szCs w:val="15"/>
          <w:color w:val="auto"/>
        </w:rPr>
        <w:t>We are the largest cable operator in the United States. We have deployed digital cable and high-speed Internet service to the substantial majority of our cable systems. As of March 31, 2003, our consolidated cable operations served 21.3 million subscribers in 41 states, passed 39.3 million homes, and provided digital cable to more than 6.7 million subscribers, high-speed Internet to more than 4.0 million subscribers and phone service to more than 1.4 million subscribers.</w:t>
      </w:r>
    </w:p>
    <w:p>
      <w:pPr>
        <w:spacing w:after="0" w:line="169"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Through QVC, we market a wide variety of products directly to consumers primarily on merchandise-focused television programs. As of March 31, 2003, QVC was available, on a full and part-time basis, to 86.3 million homes in the United States, 12.0 million homes in the United Kingdom, 26.1 million homes in Germany and 9.2 million homes in Japan. We estimate that 13.3 million homes in Germany have programmed their television sets to receive this service.</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this prospectus, see “Available Information” in the accompanying prospectus.</w:t>
      </w:r>
    </w:p>
    <w:p>
      <w:pPr>
        <w:spacing w:after="0" w:line="221"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We are a Pennsylvania corporation incorporated in 2001. Our principal executive office is located at 1500 Market Street, Philadelphia, Pennsylvania 19102-2148. Our telephone number is (215) 665-1700. The address of our web site is www.comcast.com. The information on our web site is not part of this prospectus supplement or the accompanying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258" w:lineRule="exact"/>
        <w:rPr>
          <w:sz w:val="20"/>
          <w:szCs w:val="20"/>
          <w:color w:val="auto"/>
        </w:rPr>
      </w:pPr>
    </w:p>
    <w:p>
      <w:pPr>
        <w:ind w:right="300" w:firstLine="324"/>
        <w:spacing w:after="0" w:line="306" w:lineRule="auto"/>
        <w:rPr>
          <w:sz w:val="20"/>
          <w:szCs w:val="20"/>
          <w:color w:val="auto"/>
        </w:rPr>
      </w:pPr>
      <w:r>
        <w:rPr>
          <w:rFonts w:ascii="Arial" w:cs="Arial" w:eastAsia="Arial" w:hAnsi="Arial"/>
          <w:sz w:val="16"/>
          <w:szCs w:val="16"/>
          <w:color w:val="auto"/>
        </w:rPr>
        <w:t>Our obligations, including the payment of principal, premium, if any, and interest on the notes will be fully and unconditionally guaranteed by each of Comcast Cable, Comcast Cable Communications Holdings, Comcast Cable Holdings, Comcast MO Group and Comcast MO of Delaware. In this prospectus supplement, we refer to these guarantors as the cable guarantors and to these guarantees as the cable guarantees.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225" w:lineRule="exact"/>
        <w:rPr>
          <w:sz w:val="20"/>
          <w:szCs w:val="20"/>
          <w:color w:val="auto"/>
        </w:rPr>
      </w:pPr>
    </w:p>
    <w:p>
      <w:pPr>
        <w:ind w:left="920" w:right="80" w:hanging="331"/>
        <w:spacing w:after="0" w:line="268"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212" w:lineRule="exact"/>
        <w:rPr>
          <w:rFonts w:ascii="Arial" w:cs="Arial" w:eastAsia="Arial" w:hAnsi="Arial"/>
          <w:sz w:val="18"/>
          <w:szCs w:val="18"/>
          <w:color w:val="auto"/>
        </w:rPr>
      </w:pPr>
    </w:p>
    <w:p>
      <w:pPr>
        <w:ind w:left="920" w:hanging="331"/>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Comcast Cable Communications, Inc.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Cable is a Delaware corporation incorporated in 1981 and our indirect wholly-owned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5" w:name="page6"/>
    <w:bookmarkEnd w:id="5"/>
    <w:p>
      <w:pPr>
        <w:ind w:left="32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Cable Communications Holdings is a Delaware corporation incorporated in 2001 and our wholly-owned subsidiary.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Comcast Cable Holdings is a Delaware limited liability company formed in 1994. Comcast Cable Holdings is a wholly-owned subsidiary of Comcast Cable Communications Holdings.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Comcast MO Group is a Delaware corporation incorporated in 1999. Comcast MO Group is a wholly-owned subsidiary of Comcast Cable Communications Holdings.</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Comcast MO of Delaware, Inc.</w:t>
      </w:r>
    </w:p>
    <w:p>
      <w:pPr>
        <w:spacing w:after="0" w:line="252"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Comcast MO of Delaware is a Delaware corporation incorporated in 1996. Comcast MO of Delaware is an indirect wholly-owned subsidiary of Comcast MO Group.</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41"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3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760" w:type="dxa"/>
            <w:vAlign w:val="bottom"/>
          </w:tcPr>
          <w:p>
            <w:pPr>
              <w:ind w:left="560"/>
              <w:spacing w:after="0"/>
              <w:rPr>
                <w:sz w:val="20"/>
                <w:szCs w:val="20"/>
                <w:color w:val="auto"/>
              </w:rPr>
            </w:pPr>
            <w:r>
              <w:rPr>
                <w:rFonts w:ascii="Arial" w:cs="Arial" w:eastAsia="Arial" w:hAnsi="Arial"/>
                <w:sz w:val="18"/>
                <w:szCs w:val="18"/>
                <w:b w:val="1"/>
                <w:bCs w:val="1"/>
                <w:color w:val="auto"/>
              </w:rPr>
              <w:t>The Offering</w:t>
            </w:r>
          </w:p>
        </w:tc>
      </w:tr>
      <w:tr>
        <w:trPr>
          <w:trHeight w:val="648"/>
        </w:trPr>
        <w:tc>
          <w:tcPr>
            <w:tcW w:w="3040" w:type="dxa"/>
            <w:vAlign w:val="bottom"/>
          </w:tcPr>
          <w:p>
            <w:pPr>
              <w:spacing w:after="0"/>
              <w:rPr>
                <w:sz w:val="20"/>
                <w:szCs w:val="20"/>
                <w:color w:val="auto"/>
              </w:rPr>
            </w:pPr>
            <w:r>
              <w:rPr>
                <w:rFonts w:ascii="Arial" w:cs="Arial" w:eastAsia="Arial" w:hAnsi="Arial"/>
                <w:sz w:val="18"/>
                <w:szCs w:val="18"/>
                <w:color w:val="auto"/>
              </w:rPr>
              <w:t>Issuer</w:t>
            </w: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rPr>
              <w:t>Comcast Corporation.</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Securities Offered</w:t>
            </w: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rPr>
              <w:t>$1,000,000,000 aggregate principal amount of 5.30% Notes due 2014.</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Maturity</w:t>
            </w: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rPr>
              <w:t>The notes mature on January 15, 2014.</w:t>
            </w:r>
          </w:p>
        </w:tc>
      </w:tr>
      <w:tr>
        <w:trPr>
          <w:trHeight w:val="426"/>
        </w:trPr>
        <w:tc>
          <w:tcPr>
            <w:tcW w:w="3040" w:type="dxa"/>
            <w:vAlign w:val="bottom"/>
          </w:tcPr>
          <w:p>
            <w:pPr>
              <w:spacing w:after="0"/>
              <w:rPr>
                <w:sz w:val="20"/>
                <w:szCs w:val="20"/>
                <w:color w:val="auto"/>
              </w:rPr>
            </w:pPr>
            <w:r>
              <w:rPr>
                <w:rFonts w:ascii="Arial" w:cs="Arial" w:eastAsia="Arial" w:hAnsi="Arial"/>
                <w:sz w:val="18"/>
                <w:szCs w:val="18"/>
                <w:color w:val="auto"/>
              </w:rPr>
              <w:t>Interest</w:t>
            </w: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90"/>
              </w:rPr>
              <w:t>Interest on the notes will accrue at the rate of 5.30% per year, payable semi-annually in cash in</w:t>
            </w:r>
          </w:p>
        </w:tc>
      </w:tr>
      <w:tr>
        <w:trPr>
          <w:trHeight w:val="222"/>
        </w:trPr>
        <w:tc>
          <w:tcPr>
            <w:tcW w:w="3040" w:type="dxa"/>
            <w:vAlign w:val="bottom"/>
          </w:tcPr>
          <w:p>
            <w:pPr>
              <w:spacing w:after="0"/>
              <w:rPr>
                <w:sz w:val="19"/>
                <w:szCs w:val="19"/>
                <w:color w:val="auto"/>
              </w:rPr>
            </w:pP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rPr>
              <w:t>arrears on January 15 and July 15, beginning on January 15, 2004.</w:t>
            </w:r>
          </w:p>
        </w:tc>
      </w:tr>
      <w:tr>
        <w:trPr>
          <w:trHeight w:val="426"/>
        </w:trPr>
        <w:tc>
          <w:tcPr>
            <w:tcW w:w="3040" w:type="dxa"/>
            <w:vAlign w:val="bottom"/>
          </w:tcPr>
          <w:p>
            <w:pPr>
              <w:spacing w:after="0"/>
              <w:rPr>
                <w:sz w:val="20"/>
                <w:szCs w:val="20"/>
                <w:color w:val="auto"/>
              </w:rPr>
            </w:pPr>
            <w:r>
              <w:rPr>
                <w:rFonts w:ascii="Arial" w:cs="Arial" w:eastAsia="Arial" w:hAnsi="Arial"/>
                <w:sz w:val="18"/>
                <w:szCs w:val="18"/>
                <w:color w:val="auto"/>
              </w:rPr>
              <w:t>Ranking</w:t>
            </w: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90"/>
              </w:rPr>
              <w:t>The notes will be unsecured and will rank equally with all of our unsecured and unsubordinated</w:t>
            </w:r>
          </w:p>
        </w:tc>
      </w:tr>
      <w:tr>
        <w:trPr>
          <w:trHeight w:val="222"/>
        </w:trPr>
        <w:tc>
          <w:tcPr>
            <w:tcW w:w="3040" w:type="dxa"/>
            <w:vAlign w:val="bottom"/>
          </w:tcPr>
          <w:p>
            <w:pPr>
              <w:spacing w:after="0"/>
              <w:rPr>
                <w:sz w:val="19"/>
                <w:szCs w:val="19"/>
                <w:color w:val="auto"/>
              </w:rPr>
            </w:pP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rPr>
              <w:t>indebtedness.</w:t>
            </w:r>
          </w:p>
        </w:tc>
      </w:tr>
      <w:tr>
        <w:trPr>
          <w:trHeight w:val="426"/>
        </w:trPr>
        <w:tc>
          <w:tcPr>
            <w:tcW w:w="3040" w:type="dxa"/>
            <w:vAlign w:val="bottom"/>
          </w:tcPr>
          <w:p>
            <w:pPr>
              <w:spacing w:after="0"/>
              <w:rPr>
                <w:sz w:val="20"/>
                <w:szCs w:val="20"/>
                <w:color w:val="auto"/>
              </w:rPr>
            </w:pPr>
            <w:r>
              <w:rPr>
                <w:rFonts w:ascii="Arial" w:cs="Arial" w:eastAsia="Arial" w:hAnsi="Arial"/>
                <w:sz w:val="18"/>
                <w:szCs w:val="18"/>
                <w:color w:val="auto"/>
              </w:rPr>
              <w:t>Cable Guarantors</w:t>
            </w: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88"/>
              </w:rPr>
              <w:t>Comcast Cable Communications, Inc., Comcast Cable Communications Holdings, Inc., Comcast</w:t>
            </w:r>
          </w:p>
        </w:tc>
      </w:tr>
      <w:tr>
        <w:trPr>
          <w:trHeight w:val="222"/>
        </w:trPr>
        <w:tc>
          <w:tcPr>
            <w:tcW w:w="3040" w:type="dxa"/>
            <w:vAlign w:val="bottom"/>
          </w:tcPr>
          <w:p>
            <w:pPr>
              <w:spacing w:after="0"/>
              <w:rPr>
                <w:sz w:val="19"/>
                <w:szCs w:val="19"/>
                <w:color w:val="auto"/>
              </w:rPr>
            </w:pP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rPr>
              <w:t>Cable Holdings, LLC, Comcast MO Group, Inc. and Comcast MO of Delaware, Inc.</w:t>
            </w:r>
          </w:p>
        </w:tc>
      </w:tr>
      <w:tr>
        <w:trPr>
          <w:trHeight w:val="426"/>
        </w:trPr>
        <w:tc>
          <w:tcPr>
            <w:tcW w:w="3040" w:type="dxa"/>
            <w:vAlign w:val="bottom"/>
          </w:tcPr>
          <w:p>
            <w:pPr>
              <w:spacing w:after="0"/>
              <w:rPr>
                <w:sz w:val="20"/>
                <w:szCs w:val="20"/>
                <w:color w:val="auto"/>
              </w:rPr>
            </w:pPr>
            <w:r>
              <w:rPr>
                <w:rFonts w:ascii="Arial" w:cs="Arial" w:eastAsia="Arial" w:hAnsi="Arial"/>
                <w:sz w:val="18"/>
                <w:szCs w:val="18"/>
                <w:color w:val="auto"/>
              </w:rPr>
              <w:t>Cable Guarantees</w:t>
            </w: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91"/>
              </w:rPr>
              <w:t>The cable guarantors will fully and unconditionally guarantee the notes, including the payment</w:t>
            </w:r>
          </w:p>
        </w:tc>
      </w:tr>
      <w:tr>
        <w:trPr>
          <w:trHeight w:val="216"/>
        </w:trPr>
        <w:tc>
          <w:tcPr>
            <w:tcW w:w="3040" w:type="dxa"/>
            <w:vAlign w:val="bottom"/>
          </w:tcPr>
          <w:p>
            <w:pPr>
              <w:spacing w:after="0"/>
              <w:rPr>
                <w:sz w:val="18"/>
                <w:szCs w:val="18"/>
                <w:color w:val="auto"/>
              </w:rPr>
            </w:pP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91"/>
              </w:rPr>
              <w:t>of principal, premium, if any, and interest. The cable guarantees will rank equally with all other</w:t>
            </w:r>
          </w:p>
        </w:tc>
      </w:tr>
      <w:tr>
        <w:trPr>
          <w:trHeight w:val="222"/>
        </w:trPr>
        <w:tc>
          <w:tcPr>
            <w:tcW w:w="3040" w:type="dxa"/>
            <w:vAlign w:val="bottom"/>
          </w:tcPr>
          <w:p>
            <w:pPr>
              <w:spacing w:after="0"/>
              <w:rPr>
                <w:sz w:val="19"/>
                <w:szCs w:val="19"/>
                <w:color w:val="auto"/>
              </w:rPr>
            </w:pP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rPr>
              <w:t>general unsecured and unsubordinated obligations of the cable guarantors.</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Optional Redemption</w:t>
            </w: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87"/>
              </w:rPr>
              <w:t>We may redeem all or part of the notes at our option at a redemption price equal to the greater of:</w:t>
            </w:r>
          </w:p>
        </w:tc>
      </w:tr>
      <w:tr>
        <w:trPr>
          <w:trHeight w:val="432"/>
        </w:trPr>
        <w:tc>
          <w:tcPr>
            <w:tcW w:w="3040" w:type="dxa"/>
            <w:vAlign w:val="bottom"/>
          </w:tcPr>
          <w:p>
            <w:pPr>
              <w:spacing w:after="0"/>
              <w:rPr>
                <w:sz w:val="24"/>
                <w:szCs w:val="24"/>
                <w:color w:val="auto"/>
              </w:rPr>
            </w:pPr>
          </w:p>
        </w:tc>
        <w:tc>
          <w:tcPr>
            <w:tcW w:w="1620" w:type="dxa"/>
            <w:vAlign w:val="bottom"/>
          </w:tcPr>
          <w:p>
            <w:pPr>
              <w:ind w:left="1540"/>
              <w:spacing w:after="0"/>
              <w:rPr>
                <w:sz w:val="20"/>
                <w:szCs w:val="20"/>
                <w:color w:val="auto"/>
              </w:rPr>
            </w:pPr>
            <w:r>
              <w:rPr>
                <w:rFonts w:ascii="Arial" w:cs="Arial" w:eastAsia="Arial" w:hAnsi="Arial"/>
                <w:sz w:val="18"/>
                <w:szCs w:val="18"/>
                <w:color w:val="auto"/>
                <w:w w:val="94"/>
              </w:rPr>
              <w:t>•</w:t>
            </w:r>
          </w:p>
        </w:tc>
        <w:tc>
          <w:tcPr>
            <w:tcW w:w="6760" w:type="dxa"/>
            <w:vAlign w:val="bottom"/>
          </w:tcPr>
          <w:p>
            <w:pPr>
              <w:ind w:left="60"/>
              <w:spacing w:after="0"/>
              <w:rPr>
                <w:sz w:val="20"/>
                <w:szCs w:val="20"/>
                <w:color w:val="auto"/>
              </w:rPr>
            </w:pPr>
            <w:r>
              <w:rPr>
                <w:rFonts w:ascii="Arial" w:cs="Arial" w:eastAsia="Arial" w:hAnsi="Arial"/>
                <w:sz w:val="18"/>
                <w:szCs w:val="18"/>
                <w:color w:val="auto"/>
              </w:rPr>
              <w:t>100% of the principal amount of the notes being redeemed; and</w:t>
            </w:r>
          </w:p>
        </w:tc>
      </w:tr>
      <w:tr>
        <w:trPr>
          <w:trHeight w:val="426"/>
        </w:trPr>
        <w:tc>
          <w:tcPr>
            <w:tcW w:w="3040" w:type="dxa"/>
            <w:vAlign w:val="bottom"/>
          </w:tcPr>
          <w:p>
            <w:pPr>
              <w:spacing w:after="0"/>
              <w:rPr>
                <w:sz w:val="24"/>
                <w:szCs w:val="24"/>
                <w:color w:val="auto"/>
              </w:rPr>
            </w:pPr>
          </w:p>
        </w:tc>
        <w:tc>
          <w:tcPr>
            <w:tcW w:w="1620" w:type="dxa"/>
            <w:vAlign w:val="bottom"/>
          </w:tcPr>
          <w:p>
            <w:pPr>
              <w:ind w:left="1540"/>
              <w:spacing w:after="0"/>
              <w:rPr>
                <w:sz w:val="20"/>
                <w:szCs w:val="20"/>
                <w:color w:val="auto"/>
              </w:rPr>
            </w:pPr>
            <w:r>
              <w:rPr>
                <w:rFonts w:ascii="Arial" w:cs="Arial" w:eastAsia="Arial" w:hAnsi="Arial"/>
                <w:sz w:val="18"/>
                <w:szCs w:val="18"/>
                <w:color w:val="auto"/>
                <w:w w:val="94"/>
              </w:rPr>
              <w:t>•</w:t>
            </w:r>
          </w:p>
        </w:tc>
        <w:tc>
          <w:tcPr>
            <w:tcW w:w="6760" w:type="dxa"/>
            <w:vAlign w:val="bottom"/>
          </w:tcPr>
          <w:p>
            <w:pPr>
              <w:ind w:left="60"/>
              <w:spacing w:after="0"/>
              <w:rPr>
                <w:sz w:val="20"/>
                <w:szCs w:val="20"/>
                <w:color w:val="auto"/>
              </w:rPr>
            </w:pPr>
            <w:r>
              <w:rPr>
                <w:rFonts w:ascii="Arial" w:cs="Arial" w:eastAsia="Arial" w:hAnsi="Arial"/>
                <w:sz w:val="18"/>
                <w:szCs w:val="18"/>
                <w:color w:val="auto"/>
              </w:rPr>
              <w:t>the Make-Whole Amount, as defined in “Description of the Notes</w:t>
            </w:r>
          </w:p>
        </w:tc>
      </w:tr>
      <w:tr>
        <w:trPr>
          <w:trHeight w:val="216"/>
        </w:trPr>
        <w:tc>
          <w:tcPr>
            <w:tcW w:w="3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and the Cable Guarantees—Optional Redemption” in this</w:t>
            </w:r>
          </w:p>
        </w:tc>
      </w:tr>
      <w:tr>
        <w:trPr>
          <w:trHeight w:val="216"/>
        </w:trPr>
        <w:tc>
          <w:tcPr>
            <w:tcW w:w="30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prospectus supplement for the notes being redeemed; plus accrued</w:t>
            </w:r>
          </w:p>
        </w:tc>
      </w:tr>
      <w:tr>
        <w:trPr>
          <w:trHeight w:val="222"/>
        </w:trPr>
        <w:tc>
          <w:tcPr>
            <w:tcW w:w="30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6760" w:type="dxa"/>
            <w:vAlign w:val="bottom"/>
          </w:tcPr>
          <w:p>
            <w:pPr>
              <w:ind w:left="40"/>
              <w:spacing w:after="0"/>
              <w:rPr>
                <w:sz w:val="20"/>
                <w:szCs w:val="20"/>
                <w:color w:val="auto"/>
              </w:rPr>
            </w:pPr>
            <w:r>
              <w:rPr>
                <w:rFonts w:ascii="Arial" w:cs="Arial" w:eastAsia="Arial" w:hAnsi="Arial"/>
                <w:sz w:val="18"/>
                <w:szCs w:val="18"/>
                <w:color w:val="auto"/>
              </w:rPr>
              <w:t>interest to the redemption date.</w:t>
            </w:r>
          </w:p>
        </w:tc>
      </w:tr>
      <w:tr>
        <w:trPr>
          <w:trHeight w:val="426"/>
        </w:trPr>
        <w:tc>
          <w:tcPr>
            <w:tcW w:w="3040" w:type="dxa"/>
            <w:vAlign w:val="bottom"/>
          </w:tcPr>
          <w:p>
            <w:pPr>
              <w:spacing w:after="0"/>
              <w:rPr>
                <w:sz w:val="20"/>
                <w:szCs w:val="20"/>
                <w:color w:val="auto"/>
              </w:rPr>
            </w:pPr>
            <w:r>
              <w:rPr>
                <w:rFonts w:ascii="Arial" w:cs="Arial" w:eastAsia="Arial" w:hAnsi="Arial"/>
                <w:sz w:val="18"/>
                <w:szCs w:val="18"/>
                <w:color w:val="auto"/>
              </w:rPr>
              <w:t>Use of Proceeds</w:t>
            </w: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87"/>
              </w:rPr>
              <w:t>We intend to use the proceeds from this offering, after deducting fees and expenses related to this</w:t>
            </w:r>
          </w:p>
        </w:tc>
      </w:tr>
      <w:tr>
        <w:trPr>
          <w:trHeight w:val="216"/>
        </w:trPr>
        <w:tc>
          <w:tcPr>
            <w:tcW w:w="3040" w:type="dxa"/>
            <w:vAlign w:val="bottom"/>
          </w:tcPr>
          <w:p>
            <w:pPr>
              <w:spacing w:after="0"/>
              <w:rPr>
                <w:sz w:val="18"/>
                <w:szCs w:val="18"/>
                <w:color w:val="auto"/>
              </w:rPr>
            </w:pP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97"/>
              </w:rPr>
              <w:t>offering, for working capital and general corporate purposes, including the repayment of</w:t>
            </w:r>
          </w:p>
        </w:tc>
      </w:tr>
      <w:tr>
        <w:trPr>
          <w:trHeight w:val="216"/>
        </w:trPr>
        <w:tc>
          <w:tcPr>
            <w:tcW w:w="3040" w:type="dxa"/>
            <w:vAlign w:val="bottom"/>
          </w:tcPr>
          <w:p>
            <w:pPr>
              <w:spacing w:after="0"/>
              <w:rPr>
                <w:sz w:val="18"/>
                <w:szCs w:val="18"/>
                <w:color w:val="auto"/>
              </w:rPr>
            </w:pP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94"/>
              </w:rPr>
              <w:t>borrowings under our revolving credit facilities due in 2005 and 2007, under which we have</w:t>
            </w:r>
          </w:p>
        </w:tc>
      </w:tr>
      <w:tr>
        <w:trPr>
          <w:trHeight w:val="216"/>
        </w:trPr>
        <w:tc>
          <w:tcPr>
            <w:tcW w:w="3040" w:type="dxa"/>
            <w:vAlign w:val="bottom"/>
          </w:tcPr>
          <w:p>
            <w:pPr>
              <w:spacing w:after="0"/>
              <w:rPr>
                <w:sz w:val="18"/>
                <w:szCs w:val="18"/>
                <w:color w:val="auto"/>
              </w:rPr>
            </w:pP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93"/>
              </w:rPr>
              <w:t>borrowings of $400 million and $700 million, respectively, and which bear interest at floating</w:t>
            </w:r>
          </w:p>
        </w:tc>
      </w:tr>
      <w:tr>
        <w:trPr>
          <w:trHeight w:val="222"/>
        </w:trPr>
        <w:tc>
          <w:tcPr>
            <w:tcW w:w="3040" w:type="dxa"/>
            <w:vAlign w:val="bottom"/>
          </w:tcPr>
          <w:p>
            <w:pPr>
              <w:spacing w:after="0"/>
              <w:rPr>
                <w:sz w:val="19"/>
                <w:szCs w:val="19"/>
                <w:color w:val="auto"/>
              </w:rPr>
            </w:pP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rPr>
              <w:t>rates that are currently 2.035% and 2.190%, respectively.</w:t>
            </w:r>
          </w:p>
        </w:tc>
      </w:tr>
      <w:tr>
        <w:trPr>
          <w:trHeight w:val="426"/>
        </w:trPr>
        <w:tc>
          <w:tcPr>
            <w:tcW w:w="3040" w:type="dxa"/>
            <w:vAlign w:val="bottom"/>
          </w:tcPr>
          <w:p>
            <w:pPr>
              <w:spacing w:after="0"/>
              <w:rPr>
                <w:sz w:val="20"/>
                <w:szCs w:val="20"/>
                <w:color w:val="auto"/>
              </w:rPr>
            </w:pPr>
            <w:r>
              <w:rPr>
                <w:rFonts w:ascii="Arial" w:cs="Arial" w:eastAsia="Arial" w:hAnsi="Arial"/>
                <w:sz w:val="18"/>
                <w:szCs w:val="18"/>
                <w:color w:val="auto"/>
              </w:rPr>
              <w:t>Book Entry</w:t>
            </w: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91"/>
              </w:rPr>
              <w:t>The notes will be issued in book-entry form and will be represented by global notes deposited</w:t>
            </w:r>
          </w:p>
        </w:tc>
      </w:tr>
      <w:tr>
        <w:trPr>
          <w:trHeight w:val="216"/>
        </w:trPr>
        <w:tc>
          <w:tcPr>
            <w:tcW w:w="3040" w:type="dxa"/>
            <w:vAlign w:val="bottom"/>
          </w:tcPr>
          <w:p>
            <w:pPr>
              <w:spacing w:after="0"/>
              <w:rPr>
                <w:sz w:val="18"/>
                <w:szCs w:val="18"/>
                <w:color w:val="auto"/>
              </w:rPr>
            </w:pP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97"/>
              </w:rPr>
              <w:t>with, or on behalf of, DTC and registered in the name of DTC or its nominees. Beneficial</w:t>
            </w:r>
          </w:p>
        </w:tc>
      </w:tr>
      <w:tr>
        <w:trPr>
          <w:trHeight w:val="222"/>
        </w:trPr>
        <w:tc>
          <w:tcPr>
            <w:tcW w:w="3040" w:type="dxa"/>
            <w:vAlign w:val="bottom"/>
          </w:tcPr>
          <w:p>
            <w:pPr>
              <w:spacing w:after="0"/>
              <w:rPr>
                <w:sz w:val="19"/>
                <w:szCs w:val="19"/>
                <w:color w:val="auto"/>
              </w:rPr>
            </w:pPr>
          </w:p>
        </w:tc>
        <w:tc>
          <w:tcPr>
            <w:tcW w:w="8380" w:type="dxa"/>
            <w:vAlign w:val="bottom"/>
            <w:gridSpan w:val="2"/>
          </w:tcPr>
          <w:p>
            <w:pPr>
              <w:ind w:left="1540"/>
              <w:spacing w:after="0"/>
              <w:rPr>
                <w:sz w:val="20"/>
                <w:szCs w:val="20"/>
                <w:color w:val="auto"/>
              </w:rPr>
            </w:pPr>
            <w:r>
              <w:rPr>
                <w:rFonts w:ascii="Arial" w:cs="Arial" w:eastAsia="Arial" w:hAnsi="Arial"/>
                <w:sz w:val="18"/>
                <w:szCs w:val="18"/>
                <w:color w:val="auto"/>
                <w:w w:val="88"/>
              </w:rPr>
              <w:t>interests in any of the notes will be shown on, and transfers will be effected only through, records</w:t>
            </w:r>
          </w:p>
        </w:tc>
      </w:tr>
    </w:tbl>
    <w:p>
      <w:pPr>
        <w:ind w:left="4580" w:right="140"/>
        <w:spacing w:after="0" w:line="302" w:lineRule="auto"/>
        <w:rPr>
          <w:sz w:val="20"/>
          <w:szCs w:val="20"/>
          <w:color w:val="auto"/>
        </w:rPr>
      </w:pPr>
      <w:r>
        <w:rPr>
          <w:rFonts w:ascii="Arial" w:cs="Arial" w:eastAsia="Arial" w:hAnsi="Arial"/>
          <w:sz w:val="16"/>
          <w:szCs w:val="16"/>
          <w:color w:val="auto"/>
        </w:rPr>
        <w:t>maintained by DTC or its nominee, and these beneficial interests may not be exchanged for certificated notes, except in limited circumstances. See “Description of the Notes and the Cable Guarantees—Book-Entry System” in this prospectus supplement.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We intend to use the proceeds from this offering, after deducting fees and expenses related to this offering, for working capital and general corporate purposes, including the repayment of borrowings under our revolving credit facilities due in 2005 and 2007, under which we have borrowings of $400 million and $700 million, respectively, and which bear interest at floating rates that are currently 2.035% and 2.190%,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58"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During April and May of 2003, we borrowed an aggregate of $3.85 billion of long-term debt under certain of our credit facilities, the proceeds of which were used to repay an aggregate of $3.95 billion of indebtedness, including $781 million of current portion of long-term debt and $3.169 billion of long-term debt.</w:t>
      </w:r>
    </w:p>
    <w:p>
      <w:pPr>
        <w:spacing w:after="0" w:line="166"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The following table sets forth our unaudited capitalization and other data as of March 31, 2003 on a pro forma basis to give effect to the transactions described above, and as adjusted to give effect to the receipt of the estimated net proceeds of $991,670,000 from the sale of the notes in this offering and the application of the estimated net proceeds therefrom as described under “Use of Proceeds.” This table should be read in conjunction with our financial statements, related notes and the other information incorporated by reference in the accompanying prospectus.</w:t>
      </w: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0"/>
              </w:rPr>
              <w:t>March 31, 2003</w:t>
            </w: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Pro Forma</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3"/>
          </w:tcPr>
          <w:p>
            <w:pPr>
              <w:jc w:val="right"/>
              <w:ind w:right="21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Current portion of long-term debt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1,871</w:t>
            </w:r>
          </w:p>
        </w:tc>
        <w:tc>
          <w:tcPr>
            <w:tcW w:w="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1,871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0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60" w:type="dxa"/>
            <w:vAlign w:val="bottom"/>
            <w:gridSpan w:val="2"/>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3"/>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06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30,939</w:t>
            </w:r>
          </w:p>
        </w:tc>
        <w:tc>
          <w:tcPr>
            <w:tcW w:w="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29,947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Notes offered by this prospectus supplement</w:t>
            </w:r>
          </w:p>
        </w:tc>
        <w:tc>
          <w:tcPr>
            <w:tcW w:w="50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Total long-term debt, less current portion</w:t>
            </w:r>
          </w:p>
        </w:tc>
        <w:tc>
          <w:tcPr>
            <w:tcW w:w="5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30,939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30,945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Preferred Stock—authorized, 20,000,000 shares; issued, zero</w:t>
            </w:r>
          </w:p>
        </w:tc>
        <w:tc>
          <w:tcPr>
            <w:tcW w:w="5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4"/>
              </w:rPr>
              <w:t>Class A Common Stock, $0.01 par value—authorized, 7,500,000,000 shares</w:t>
            </w: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issued, 1,599,224,381; outstanding 1,355,583,881</w:t>
            </w:r>
          </w:p>
        </w:tc>
        <w:tc>
          <w:tcPr>
            <w:tcW w:w="50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w w:val="93"/>
              </w:rPr>
              <w:t>Class A Special Common Stock, $0.01 par value—authorized, 7,500,000,000</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shares; issued, 931,145,017; outstanding 883,855,174</w:t>
            </w:r>
          </w:p>
        </w:tc>
        <w:tc>
          <w:tcPr>
            <w:tcW w:w="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7"/>
              </w:rPr>
              <w:t>Class B Common Stock, $0.01 par value—authorized, 75,000,000 shares;</w:t>
            </w: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issued, 9,444,375</w:t>
            </w:r>
          </w:p>
        </w:tc>
        <w:tc>
          <w:tcPr>
            <w:tcW w:w="500" w:type="dxa"/>
            <w:vAlign w:val="bottom"/>
            <w:tcBorders>
              <w:right w:val="single" w:sz="8" w:color="EEEEEE"/>
            </w:tcBorders>
            <w:shd w:val="clear" w:color="auto" w:fill="EEEEEE"/>
          </w:tcPr>
          <w:p>
            <w:pPr>
              <w:spacing w:after="0"/>
              <w:rPr>
                <w:sz w:val="19"/>
                <w:szCs w:val="19"/>
                <w:color w:val="auto"/>
              </w:rPr>
            </w:pPr>
          </w:p>
        </w:tc>
        <w:tc>
          <w:tcPr>
            <w:tcW w:w="5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rPr>
              <w:t>Additional capital</w:t>
            </w:r>
          </w:p>
        </w:tc>
        <w:tc>
          <w:tcPr>
            <w:tcW w:w="5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44,643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Retained earnings</w:t>
            </w:r>
          </w:p>
        </w:tc>
        <w:tc>
          <w:tcPr>
            <w:tcW w:w="50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1,043</w:t>
            </w:r>
          </w:p>
        </w:tc>
        <w:tc>
          <w:tcPr>
            <w:tcW w:w="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40" w:type="dxa"/>
            <w:vAlign w:val="bottom"/>
          </w:tcPr>
          <w:p>
            <w:pPr>
              <w:ind w:left="240"/>
              <w:spacing w:after="0"/>
              <w:rPr>
                <w:sz w:val="20"/>
                <w:szCs w:val="20"/>
                <w:color w:val="auto"/>
              </w:rPr>
            </w:pPr>
            <w:r>
              <w:rPr>
                <w:rFonts w:ascii="Arial" w:cs="Arial" w:eastAsia="Arial" w:hAnsi="Arial"/>
                <w:sz w:val="18"/>
                <w:szCs w:val="18"/>
                <w:color w:val="auto"/>
                <w:w w:val="92"/>
              </w:rPr>
              <w:t>Treasury stock, 243,640,500 Class A common shares and 47,289,843 Class A</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60"/>
              <w:spacing w:after="0"/>
              <w:rPr>
                <w:sz w:val="20"/>
                <w:szCs w:val="20"/>
                <w:color w:val="auto"/>
              </w:rPr>
            </w:pPr>
            <w:r>
              <w:rPr>
                <w:rFonts w:ascii="Arial" w:cs="Arial" w:eastAsia="Arial" w:hAnsi="Arial"/>
                <w:sz w:val="18"/>
                <w:szCs w:val="18"/>
                <w:color w:val="auto"/>
              </w:rPr>
              <w:t>Special common shares</w:t>
            </w:r>
          </w:p>
        </w:tc>
        <w:tc>
          <w:tcPr>
            <w:tcW w:w="5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(7,517)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(7,517)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tcBorders>
              <w:right w:val="single" w:sz="8" w:color="EEEEEE"/>
            </w:tcBorders>
            <w:shd w:val="clear" w:color="auto" w:fill="EEEEEE"/>
          </w:tcPr>
          <w:p>
            <w:pPr>
              <w:spacing w:after="0"/>
              <w:rPr>
                <w:sz w:val="18"/>
                <w:szCs w:val="18"/>
                <w:color w:val="auto"/>
              </w:rPr>
            </w:pP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04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5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38,054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38,054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720"/>
              <w:spacing w:after="0"/>
              <w:rPr>
                <w:sz w:val="20"/>
                <w:szCs w:val="20"/>
                <w:color w:val="auto"/>
              </w:rPr>
            </w:pPr>
            <w:r>
              <w:rPr>
                <w:rFonts w:ascii="Arial" w:cs="Arial" w:eastAsia="Arial" w:hAnsi="Arial"/>
                <w:sz w:val="18"/>
                <w:szCs w:val="18"/>
                <w:color w:val="auto"/>
              </w:rPr>
              <w:t>Total capitalization</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68,993</w:t>
            </w:r>
          </w:p>
        </w:tc>
        <w:tc>
          <w:tcPr>
            <w:tcW w:w="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68,999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NOTES AND THE CABLE GUARANTEES</w:t>
      </w:r>
    </w:p>
    <w:p>
      <w:pPr>
        <w:spacing w:after="0" w:line="258"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are offering $1,000,000,000 aggregate principal amount of our 5.30% Notes due 2014. The notes will be a separate series of securities issued under an indenture, dated as of January 7, 2003 among us, the cable guarantors and The Bank of New York, as trustee, as amended. The notes will be our direct unsecured and unsubordinated obligations and will be fully and unconditionally guaranteed by Comcast Cable, Comcast Cable Communications Holdings, Comcast Cable Holdings, Comcast MO Group and Comcast MO of Delaware,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than those of the notes, to “reopen” a previous issue of a series of securities (including the notes) and to issue additional securities of any series (including the notes). Copies of the indenture and the form of notes are available from us upon request.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9" w:name="page10"/>
    <w:bookmarkEnd w:id="9"/>
    <w:p>
      <w:pPr>
        <w:ind w:right="40" w:firstLine="324"/>
        <w:spacing w:after="0" w:line="306" w:lineRule="auto"/>
        <w:rPr>
          <w:sz w:val="20"/>
          <w:szCs w:val="20"/>
          <w:color w:val="auto"/>
        </w:rPr>
      </w:pPr>
      <w:r>
        <w:rPr>
          <w:rFonts w:ascii="Arial" w:cs="Arial" w:eastAsia="Arial" w:hAnsi="Arial"/>
          <w:sz w:val="16"/>
          <w:szCs w:val="16"/>
          <w:color w:val="auto"/>
        </w:rPr>
        <w:t>The following, along with the additional information contained in the accompanying prospectus under “Description of the Senior Debt Securities, Subordinated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ind w:left="700" w:hanging="341"/>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cable guarantees described below;</w:t>
      </w:r>
    </w:p>
    <w:p>
      <w:pPr>
        <w:spacing w:after="0" w:line="302" w:lineRule="exact"/>
        <w:rPr>
          <w:rFonts w:ascii="Arial" w:cs="Arial" w:eastAsia="Arial" w:hAnsi="Arial"/>
          <w:sz w:val="16"/>
          <w:szCs w:val="16"/>
          <w:color w:val="auto"/>
        </w:rPr>
      </w:pPr>
    </w:p>
    <w:p>
      <w:pPr>
        <w:ind w:left="700" w:right="20" w:hanging="341"/>
        <w:spacing w:after="0" w:line="33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will be issued as an initial aggregate principal amount of $1,000,000,000 of 5.30% Notes due 2014, maturing on January 15, 2014, with interest payable semiannually on each January 15 and July 15, beginning January 15, 2004, to holders of record on the preceding January 1 and July 1; and</w:t>
      </w:r>
    </w:p>
    <w:p>
      <w:pPr>
        <w:spacing w:after="0" w:line="166" w:lineRule="exact"/>
        <w:rPr>
          <w:rFonts w:ascii="Arial" w:cs="Arial" w:eastAsia="Arial" w:hAnsi="Arial"/>
          <w:sz w:val="16"/>
          <w:szCs w:val="16"/>
          <w:color w:val="auto"/>
        </w:rPr>
      </w:pPr>
    </w:p>
    <w:p>
      <w:pPr>
        <w:ind w:left="700" w:hanging="341"/>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issuable in fully registered form, in denominations of $1,000 and multiples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25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Interest on the notes will be computed on the basis of a 360-day year consisting of twelve 30-day months. Interest on the notes will accrue from the date of original issuance, or from the most recent interest payment date to which interest has been paid and will be payable semiannually on interest payment dates described of each year.</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258" w:lineRule="exact"/>
        <w:rPr>
          <w:sz w:val="20"/>
          <w:szCs w:val="20"/>
          <w:color w:val="auto"/>
        </w:rPr>
      </w:pPr>
    </w:p>
    <w:p>
      <w:pPr>
        <w:jc w:val="both"/>
        <w:ind w:right="220" w:firstLine="324"/>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Comcast Cable, Comcast Cable Communications, Comcast Cable Holdings, Comcast MO Group and Comcast MO of Delaware.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cable guarantees will rank equally with all other general unsecured and unsubordinated obligations of the cable guarantors.</w:t>
      </w:r>
    </w:p>
    <w:p>
      <w:pPr>
        <w:spacing w:after="0" w:line="252"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The cable guarantees will not contain any restrictions on the ability of any of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will have the right at our option to redeem any of the notes in whole or in part, at any time or from time to time prior to their maturity, on at least 30 days, but not more than 60 days, prior notice mailed to the registered address of each holder of the applicable series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 semiannual basis (assuming a 360-day year consisting of twelve 30-day months) at, in each case, the Treasury Rate plus 25 basis points for the notes (the “Make-Whole Amount”), plus in each case accrued interest thereon to the date of redemption.</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221"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“Comparable Treasury Issue” means the United States Treasury security or securities selected by an Independent Investment Banker as having an actual or interpolated maturity comparable to the remaining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10" w:name="page11"/>
    <w:bookmarkEnd w:id="10"/>
    <w:p>
      <w:pPr>
        <w:ind w:right="320"/>
        <w:spacing w:after="0" w:line="268" w:lineRule="auto"/>
        <w:rPr>
          <w:sz w:val="20"/>
          <w:szCs w:val="20"/>
          <w:color w:val="auto"/>
        </w:rPr>
      </w:pPr>
      <w:r>
        <w:rPr>
          <w:rFonts w:ascii="Arial" w:cs="Arial" w:eastAsia="Arial" w:hAnsi="Arial"/>
          <w:sz w:val="18"/>
          <w:szCs w:val="18"/>
          <w:color w:val="auto"/>
        </w:rPr>
        <w:t>term of the notes to be redeemed that would be utilized, at the time of selection and in accordance with customary financial practice, in pricing new issues of corporate debt securities of a comparable maturity to the remaining term of such notes.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“Independent Investment Banker” means one of the Reference Treasury Dealers appointed by us.</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“Comparable Treasury Price” means, with respect to any redemption date, (i) the average of the Reference Treasury Dealer Quotations for such redemption date, after excluding the highest and lowest such Reference Treasury Dealer Quotation or (ii) if the trustee obtains fewer than four such Reference Treasury Dealer Quotations, the average of all such quotations.</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“Reference Treasury Dealer” means each of Banc of America Securities LLC, Barclays Capital Inc., and Deutsche Bank Securities Inc. or their affiliates which are primary United States government securities dealers, and their respective successors; provided, however, that if any of the foregoing shall cease to be a primary United States government securities dealer in The City of New York (a “Primary Treasury Dealer”), we will substitute therefor another Primary Treasury Dealer.</w:t>
      </w:r>
    </w:p>
    <w:p>
      <w:pPr>
        <w:spacing w:after="0" w:line="224" w:lineRule="exact"/>
        <w:rPr>
          <w:sz w:val="20"/>
          <w:szCs w:val="20"/>
          <w:color w:val="auto"/>
        </w:rPr>
      </w:pPr>
    </w:p>
    <w:p>
      <w:pPr>
        <w:jc w:val="both"/>
        <w:ind w:right="80" w:firstLine="324"/>
        <w:spacing w:after="0" w:line="306" w:lineRule="auto"/>
        <w:rPr>
          <w:sz w:val="20"/>
          <w:szCs w:val="20"/>
          <w:color w:val="auto"/>
        </w:rPr>
      </w:pPr>
      <w:r>
        <w:rPr>
          <w:rFonts w:ascii="Arial" w:cs="Arial" w:eastAsia="Arial" w:hAnsi="Arial"/>
          <w:sz w:val="16"/>
          <w:szCs w:val="16"/>
          <w:color w:val="auto"/>
        </w:rPr>
        <w:t>“Reference Treasury Dealer Quotation” means, with respect to each Reference Treasury Dealer and any redemption date, the average, as determined by the trustee, of the bid and asked prices for the Comparable Treasury Issue (expressed in case as a percentage of its principal amount) quoted in writing to the trustee by such Reference Treasury Dealer at 3:30 pm New York time on the third business day preceding such redemption date.</w:t>
      </w:r>
    </w:p>
    <w:p>
      <w:pPr>
        <w:spacing w:after="0" w:line="18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interest to the redemption date on the notes to be redeemed on such date. If less than all of the notes of any series are to be redeemed, the notes to be redeemed shall be selected by the trustee by such method as the trustee shall deem fair and appropriate.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258" w:lineRule="exact"/>
        <w:rPr>
          <w:sz w:val="20"/>
          <w:szCs w:val="20"/>
          <w:color w:val="auto"/>
        </w:rPr>
      </w:pPr>
    </w:p>
    <w:p>
      <w:pPr>
        <w:jc w:val="both"/>
        <w:ind w:right="40" w:firstLine="324"/>
        <w:spacing w:after="0" w:line="298" w:lineRule="auto"/>
        <w:rPr>
          <w:sz w:val="20"/>
          <w:szCs w:val="20"/>
          <w:color w:val="auto"/>
        </w:rPr>
      </w:pPr>
      <w:r>
        <w:rPr>
          <w:rFonts w:ascii="Arial" w:cs="Arial" w:eastAsia="Arial" w:hAnsi="Arial"/>
          <w:sz w:val="16"/>
          <w:szCs w:val="16"/>
          <w:color w:val="auto"/>
        </w:rPr>
        <w:t>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DTC</w:t>
      </w:r>
    </w:p>
    <w:p>
      <w:pPr>
        <w:spacing w:after="0" w:line="25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1" w:right="319" w:bottom="1440" w:gutter="0" w:footer="0" w:header="0"/>
        </w:sectPr>
      </w:pPr>
    </w:p>
    <w:bookmarkStart w:id="11" w:name="page12"/>
    <w:bookmarkEnd w:id="11"/>
    <w:p>
      <w:pPr>
        <w:ind w:right="260"/>
        <w:spacing w:after="0" w:line="268" w:lineRule="auto"/>
        <w:rPr>
          <w:sz w:val="20"/>
          <w:szCs w:val="20"/>
          <w:color w:val="auto"/>
        </w:rPr>
      </w:pPr>
      <w:r>
        <w:rPr>
          <w:rFonts w:ascii="Arial" w:cs="Arial" w:eastAsia="Arial" w:hAnsi="Arial"/>
          <w:sz w:val="18"/>
          <w:szCs w:val="18"/>
          <w:color w:val="auto"/>
        </w:rPr>
        <w:t>brokers, dealers and trust companies (collectively, the “indirect participants”) that clear through or maintain a custodial relationship with a participant, whether directly or indirectly.</w:t>
      </w:r>
    </w:p>
    <w:p>
      <w:pPr>
        <w:spacing w:after="0" w:line="21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expect that pursuant to procedures established by DTC, upon the deposit of the Global Notes with DTC, DTC will credit on its book 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w:t>
      </w:r>
    </w:p>
    <w:p>
      <w:pPr>
        <w:spacing w:after="0" w:line="201"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The laws of some jurisdictions may require that certain purchasers of securities take physical delivery of such securities in definitive form. Such limits and laws may impair the ability to transfer or pledge beneficial interests in the Global Notes.</w:t>
      </w:r>
    </w:p>
    <w:p>
      <w:pPr>
        <w:spacing w:after="0" w:line="213"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w:t>
      </w:r>
    </w:p>
    <w:p>
      <w:pPr>
        <w:spacing w:after="0" w:line="19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will make payments of principal of, premium, if any, and interest on the notes represented by the Global Notes registered in the name of and held by DTC or its nominee to DTC or its nominee, as the case may be, as the registered owner and holder of the Global Notes.</w:t>
      </w:r>
    </w:p>
    <w:p>
      <w:pPr>
        <w:spacing w:after="0" w:line="213"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w:t>
      </w:r>
    </w:p>
    <w:p>
      <w:pPr>
        <w:spacing w:after="0" w:line="201"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cable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 w:name="page13"/>
    <w:bookmarkEnd w:id="12"/>
    <w:p>
      <w:pPr>
        <w:ind w:left="3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252" w:lineRule="exact"/>
        <w:rPr>
          <w:sz w:val="20"/>
          <w:szCs w:val="20"/>
          <w:color w:val="auto"/>
        </w:rPr>
      </w:pPr>
    </w:p>
    <w:p>
      <w:pPr>
        <w:ind w:right="920" w:firstLine="324"/>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denominations of $1,000 principal amount and multiples thereof if:</w:t>
      </w:r>
    </w:p>
    <w:p>
      <w:pPr>
        <w:spacing w:after="0" w:line="186" w:lineRule="exact"/>
        <w:rPr>
          <w:sz w:val="20"/>
          <w:szCs w:val="20"/>
          <w:color w:val="auto"/>
        </w:rPr>
      </w:pPr>
    </w:p>
    <w:p>
      <w:pPr>
        <w:ind w:left="1040" w:right="460" w:hanging="451"/>
        <w:spacing w:after="0" w:line="268"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DTC provides notification that it is unwilling or unable to continue as depositary for the Global Notes or DTC ceases to be a clearing agency registered under the Exchange Act and, in either case, a successor is not appointed within 90 days;</w:t>
      </w:r>
    </w:p>
    <w:p>
      <w:pPr>
        <w:spacing w:after="0" w:line="212" w:lineRule="exact"/>
        <w:rPr>
          <w:rFonts w:ascii="Arial" w:cs="Arial" w:eastAsia="Arial" w:hAnsi="Arial"/>
          <w:sz w:val="18"/>
          <w:szCs w:val="18"/>
          <w:color w:val="auto"/>
        </w:rPr>
      </w:pPr>
    </w:p>
    <w:p>
      <w:pPr>
        <w:ind w:left="1040" w:hanging="45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279" w:lineRule="exact"/>
        <w:rPr>
          <w:rFonts w:ascii="Arial" w:cs="Arial" w:eastAsia="Arial" w:hAnsi="Arial"/>
          <w:sz w:val="18"/>
          <w:szCs w:val="18"/>
          <w:color w:val="auto"/>
        </w:rPr>
      </w:pPr>
    </w:p>
    <w:p>
      <w:pPr>
        <w:ind w:left="1040" w:hanging="451"/>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79"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Same-Day Payment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22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intend to offer the notes through the underwriters. Banc of America Securities LLC, Barclays Capital Inc., Deutsche Bank Securities Inc., Banc One Capital Markets, Inc., Citigroup Global Markets Inc., Credit Suisse First Boston LLC, Dresdner Kleinwort Wasserstein Securities LLC, Lehman Brothers Inc., ABN AMRO Incorporated, BNP Paribas Securities Corp., Fleet Securities, Inc., Scotia Capital (USA) Inc., Societe Generale, SunTrust Capital Markets, Inc., The Royal Bank of Scotland plc, UBS Warburg LLC and Wachovia Securities, Inc. are acting as representatives of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386"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40" w:type="dxa"/>
            <w:vAlign w:val="bottom"/>
          </w:tcPr>
          <w:p>
            <w:pPr>
              <w:ind w:left="2300"/>
              <w:spacing w:after="0"/>
              <w:rPr>
                <w:sz w:val="20"/>
                <w:szCs w:val="20"/>
                <w:color w:val="auto"/>
              </w:rPr>
            </w:pPr>
            <w:r>
              <w:rPr>
                <w:rFonts w:ascii="Arial" w:cs="Arial" w:eastAsia="Arial" w:hAnsi="Arial"/>
                <w:sz w:val="14"/>
                <w:szCs w:val="14"/>
                <w:b w:val="1"/>
                <w:bCs w:val="1"/>
                <w:color w:val="auto"/>
              </w:rPr>
              <w:t>Underwriter</w:t>
            </w:r>
          </w:p>
        </w:tc>
        <w:tc>
          <w:tcPr>
            <w:tcW w:w="200" w:type="dxa"/>
            <w:vAlign w:val="bottom"/>
          </w:tcPr>
          <w:p>
            <w:pPr>
              <w:spacing w:after="0"/>
              <w:rPr>
                <w:sz w:val="15"/>
                <w:szCs w:val="15"/>
                <w:color w:val="auto"/>
              </w:rPr>
            </w:pPr>
          </w:p>
        </w:tc>
        <w:tc>
          <w:tcPr>
            <w:tcW w:w="2420" w:type="dxa"/>
            <w:vAlign w:val="bottom"/>
            <w:gridSpan w:val="3"/>
          </w:tcPr>
          <w:p>
            <w:pPr>
              <w:ind w:left="700"/>
              <w:spacing w:after="0"/>
              <w:rPr>
                <w:sz w:val="20"/>
                <w:szCs w:val="20"/>
                <w:color w:val="auto"/>
              </w:rPr>
            </w:pPr>
            <w:r>
              <w:rPr>
                <w:rFonts w:ascii="Arial" w:cs="Arial" w:eastAsia="Arial" w:hAnsi="Arial"/>
                <w:sz w:val="14"/>
                <w:szCs w:val="14"/>
                <w:b w:val="1"/>
                <w:bCs w:val="1"/>
                <w:color w:val="auto"/>
              </w:rPr>
              <w:t>Principal 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Banc of America Securities LLC</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203,181,000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Barclays Capital Inc.</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203,181,000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Deutsche Bank Securities Inc.</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203,181,000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Banc One Capital Markets, Inc.</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44,642,000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Citigroup Global Markets Inc.</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44,642,000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Credit Suisse First Boston LLC</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44,642,000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Dresdner Kleinwort Wasserstein Securities LLC</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44,642,000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Lehman Brothers Inc.</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44,642,000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ABN AMRO Incorporated</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14,309,000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14,309,000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Fleet Securities, Inc.</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14,309,000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Scotia Capital (USA) Inc.</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14,309,000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Societe Generale</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14,309,000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SunTrust Capital Markets, Inc.</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14,309,000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The Royal Bank of Scotland plc</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14,309,000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UBS Warburg LLC</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14,309,000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Wachovia Securities, Inc.</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14,309,000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Blaylock &amp; Partners, L.P.</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9,616,000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The Williams Capital Group, L.P.</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9,616,000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Guzman &amp; Company</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5,770,000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Samuel A. Ramirez &amp; Co., Inc.</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5,770,000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M.R. Beal &amp; Company</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3,847,000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Pryor, Counts &amp; Co., Inc.</w:t>
            </w:r>
          </w:p>
        </w:tc>
        <w:tc>
          <w:tcPr>
            <w:tcW w:w="2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3,847,000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5340" w:type="dxa"/>
            <w:vAlign w:val="bottom"/>
          </w:tcPr>
          <w:p>
            <w:pPr>
              <w:ind w:left="460"/>
              <w:spacing w:after="0"/>
              <w:rPr>
                <w:sz w:val="20"/>
                <w:szCs w:val="20"/>
                <w:color w:val="auto"/>
              </w:rPr>
            </w:pPr>
            <w:r>
              <w:rPr>
                <w:rFonts w:ascii="Arial" w:cs="Arial" w:eastAsia="Arial" w:hAnsi="Arial"/>
                <w:sz w:val="18"/>
                <w:szCs w:val="18"/>
                <w:color w:val="auto"/>
              </w:rPr>
              <w:t>Total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1,000,000,000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purchase agreement may be terminated.</w:t>
      </w:r>
    </w:p>
    <w:p>
      <w:pPr>
        <w:spacing w:after="0" w:line="221"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213" w:lineRule="exact"/>
        <w:rPr>
          <w:sz w:val="20"/>
          <w:szCs w:val="20"/>
          <w:color w:val="auto"/>
        </w:rPr>
      </w:pPr>
    </w:p>
    <w:p>
      <w:pPr>
        <w:ind w:right="320" w:firstLine="324"/>
        <w:spacing w:after="0" w:line="370"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certificates and legal opinions. The underwriters reserve the right to withdraw, cancel or modify offers to the public and to reject orders in whole or in part.</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underwriters will reimburse us for a portion of our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underwriters have advised us that they propose initially to offer the notes to the public at the public offering price on the cover page of this prospectus supplement, and to dealers at that price less a concession not in excess of 0.65% of the principal amount of the notes. The underwriters may allow, and the dealers may reallow, a discount not in excess of 0.25% of the principal amount of the notes to other dealers. After the initial public offering, the public offering price, concession and discount may be changed.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expenses of the offering, not including the underwriting discount, are estimated to be $150,000 and are payable by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2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in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224" w:lineRule="exact"/>
        <w:rPr>
          <w:sz w:val="20"/>
          <w:szCs w:val="20"/>
          <w:color w:val="auto"/>
        </w:rPr>
      </w:pPr>
    </w:p>
    <w:p>
      <w:pPr>
        <w:jc w:val="both"/>
        <w:ind w:right="120" w:firstLine="324"/>
        <w:spacing w:after="0" w:line="306" w:lineRule="auto"/>
        <w:rPr>
          <w:sz w:val="20"/>
          <w:szCs w:val="20"/>
          <w:color w:val="auto"/>
        </w:rPr>
      </w:pPr>
      <w:r>
        <w:rPr>
          <w:rFonts w:ascii="Arial" w:cs="Arial" w:eastAsia="Arial" w:hAnsi="Arial"/>
          <w:sz w:val="16"/>
          <w:szCs w:val="16"/>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58"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underwriters and their affiliates have engaged in, and may in the future engage in, investment banking and other commercial dealings in the ordinary course of business with us. They have received customary fees and commissions for these transactions.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right="80" w:firstLine="324"/>
        <w:spacing w:after="0" w:line="332" w:lineRule="auto"/>
        <w:rPr>
          <w:sz w:val="20"/>
          <w:szCs w:val="20"/>
          <w:color w:val="auto"/>
        </w:rPr>
      </w:pPr>
      <w:r>
        <w:rPr>
          <w:rFonts w:ascii="Arial" w:cs="Arial" w:eastAsia="Arial" w:hAnsi="Arial"/>
          <w:sz w:val="16"/>
          <w:szCs w:val="16"/>
          <w:color w:val="auto"/>
        </w:rPr>
        <w:t>Various legal matters relating to the offering will be passed upon for us by Arthur R. Block, Esquire, Senior Vice President and General Counsel of Comcast Corporation and by Davis Polk &amp; Wardwell, Menlo Park, California. Cahill Gordon &amp; Reindel LLP, New York, New York, is representing the underwriters.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5" w:name="page16"/>
    <w:bookmarkEnd w:id="15"/>
    <w:p>
      <w:pPr>
        <w:ind w:left="3100"/>
        <w:spacing w:after="0"/>
        <w:rPr>
          <w:sz w:val="20"/>
          <w:szCs w:val="20"/>
          <w:color w:val="auto"/>
        </w:rPr>
      </w:pPr>
      <w:r>
        <w:rPr>
          <w:rFonts w:ascii="Arial" w:cs="Arial" w:eastAsia="Arial" w:hAnsi="Arial"/>
          <w:sz w:val="16"/>
          <w:szCs w:val="16"/>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452120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8"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March 26, 2003</w:t>
      </w: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$7,000,000,000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160020</wp:posOffset>
            </wp:positionV>
            <wp:extent cx="1440815" cy="3689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types of securities that we may offer and sell under this prospectus:</w:t>
      </w:r>
    </w:p>
    <w:p>
      <w:pPr>
        <w:spacing w:after="0" w:line="225" w:lineRule="exact"/>
        <w:rPr>
          <w:sz w:val="20"/>
          <w:szCs w:val="20"/>
          <w:color w:val="auto"/>
        </w:rPr>
      </w:pPr>
    </w:p>
    <w:p>
      <w:pPr>
        <w:ind w:left="820" w:hanging="3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Unsecured senior debt securities</w:t>
      </w:r>
    </w:p>
    <w:p>
      <w:pPr>
        <w:spacing w:after="0" w:line="225" w:lineRule="exact"/>
        <w:rPr>
          <w:rFonts w:ascii="Arial" w:cs="Arial" w:eastAsia="Arial" w:hAnsi="Arial"/>
          <w:sz w:val="18"/>
          <w:szCs w:val="18"/>
          <w:color w:val="auto"/>
        </w:rPr>
      </w:pPr>
    </w:p>
    <w:p>
      <w:pPr>
        <w:ind w:left="820" w:hanging="3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Unsecured subordinated debt securities</w:t>
      </w:r>
    </w:p>
    <w:p>
      <w:pPr>
        <w:spacing w:after="0" w:line="15" w:lineRule="exact"/>
        <w:rPr>
          <w:rFonts w:ascii="Arial" w:cs="Arial" w:eastAsia="Arial" w:hAnsi="Arial"/>
          <w:sz w:val="18"/>
          <w:szCs w:val="18"/>
          <w:color w:val="auto"/>
        </w:rPr>
      </w:pPr>
    </w:p>
    <w:p>
      <w:pPr>
        <w:ind w:left="820" w:hanging="3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820" w:hanging="3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Purchase contracts</w:t>
      </w:r>
    </w:p>
    <w:p>
      <w:pPr>
        <w:spacing w:after="0" w:line="9" w:lineRule="exact"/>
        <w:rPr>
          <w:rFonts w:ascii="Arial" w:cs="Arial" w:eastAsia="Arial" w:hAnsi="Arial"/>
          <w:sz w:val="18"/>
          <w:szCs w:val="18"/>
          <w:color w:val="auto"/>
        </w:rPr>
      </w:pPr>
    </w:p>
    <w:p>
      <w:pPr>
        <w:ind w:left="820" w:hanging="3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Units</w:t>
      </w:r>
    </w:p>
    <w:p>
      <w:pPr>
        <w:spacing w:after="0" w:line="9" w:lineRule="exact"/>
        <w:rPr>
          <w:rFonts w:ascii="Arial" w:cs="Arial" w:eastAsia="Arial" w:hAnsi="Arial"/>
          <w:sz w:val="18"/>
          <w:szCs w:val="18"/>
          <w:color w:val="auto"/>
        </w:rPr>
      </w:pPr>
    </w:p>
    <w:p>
      <w:pPr>
        <w:ind w:left="820" w:hanging="3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820" w:hanging="3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820" w:hanging="3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Common Stock</w:t>
      </w:r>
    </w:p>
    <w:p>
      <w:pPr>
        <w:spacing w:after="0" w:line="9" w:lineRule="exact"/>
        <w:rPr>
          <w:rFonts w:ascii="Arial" w:cs="Arial" w:eastAsia="Arial" w:hAnsi="Arial"/>
          <w:sz w:val="18"/>
          <w:szCs w:val="18"/>
          <w:color w:val="auto"/>
        </w:rPr>
      </w:pPr>
    </w:p>
    <w:p>
      <w:pPr>
        <w:ind w:left="820" w:hanging="3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Special Common Stock</w:t>
      </w:r>
    </w:p>
    <w:p>
      <w:pPr>
        <w:spacing w:after="0" w:line="219"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wholly-owned cable subsidiaries named in this prospectus.</w:t>
      </w:r>
    </w:p>
    <w:p>
      <w:pPr>
        <w:spacing w:after="0" w:line="186" w:lineRule="exact"/>
        <w:rPr>
          <w:sz w:val="20"/>
          <w:szCs w:val="20"/>
          <w:color w:val="auto"/>
        </w:rPr>
      </w:pPr>
    </w:p>
    <w:p>
      <w:pPr>
        <w:ind w:right="20" w:firstLine="439"/>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National Market System under the ticker symbols “CMCSA” and “CMCSK”. On March 24, 2003, the reported last sale prices on The Nasdaq National Market System for our Class A Common Stock and our Class A Special Common Stock were $28.61 and $27.50.</w:t>
      </w:r>
    </w:p>
    <w:p>
      <w:pPr>
        <w:spacing w:after="0" w:line="194" w:lineRule="exact"/>
        <w:rPr>
          <w:sz w:val="20"/>
          <w:szCs w:val="20"/>
          <w:color w:val="auto"/>
        </w:rPr>
      </w:pPr>
    </w:p>
    <w:p>
      <w:pPr>
        <w:ind w:firstLine="43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6" w:lineRule="exact"/>
        <w:rPr>
          <w:sz w:val="20"/>
          <w:szCs w:val="20"/>
          <w:color w:val="auto"/>
        </w:rPr>
      </w:pPr>
    </w:p>
    <w:p>
      <w:pPr>
        <w:ind w:left="800" w:hanging="33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Maturity</w:t>
      </w:r>
    </w:p>
    <w:p>
      <w:pPr>
        <w:spacing w:after="0" w:line="36" w:lineRule="exact"/>
        <w:rPr>
          <w:rFonts w:ascii="Arial" w:cs="Arial" w:eastAsia="Arial" w:hAnsi="Arial"/>
          <w:sz w:val="18"/>
          <w:szCs w:val="18"/>
          <w:color w:val="auto"/>
        </w:rPr>
      </w:pPr>
    </w:p>
    <w:p>
      <w:pPr>
        <w:ind w:left="800" w:hanging="33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w:t>
      </w:r>
    </w:p>
    <w:p>
      <w:pPr>
        <w:spacing w:after="0" w:line="36" w:lineRule="exact"/>
        <w:rPr>
          <w:rFonts w:ascii="Arial" w:cs="Arial" w:eastAsia="Arial" w:hAnsi="Arial"/>
          <w:sz w:val="18"/>
          <w:szCs w:val="18"/>
          <w:color w:val="auto"/>
        </w:rPr>
      </w:pPr>
    </w:p>
    <w:p>
      <w:pPr>
        <w:ind w:left="800" w:hanging="33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Sinking fund terms</w:t>
      </w:r>
    </w:p>
    <w:p>
      <w:pPr>
        <w:spacing w:after="0" w:line="36" w:lineRule="exact"/>
        <w:rPr>
          <w:rFonts w:ascii="Arial" w:cs="Arial" w:eastAsia="Arial" w:hAnsi="Arial"/>
          <w:sz w:val="18"/>
          <w:szCs w:val="18"/>
          <w:color w:val="auto"/>
        </w:rPr>
      </w:pPr>
    </w:p>
    <w:p>
      <w:pPr>
        <w:ind w:left="800" w:hanging="33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of payments</w:t>
      </w:r>
    </w:p>
    <w:p>
      <w:pPr>
        <w:spacing w:after="0" w:line="36" w:lineRule="exact"/>
        <w:rPr>
          <w:rFonts w:ascii="Arial" w:cs="Arial" w:eastAsia="Arial" w:hAnsi="Arial"/>
          <w:sz w:val="18"/>
          <w:szCs w:val="18"/>
          <w:color w:val="auto"/>
        </w:rPr>
      </w:pPr>
    </w:p>
    <w:p>
      <w:pPr>
        <w:ind w:left="800" w:hanging="33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Dividends</w:t>
      </w:r>
    </w:p>
    <w:p>
      <w:pPr>
        <w:spacing w:after="0" w:line="36" w:lineRule="exact"/>
        <w:rPr>
          <w:rFonts w:ascii="Arial" w:cs="Arial" w:eastAsia="Arial" w:hAnsi="Arial"/>
          <w:sz w:val="18"/>
          <w:szCs w:val="18"/>
          <w:color w:val="auto"/>
        </w:rPr>
      </w:pPr>
    </w:p>
    <w:p>
      <w:pPr>
        <w:ind w:left="800" w:hanging="33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Redemption terms</w:t>
      </w:r>
    </w:p>
    <w:p>
      <w:pPr>
        <w:spacing w:after="0" w:line="36" w:lineRule="exact"/>
        <w:rPr>
          <w:rFonts w:ascii="Arial" w:cs="Arial" w:eastAsia="Arial" w:hAnsi="Arial"/>
          <w:sz w:val="18"/>
          <w:szCs w:val="18"/>
          <w:color w:val="auto"/>
        </w:rPr>
      </w:pPr>
    </w:p>
    <w:p>
      <w:pPr>
        <w:ind w:left="800" w:hanging="33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Listing on a securities exchange</w:t>
      </w:r>
    </w:p>
    <w:p>
      <w:pPr>
        <w:spacing w:after="0" w:line="36" w:lineRule="exact"/>
        <w:rPr>
          <w:rFonts w:ascii="Arial" w:cs="Arial" w:eastAsia="Arial" w:hAnsi="Arial"/>
          <w:sz w:val="18"/>
          <w:szCs w:val="18"/>
          <w:color w:val="auto"/>
        </w:rPr>
      </w:pPr>
    </w:p>
    <w:p>
      <w:pPr>
        <w:ind w:left="780" w:hanging="313"/>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payable at maturity</w:t>
      </w:r>
    </w:p>
    <w:p>
      <w:pPr>
        <w:spacing w:after="0" w:line="36" w:lineRule="exact"/>
        <w:rPr>
          <w:rFonts w:ascii="Arial" w:cs="Arial" w:eastAsia="Arial" w:hAnsi="Arial"/>
          <w:sz w:val="18"/>
          <w:szCs w:val="18"/>
          <w:color w:val="auto"/>
        </w:rPr>
      </w:pPr>
    </w:p>
    <w:p>
      <w:pPr>
        <w:ind w:left="800" w:hanging="33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Conversion or exchange rights</w:t>
      </w:r>
    </w:p>
    <w:p>
      <w:pPr>
        <w:spacing w:after="0" w:line="36" w:lineRule="exact"/>
        <w:rPr>
          <w:rFonts w:ascii="Arial" w:cs="Arial" w:eastAsia="Arial" w:hAnsi="Arial"/>
          <w:sz w:val="18"/>
          <w:szCs w:val="18"/>
          <w:color w:val="auto"/>
        </w:rPr>
      </w:pPr>
    </w:p>
    <w:p>
      <w:pPr>
        <w:ind w:left="800" w:hanging="33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Liquidation amount</w:t>
      </w:r>
    </w:p>
    <w:p>
      <w:pPr>
        <w:spacing w:after="0" w:line="36" w:lineRule="exact"/>
        <w:rPr>
          <w:rFonts w:ascii="Arial" w:cs="Arial" w:eastAsia="Arial" w:hAnsi="Arial"/>
          <w:sz w:val="18"/>
          <w:szCs w:val="18"/>
          <w:color w:val="auto"/>
        </w:rPr>
      </w:pPr>
    </w:p>
    <w:p>
      <w:pPr>
        <w:ind w:left="800" w:hanging="333"/>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Subsidiary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Investing in the securities involves risks that are described under the caption “Risk Factors” beginning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60" w:firstLine="439"/>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0"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March 26,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4889500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1289685</wp:posOffset>
            </wp:positionH>
            <wp:positionV relativeFrom="page">
              <wp:posOffset>603250</wp:posOffset>
            </wp:positionV>
            <wp:extent cx="4991100" cy="385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1100"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ind w:left="50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Summary</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Risk Factors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Special Note Regarding Forward-Looking Statements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Use of Proceeds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Dividend Policy</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Ratios of Earnings to Fixed Charges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Ratio of Earnings to Combined Fixed Charges and Preferred Dividends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w w:val="96"/>
              </w:rPr>
              <w:t>Unaudited Pro Forma Combined Condensed Statement of Operations of Comcast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ind w:left="100"/>
              <w:spacing w:after="0"/>
              <w:rPr>
                <w:sz w:val="20"/>
                <w:szCs w:val="20"/>
                <w:color w:val="auto"/>
              </w:rPr>
            </w:pPr>
            <w:r>
              <w:rPr>
                <w:rFonts w:ascii="Arial" w:cs="Arial" w:eastAsia="Arial" w:hAnsi="Arial"/>
                <w:sz w:val="18"/>
                <w:szCs w:val="18"/>
                <w:color w:val="auto"/>
              </w:rPr>
              <w:t>Corporation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w w:val="96"/>
              </w:rPr>
              <w:t>Description of the Senior Debt Securities, Subordinated Debt Securities and Cable</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Guarantees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Purchase Contracts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Description of Units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Global Securities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Description of Preferred Stock</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Depositary Shares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Description of Common Stock</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Description of Shareholder Rights Plan</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Plan of Distribution</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Legal Matters</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Experts</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EEEEEE"/>
          </w:tcPr>
          <w:p>
            <w:pPr>
              <w:spacing w:after="0"/>
              <w:rPr>
                <w:sz w:val="20"/>
                <w:szCs w:val="20"/>
                <w:color w:val="auto"/>
              </w:rPr>
            </w:pPr>
            <w:r>
              <w:rPr>
                <w:rFonts w:ascii="Arial" w:cs="Arial" w:eastAsia="Arial" w:hAnsi="Arial"/>
                <w:sz w:val="18"/>
                <w:szCs w:val="18"/>
                <w:color w:val="auto"/>
              </w:rPr>
              <w:t>Available Information</w:t>
            </w:r>
          </w:p>
        </w:tc>
        <w:tc>
          <w:tcPr>
            <w:tcW w:w="48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Incorporation of Certain Documents by Reference</w:t>
            </w:r>
          </w:p>
        </w:tc>
        <w:tc>
          <w:tcPr>
            <w:tcW w:w="48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refer to Comcast Corporation in this prospectus as “Comcast” or “we,” “us,” “our” or comparable terms and to Comcast Holdings Corporation as “Comcast Holdings.” We refer to Comcast Cable Communications, Inc., Comcast Cable Communications Holdings, Inc., Comcast Cable Holdings, LLC, Comcast MO Group, Inc. and Comcast MO of Delaware, Inc. collectively as the “Cable Guarantors.”</w:t>
      </w:r>
    </w:p>
    <w:p>
      <w:pPr>
        <w:spacing w:after="0" w:line="19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935" w:right="839" w:bottom="1440" w:gutter="0" w:footer="0" w:header="0"/>
        </w:sectPr>
      </w:pPr>
    </w:p>
    <w:bookmarkStart w:id="19" w:name="page20"/>
    <w:bookmarkEnd w:id="19"/>
    <w:p>
      <w:pPr>
        <w:ind w:left="3100"/>
        <w:spacing w:after="0"/>
        <w:rPr>
          <w:sz w:val="20"/>
          <w:szCs w:val="20"/>
          <w:color w:val="auto"/>
        </w:rPr>
      </w:pPr>
      <w:r>
        <w:rPr>
          <w:rFonts w:ascii="Arial" w:cs="Arial" w:eastAsia="Arial" w:hAnsi="Arial"/>
          <w:sz w:val="16"/>
          <w:szCs w:val="16"/>
          <w:color w:val="auto"/>
        </w:rPr>
        <w:t>(This page has been left blank intentionally.)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452120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68" w:right="1440"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COMPANIES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were incorporated in 2001 under the name AT&amp;T Comcast Corporation to effect the acquisition of the broadband business of AT&amp;T Corp, which we refer to as “Broadband.” The acquisition, which we refer to as the “Broadband acquisition,” was consummated on November 18, 2002. On November 18, 2002, we changed our name to Comcast Corporation.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involved in three principal lines of business:</w:t>
      </w:r>
    </w:p>
    <w:p>
      <w:pPr>
        <w:spacing w:after="0" w:line="225" w:lineRule="exact"/>
        <w:rPr>
          <w:sz w:val="20"/>
          <w:szCs w:val="20"/>
          <w:color w:val="auto"/>
        </w:rPr>
      </w:pPr>
    </w:p>
    <w:p>
      <w:pPr>
        <w:ind w:left="820" w:hanging="461"/>
        <w:spacing w:after="0" w:line="268"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Cable—through the development, management and operation of broadband communications networks, including video, high-speed Internet and phone service,</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Commerce—through QVC, our electronic retailing subsidiary, and</w:t>
      </w:r>
    </w:p>
    <w:p>
      <w:pPr>
        <w:spacing w:after="0" w:line="279" w:lineRule="exact"/>
        <w:rPr>
          <w:rFonts w:ascii="Arial" w:cs="Arial" w:eastAsia="Arial" w:hAnsi="Arial"/>
          <w:sz w:val="18"/>
          <w:szCs w:val="18"/>
          <w:color w:val="auto"/>
        </w:rPr>
      </w:pPr>
    </w:p>
    <w:p>
      <w:pPr>
        <w:ind w:left="820" w:right="140" w:hanging="461"/>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Content—through our consolidated programming investments, including, Comcast Spectacor, Comcast SportsNet, Comcast SportsNet Mid-Atlantic, Cable Sports Southeast, E! Entertainment Television, Style, The Golf Channel, Outdoor Life Network, G4, and through our other programming investments.</w:t>
      </w:r>
    </w:p>
    <w:p>
      <w:pPr>
        <w:spacing w:after="0" w:line="22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As a result of the Broadband acquisition, we are the largest cable operator in the United States. We have deployed digital cable and high-speed Internet service to the substantial majority of our cable systems. As of December 31, 2002, our consolidated cable operations served 21.3 million subscribers in 41 states, passed 39.1 million homes, and provided digital cable to more than 6.6 million subscribers, high-speed Internet to more than 3.6 million subscribers and phone service to more than 1.4 million subscribers. The Broadband acquisition contributed approximately 60% of these subscribers, 64% of these homes passed, 66% of the digital cable subscribers, 58% of the high-speed Internet subscribers and 97% of the phone subscribers. We expect to make substantial capital expenditures over the next two years to complete the upgrade and rebuild of the newly acquired cable systems.</w:t>
      </w:r>
    </w:p>
    <w:p>
      <w:pPr>
        <w:spacing w:after="0" w:line="201" w:lineRule="exact"/>
        <w:rPr>
          <w:sz w:val="20"/>
          <w:szCs w:val="20"/>
          <w:color w:val="auto"/>
        </w:rPr>
      </w:pPr>
    </w:p>
    <w:p>
      <w:pPr>
        <w:jc w:val="both"/>
        <w:ind w:right="420" w:firstLine="324"/>
        <w:spacing w:after="0" w:line="259" w:lineRule="auto"/>
        <w:rPr>
          <w:sz w:val="20"/>
          <w:szCs w:val="20"/>
          <w:color w:val="auto"/>
        </w:rPr>
      </w:pPr>
      <w:r>
        <w:rPr>
          <w:rFonts w:ascii="Arial" w:cs="Arial" w:eastAsia="Arial" w:hAnsi="Arial"/>
          <w:sz w:val="18"/>
          <w:szCs w:val="18"/>
          <w:color w:val="auto"/>
        </w:rPr>
        <w:t>Through QVC, we market a wide variety of products directly to consumers primarily on merchandise-focused television programs. As of December 31, 2002, QVC was available, on a full and part-time basis, to 85.9 million homes in the United States, 11.4 million homes in the United Kingdom, 25.8 million homes in Germany and 8.4 million homes in Japan.</w:t>
      </w:r>
    </w:p>
    <w:p>
      <w:pPr>
        <w:spacing w:after="0" w:line="22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w:t>
      </w:r>
    </w:p>
    <w:p>
      <w:pPr>
        <w:spacing w:after="0" w:line="221" w:lineRule="exact"/>
        <w:rPr>
          <w:sz w:val="20"/>
          <w:szCs w:val="20"/>
          <w:color w:val="auto"/>
        </w:rPr>
      </w:pPr>
    </w:p>
    <w:p>
      <w:pPr>
        <w:jc w:val="both"/>
        <w:ind w:right="120" w:firstLine="324"/>
        <w:spacing w:after="0" w:line="370" w:lineRule="auto"/>
        <w:rPr>
          <w:sz w:val="20"/>
          <w:szCs w:val="20"/>
          <w:color w:val="auto"/>
        </w:rPr>
      </w:pPr>
      <w:r>
        <w:rPr>
          <w:rFonts w:ascii="Arial" w:cs="Arial" w:eastAsia="Arial" w:hAnsi="Arial"/>
          <w:sz w:val="15"/>
          <w:szCs w:val="15"/>
          <w:color w:val="auto"/>
        </w:rPr>
        <w:t xml:space="preserve">We are a Pennsylvania corporation incorporated in 2001. Our principal executive office is located at 1500 Market Street, Philadelphia, Pennsylvania 19102-2148. Our telephone number is (215) 665-1700. The address of our web site is </w:t>
      </w:r>
      <w:r>
        <w:rPr>
          <w:rFonts w:ascii="Arial" w:cs="Arial" w:eastAsia="Arial" w:hAnsi="Arial"/>
          <w:sz w:val="15"/>
          <w:szCs w:val="15"/>
          <w:i w:val="1"/>
          <w:iCs w:val="1"/>
          <w:color w:val="auto"/>
        </w:rPr>
        <w:t>www.comcast.com</w:t>
      </w:r>
      <w:r>
        <w:rPr>
          <w:rFonts w:ascii="Arial" w:cs="Arial" w:eastAsia="Arial" w:hAnsi="Arial"/>
          <w:sz w:val="15"/>
          <w:szCs w:val="15"/>
          <w:color w:val="auto"/>
        </w:rPr>
        <w:t>. The information on our web site is not part of this prospectus.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258"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If indicated in the relevant prospectus supplement, our obligations under the other securities we are offering and selling may be fully and unconditionally guaranteed by specified cable guarantors.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225" w:lineRule="exact"/>
        <w:rPr>
          <w:sz w:val="20"/>
          <w:szCs w:val="20"/>
          <w:color w:val="auto"/>
        </w:rPr>
      </w:pPr>
    </w:p>
    <w:p>
      <w:pPr>
        <w:ind w:left="820" w:right="140" w:hanging="461"/>
        <w:spacing w:after="0" w:line="26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00" w:lineRule="exact"/>
        <w:rPr>
          <w:sz w:val="20"/>
          <w:szCs w:val="20"/>
          <w:color w:val="auto"/>
        </w:rPr>
      </w:pPr>
    </w:p>
    <w:p>
      <w:pPr>
        <w:spacing w:after="0" w:line="31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Cable Communications, Inc.</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Comcast Cable is a Delaware corporation incorporated in 1981 and our indirect wholly-owned subsidiary. As of December 31, 2002, Comcast Cable served approximately 8.5 million subscribers.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252"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Comcast Cable Communications Holdings is a Delaware corporation incorporated in 2001 and our wholly-owned subsidiary. As of December 31, 2002, Comcast Cable Communications Holdings served approximately 12.8 million subscribers.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Comcast Cable Holdings is a Delaware limited liability company formed in 1994. Comcast Cable Holdings is a wholly-owned subsidiary of Comcast Cable Communications Holdings.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Comcast MO Group is a Delaware corporation incorporated in 1999. Comcast MO Group is a wholly-owned subsidiary of Comcast Cable Communications Holdings.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Comcast MO of Delaware, Inc.</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Comcast MO of Delaware is a Delaware Corporation incorporated in 1996. Comcast MO of Delaware is an indirect wholly-owned subsidiary of Comcast MO Group.</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cable guarantor’s principal place of business is 1500 Market Street, Philadelphia, Pennsylvania 19102-2148.</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68"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Broadband Acquisition</w:t>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fail to realize the anticipated benefits of the Broadband acquisition.</w:t>
      </w:r>
    </w:p>
    <w:p>
      <w:pPr>
        <w:spacing w:after="0" w:line="252"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The Broadband acquisition combined two companies that have previously operated separately. We expect to realize cost savings and other financial and operating benefits as a result of the Broadband acquisition. However, we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Cable and Comcast Cable Communications Holdings will also require substantial attention from management. The diversion of management attention and any difficulties associated with integrating Comcast Cable and Comcast Cable Communications Holdings could have a material adverse effect on our operating results.</w:t>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have to abide by restrictions to preserve the tax treatment of the Broadband acquisition.</w:t>
      </w:r>
    </w:p>
    <w:p>
      <w:pPr>
        <w:spacing w:after="0" w:line="252" w:lineRule="exact"/>
        <w:rPr>
          <w:sz w:val="20"/>
          <w:szCs w:val="20"/>
          <w:color w:val="auto"/>
        </w:rPr>
      </w:pPr>
    </w:p>
    <w:p>
      <w:pPr>
        <w:ind w:right="120" w:firstLine="324"/>
        <w:spacing w:after="0" w:line="306" w:lineRule="auto"/>
        <w:rPr>
          <w:sz w:val="20"/>
          <w:szCs w:val="20"/>
          <w:color w:val="auto"/>
        </w:rPr>
      </w:pPr>
      <w:r>
        <w:rPr>
          <w:rFonts w:ascii="Arial" w:cs="Arial" w:eastAsia="Arial" w:hAnsi="Arial"/>
          <w:sz w:val="16"/>
          <w:szCs w:val="16"/>
          <w:color w:val="auto"/>
        </w:rPr>
        <w:t>In order to preserve the treatment of the Broadband acquisition as tax-free, our ability to redeem stock or issue equity securities will be limited through December 2004. As of December 31, 2002, we had the ability to issue at least 250 million shares of our common stock without affecting the tax treatment of the Broadband acquisition. These restrictions may limit our ability to issue equity securities to satisfy our financing needs or to acquire businesses or assets.</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and our subsidiaries have significant debt and debt-like obligations and may not maintain investment-grade credit ratings.</w:t>
      </w:r>
    </w:p>
    <w:p>
      <w:pPr>
        <w:spacing w:after="0" w:line="252" w:lineRule="exact"/>
        <w:rPr>
          <w:sz w:val="20"/>
          <w:szCs w:val="20"/>
          <w:color w:val="auto"/>
        </w:rPr>
      </w:pPr>
    </w:p>
    <w:p>
      <w:pPr>
        <w:ind w:firstLine="324"/>
        <w:spacing w:after="0" w:line="314" w:lineRule="auto"/>
        <w:rPr>
          <w:sz w:val="20"/>
          <w:szCs w:val="20"/>
          <w:color w:val="auto"/>
        </w:rPr>
      </w:pPr>
      <w:r>
        <w:rPr>
          <w:rFonts w:ascii="Arial" w:cs="Arial" w:eastAsia="Arial" w:hAnsi="Arial"/>
          <w:sz w:val="15"/>
          <w:szCs w:val="15"/>
          <w:color w:val="auto"/>
        </w:rPr>
        <w:t>We and our subsidiaries have a significant amount of debt and debt-like obligations. Our credit rating and the credit ratings of our subsidiaries may in the future be lower than the current or historical credit ratings of Comcast Holdings, Comcast Cable Communications Holdings and their respective subsidiaries. In addition, it is possible that we or any of our subsidiaries that issue debt may not obtain or maintain an investment-grade credit rating. Differences in credit ratings would affect the interest rates charged on financings, as well as the amounts of indebtedness, types of financing structures and debt markets that may be available to us and our subsidiaries. A downgrade in our or any of our subsidiaries’ existing credit ratings or failure by us and our subsidiaries to maintain investment-grade credit ratings could have a material adverse effect on our operating results, our ability to obtain additional financing, and on the value of our common stock.</w:t>
      </w:r>
    </w:p>
    <w:p>
      <w:pPr>
        <w:spacing w:after="0" w:line="200" w:lineRule="exact"/>
        <w:rPr>
          <w:sz w:val="20"/>
          <w:szCs w:val="20"/>
          <w:color w:val="auto"/>
        </w:r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Atypical governance arrangements may make it more difficult for our shareholders to act.</w:t>
      </w:r>
    </w:p>
    <w:p>
      <w:pPr>
        <w:spacing w:after="0" w:line="25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connection with the Broadband acquisition, we implemented a number of governance arrangements that are atypical for a large, publicly held corporation. A number of these arrangements relate to the election of our Board. The term of our Board will not expire until our 2004 annual meeting of shareholders. Since our shareholders will not have the right to call special meetings of shareholders or act by written consent and our directors may be removed only for cause, our shareholders will not be able to replace our initial Board members prior to that meeting. After our 2004 annual meeting of shareholders, our directors will be elected annually. Even then, however, it will be difficult for one of our shareholders, other than BRCC Holdings LLC, to elect a slate of directors of its own choosing to our Board. Brian L. Roberts, our President and Chief Executive Officer, through his control of BRCC Holdings LLC, holds a 33 1/3% nondilutable voting interest in our stock. In addition, we adopted a shareholder rights plan upon completion of the Broadband acquisition that prevents any holder of our stock, other than any holder of our Class B common stock or any of such holder’s affiliates, from acquiring our stock representing more than 10% of the voting power with respect to us without the approval of our Board.</w:t>
      </w:r>
    </w:p>
    <w:p>
      <w:pPr>
        <w:spacing w:after="0" w:line="201" w:lineRule="exact"/>
        <w:rPr>
          <w:sz w:val="20"/>
          <w:szCs w:val="20"/>
          <w:color w:val="auto"/>
        </w:rPr>
      </w:pPr>
    </w:p>
    <w:p>
      <w:pPr>
        <w:ind w:right="760" w:firstLine="324"/>
        <w:spacing w:after="0" w:line="268" w:lineRule="auto"/>
        <w:rPr>
          <w:sz w:val="20"/>
          <w:szCs w:val="20"/>
          <w:color w:val="auto"/>
        </w:rPr>
      </w:pPr>
      <w:r>
        <w:rPr>
          <w:rFonts w:ascii="Arial" w:cs="Arial" w:eastAsia="Arial" w:hAnsi="Arial"/>
          <w:sz w:val="18"/>
          <w:szCs w:val="18"/>
          <w:color w:val="auto"/>
        </w:rPr>
        <w:t>In addition to the governance arrangements relating to our Board, a number of governance arrangements will make it difficult to replace our senior management. Upon completion of the Broadband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3" w:name="page24"/>
    <w:bookmarkEnd w:id="23"/>
    <w:p>
      <w:pPr>
        <w:ind w:right="80"/>
        <w:spacing w:after="0" w:line="314" w:lineRule="auto"/>
        <w:rPr>
          <w:sz w:val="20"/>
          <w:szCs w:val="20"/>
          <w:color w:val="auto"/>
        </w:rPr>
      </w:pPr>
      <w:r>
        <w:rPr>
          <w:rFonts w:ascii="Arial" w:cs="Arial" w:eastAsia="Arial" w:hAnsi="Arial"/>
          <w:sz w:val="15"/>
          <w:szCs w:val="15"/>
          <w:color w:val="auto"/>
        </w:rPr>
        <w:t>acquisition, C. Michael Armstrong, Chairman of the Board and CEO of AT&amp;T, became our Chairman of the Board and Brian L. Roberts, President of Comcast Holdings, became our President and CEO. After the 2005 annual meeting of our shareholders, Brian L. Roberts will also be our Chairman of the Board. Prior to the sixth anniversary of our 2004 annual meeting of shareholders, unless Brian L. Roberts ceases to be our Chairman of the Board or CEO prior to such time, our Chairman of the Board and CEO will be able to be removed only with the approval of at least 75% of our entire Board. This supermajority removal requirement makes it unlikely that C. Michael Armstrong or Brian L. Roberts will be removed from their management positions. Mr. Armstrong has notified us that as of May 7, 2003, the date of our 2003 annual shareholders meeting, he will exercise his election to become non-executive Chairman of the Board of Directors.</w:t>
      </w:r>
    </w:p>
    <w:p>
      <w:pPr>
        <w:spacing w:after="0" w:line="15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principal shareholder has considerable influence over our operations.</w:t>
      </w:r>
    </w:p>
    <w:p>
      <w:pPr>
        <w:spacing w:after="0" w:line="252"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Brian L. Roberts has significant control over our operations through his control of BRCC Holdings LLC, which as a result of its ownership of outstanding shares of our Class B common stock holds a nondilutable 33 1/3% of the combined voting power of our stock and also has separate approval rights over certain material transactions involving us. In addition, Brian L. Roberts is our President and CEO and will, together with our Chairman of the Board, comprise the Office of the Chairman, our principal executive deliberative body.</w:t>
      </w:r>
    </w:p>
    <w:p>
      <w:pPr>
        <w:spacing w:after="0" w:line="197" w:lineRule="exact"/>
        <w:rPr>
          <w:sz w:val="20"/>
          <w:szCs w:val="20"/>
          <w:color w:val="auto"/>
        </w:rPr>
      </w:pPr>
    </w:p>
    <w:p>
      <w:pPr>
        <w:ind w:right="160" w:firstLine="220"/>
        <w:spacing w:after="0" w:line="268" w:lineRule="auto"/>
        <w:rPr>
          <w:sz w:val="20"/>
          <w:szCs w:val="20"/>
          <w:color w:val="auto"/>
        </w:rPr>
      </w:pPr>
      <w:r>
        <w:rPr>
          <w:rFonts w:ascii="Arial" w:cs="Arial" w:eastAsia="Arial" w:hAnsi="Arial"/>
          <w:sz w:val="18"/>
          <w:szCs w:val="18"/>
          <w:b w:val="1"/>
          <w:bCs w:val="1"/>
          <w:i w:val="1"/>
          <w:iCs w:val="1"/>
          <w:color w:val="auto"/>
        </w:rPr>
        <w:t>The performance of Broadband prior to the Broadband acquisition may not be representative of the results of Comcast Cable Communications Holdings without the other AT&amp;T businesses and therefore is not a reliable indicator of its future results.</w:t>
      </w:r>
    </w:p>
    <w:p>
      <w:pPr>
        <w:spacing w:after="0" w:line="21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Broadband was a fully integrated business unit of AT&amp;T, and as a result the financial information of Broadband incorporated by reference in this prospectus was derived from the consolidated financial statements and accounting records of AT&amp;T and reflects certain assumptions and allocations. The financial position, results of operations and cash flows of Comcast Cable Communications Holdings without the other AT&amp;T businesses could differ from those that would have resulted had its business operated with the other AT&amp;T businesses.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5"/>
          <w:szCs w:val="15"/>
          <w:b w:val="1"/>
          <w:bCs w:val="1"/>
          <w:i w:val="1"/>
          <w:iCs w:val="1"/>
          <w:color w:val="auto"/>
        </w:rPr>
        <w:t>Our actual financial position and results of operations may differ significantly and adversely from the pro forma amounts included in this prospectus.</w:t>
      </w:r>
    </w:p>
    <w:p>
      <w:pPr>
        <w:spacing w:after="0" w:line="287" w:lineRule="exact"/>
        <w:rPr>
          <w:sz w:val="20"/>
          <w:szCs w:val="20"/>
          <w:color w:val="auto"/>
        </w:rPr>
      </w:pPr>
    </w:p>
    <w:p>
      <w:pPr>
        <w:ind w:right="560" w:firstLine="324"/>
        <w:spacing w:after="0" w:line="332" w:lineRule="auto"/>
        <w:rPr>
          <w:sz w:val="20"/>
          <w:szCs w:val="20"/>
          <w:color w:val="auto"/>
        </w:rPr>
      </w:pPr>
      <w:r>
        <w:rPr>
          <w:rFonts w:ascii="Arial" w:cs="Arial" w:eastAsia="Arial" w:hAnsi="Arial"/>
          <w:sz w:val="16"/>
          <w:szCs w:val="16"/>
          <w:color w:val="auto"/>
        </w:rPr>
        <w:t>Our actual financial position and results of operations may differ, perhaps significantly and adversely, from the pro forma information included in this prospectus due to a variety of factors, including access to additional information and changes in value not currently identified.</w:t>
      </w:r>
    </w:p>
    <w:p>
      <w:pPr>
        <w:spacing w:after="0" w:line="16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in many cases each of Comcast Holdings and Broadband had long-term agreements, in some cases with the same counterparties, for the same services and products, such as programming, billing services and interactive programming guides. It is not clear, in the case of certain services and products, whether each of the existing agreements continues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our actual financial position and results of operations to differ significantly and adversely from those reflected in the pro forma financial information incorporated by reference in this prospectus.</w:t>
      </w:r>
    </w:p>
    <w:p>
      <w:pPr>
        <w:spacing w:after="0" w:line="174" w:lineRule="exact"/>
        <w:rPr>
          <w:sz w:val="20"/>
          <w:szCs w:val="20"/>
          <w:color w:val="auto"/>
        </w:rPr>
      </w:pPr>
    </w:p>
    <w:p>
      <w:pPr>
        <w:ind w:right="180" w:firstLine="220"/>
        <w:spacing w:after="0" w:line="268" w:lineRule="auto"/>
        <w:rPr>
          <w:sz w:val="20"/>
          <w:szCs w:val="20"/>
          <w:color w:val="auto"/>
        </w:rPr>
      </w:pPr>
      <w:r>
        <w:rPr>
          <w:rFonts w:ascii="Arial" w:cs="Arial" w:eastAsia="Arial" w:hAnsi="Arial"/>
          <w:sz w:val="18"/>
          <w:szCs w:val="18"/>
          <w:b w:val="1"/>
          <w:bCs w:val="1"/>
          <w:i w:val="1"/>
          <w:iCs w:val="1"/>
          <w:color w:val="auto"/>
        </w:rPr>
        <w:t>Programming costs are increasing and we may not have the ability to pass these increases on to our subscribers, which would materially adversely affect our cash flow and operating margins.</w:t>
      </w:r>
    </w:p>
    <w:p>
      <w:pPr>
        <w:spacing w:after="0" w:line="213"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Programming costs are expected to be our largest single expense item in the foreseeable future. In recent years, the cable and satellite video industries have experienced a rapid increase in the cost of programming, particularly sports programming. This increase is expected to continue, and we may not be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4" w:name="page25"/>
    <w:bookmarkEnd w:id="24"/>
    <w:p>
      <w:pPr>
        <w:ind w:right="20"/>
        <w:spacing w:after="0" w:line="256" w:lineRule="auto"/>
        <w:rPr>
          <w:sz w:val="20"/>
          <w:szCs w:val="20"/>
          <w:color w:val="auto"/>
        </w:rPr>
      </w:pPr>
      <w:r>
        <w:rPr>
          <w:rFonts w:ascii="Arial" w:cs="Arial" w:eastAsia="Arial" w:hAnsi="Arial"/>
          <w:sz w:val="18"/>
          <w:szCs w:val="18"/>
          <w:color w:val="auto"/>
        </w:rPr>
        <w:t>able to pass programming cost increases on to our subscribers. The inability to pass these programming cost increases on to our subscribers would have a material adverse impact on our operating results. In addition, as we upgrade the channel capacity of our systems and add programming to our basic, expanded basic and digital programming tiers, we may face increased programming costs, which, in conjunction with the additional market constraints on our ability to pass programming costs on to our subscribers, may reduce operating margins.</w:t>
      </w:r>
    </w:p>
    <w:p>
      <w:pPr>
        <w:spacing w:after="0" w:line="224"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We also expect to be subject to increasing financial and other demands by broadcasters to obtain the required consent for the retransmission of broadcast programming to our subscribers. We cannot predict the financial impact of these negotiations or the effect on our subscribers should we be required to stop offering this programming.</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face a wide range of competition in areas served by our cable systems, which could adversely affect our future results of operations.</w:t>
      </w:r>
    </w:p>
    <w:p>
      <w:pPr>
        <w:spacing w:after="0" w:line="27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we will be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have substantial capital requirements which may require us to obtain additional financing that may be difficult to obtain.</w:t>
      </w:r>
    </w:p>
    <w:p>
      <w:pPr>
        <w:spacing w:after="0" w:line="252"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Our future capital expenditures may exceed, perhaps significantly, our net cash provided by operating activities. This may require us to obtain additional financing. We may not be able to obtain or to obtain on favorable terms the capital necessary to fund the substantial capital expenditures described below that are required by our strategy and business plan. A failure to obtain necessary capital or to obtain necessary capital on favorable terms could have a material adverse effect on us and result in the delay, change or abandonment of our development or expansion plans.</w:t>
      </w:r>
    </w:p>
    <w:p>
      <w:pPr>
        <w:spacing w:after="0" w:line="19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anticipate that we will upgrade a significant portion of our broadband systems over the coming years and make other capital investments, including with respect to our advanced services. During 2003, we expect to incur approximately $4.2 billion of capital expenditures in our cable, commerce and content businesses, including approximately $4 billion for our cable operations. We are expected to incur substantial capital expenditures in the years subsequent to 2003. However, the actual amount of the funds required for capital expenditures cannot be determined with precision at this time. Capital is expected to be used to upgrade and rebuild network systems to expand bandwidth capacity and add two-way capability so that our systems may offer advanced services. In addition, capital expenditures are expected to be used to acquire equipment, such as set-top boxes, cable modems and telephone equipment, and to pay for installation costs for additional video and advanced services customers. There can be no assurance that these amounts will be sufficient to accomplish the planned system upgrades, equipment acquisitions and expansion.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5" w:name="page26"/>
    <w:bookmarkEnd w:id="25"/>
    <w:p>
      <w:pPr>
        <w:ind w:right="120" w:firstLine="220"/>
        <w:spacing w:after="0" w:line="268" w:lineRule="auto"/>
        <w:rPr>
          <w:sz w:val="20"/>
          <w:szCs w:val="20"/>
          <w:color w:val="auto"/>
        </w:rPr>
      </w:pPr>
      <w:r>
        <w:rPr>
          <w:rFonts w:ascii="Arial" w:cs="Arial" w:eastAsia="Arial" w:hAnsi="Arial"/>
          <w:sz w:val="18"/>
          <w:szCs w:val="18"/>
          <w:b w:val="1"/>
          <w:bCs w:val="1"/>
          <w:i w:val="1"/>
          <w:iCs w:val="1"/>
          <w:color w:val="auto"/>
        </w:rPr>
        <w:t>Some of our subsidiaries may be subject to long-term exclusive agreements that may limit their future operating flexibility and materially adversely affect our financial results.</w:t>
      </w:r>
    </w:p>
    <w:p>
      <w:pPr>
        <w:spacing w:after="0" w:line="21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Some of the entities that became our subsidiaries following the Broadband acquisition may be subject to long-term agreements relating to significant aspects of their operations, including long-term agreements for video programming, audio programming, electronic program guides, billing and other services. The price, terms and conditions of these agreements may not reflect current market terms and if one or more of these arrangements were to continue to apply to any of our subsidiaries, they may materially adversely impact our financial performance.</w:t>
      </w:r>
    </w:p>
    <w:p>
      <w:pPr>
        <w:spacing w:after="0" w:line="224"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Comcast Cable Holdings, and Broadband’s subsidiary, Satellite Services, Inc., are parties to an affiliation term sheet with Starz Encore Group LLC, an affiliate of Liberty Media, which extends to 2022 and provided for annual fixed price payments, subject to adjustment for various factors including inflation, and purported to require Broadband to pay two-thirds of Starz Encore Group’s programming costs above levels designated in the term sheet. Excess programming costs that may be payable by us in future years are not presently estimable, and could be significant.</w:t>
      </w:r>
    </w:p>
    <w:p>
      <w:pPr>
        <w:spacing w:after="0" w:line="19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By letter dated May 29, 2001, Broadband disputed the enforceability of the excess programming pass-through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Group filed a lawsuit in Colorado state court seeking payment of alleged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 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In connection with the standstill agreement, the court granted a stay on October 30, 2001. The terms of the stay order allowed either party to petition the court to lift the stay after April 30, 2002 and to proceed with the litigation.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208" w:lineRule="exact"/>
        <w:rPr>
          <w:sz w:val="20"/>
          <w:szCs w:val="20"/>
          <w:color w:val="auto"/>
        </w:rPr>
      </w:pPr>
    </w:p>
    <w:p>
      <w:pPr>
        <w:ind w:right="140" w:firstLine="324"/>
        <w:spacing w:after="0" w:line="294" w:lineRule="auto"/>
        <w:rPr>
          <w:sz w:val="20"/>
          <w:szCs w:val="20"/>
          <w:color w:val="auto"/>
        </w:rPr>
      </w:pPr>
      <w:r>
        <w:rPr>
          <w:rFonts w:ascii="Arial" w:cs="Arial" w:eastAsia="Arial" w:hAnsi="Arial"/>
          <w:sz w:val="16"/>
          <w:szCs w:val="16"/>
          <w:color w:val="auto"/>
        </w:rPr>
        <w:t>On November 18, 2002, we filed suit against Starz Encore Group in the United States District Court for the Eastern District of Pennsylvania. We seek a declaratory judgment that, pursuant to our rights under a March 17, 1999 contract with a predecessor of Starz Encore, upon the completion of the Broadband acquisition, that contract now provides the terms under which Starz Encore Group programming is acquired and transmitted by our cable systems. In January 2003, Starz Encore Group filed a motion to dismiss the lawsuit on the grounds that claims asserted by us raised issues of state law that the United States District Court should decline to decide. We have responded contesting these assertions. The motion has been submitted to the Court for decision.</w:t>
      </w:r>
    </w:p>
    <w:p>
      <w:pPr>
        <w:spacing w:after="0" w:line="197" w:lineRule="exact"/>
        <w:rPr>
          <w:sz w:val="20"/>
          <w:szCs w:val="20"/>
          <w:color w:val="auto"/>
        </w:rPr>
      </w:pPr>
    </w:p>
    <w:p>
      <w:pPr>
        <w:ind w:right="60" w:firstLine="324"/>
        <w:spacing w:after="0" w:line="298" w:lineRule="auto"/>
        <w:rPr>
          <w:sz w:val="20"/>
          <w:szCs w:val="20"/>
          <w:color w:val="auto"/>
        </w:rPr>
      </w:pPr>
      <w:r>
        <w:rPr>
          <w:rFonts w:ascii="Arial" w:cs="Arial" w:eastAsia="Arial" w:hAnsi="Arial"/>
          <w:sz w:val="16"/>
          <w:szCs w:val="16"/>
          <w:color w:val="auto"/>
        </w:rPr>
        <w:t>On January 31, 2003, Starz Encore filed an amended complaint that adds us and Comcast Holdings as defendants and adds new claims against us, Comcast Holdings and Broadband asserting alleged breaches of, and interference with, the standstill agreement relating to the lawsuit filed by us and Comcast Holdings in federal District Court in Pennsylvania and to the defendants’ position that, since the completion of the Broadband acquisition, the March 17, 1999 contract provides the terms under which Starz Encore programming is acquired and transmitted by our cable systems.</w:t>
      </w:r>
    </w:p>
    <w:p>
      <w:pPr>
        <w:spacing w:after="0" w:line="194"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On March 3, 2003, Starz Encore filed a motion for leave to file a second amended complaint that would add allegations that Broadband has breached certain joint-marketing obligations under the term sheet and that we and Comcast Holdings have breached certain joint-marketing obligations under the March 17, 1999 contract and other agreements. We, Comcast Holdings and Broadband intend to oppose Starz Encore’s motion for leave to file a second amended complaint and, in light of Starz Encore’s pending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motion for leave to amend, have sought an extension of time from the Court to respond to Starz Encore’s amended complaint.</w:t>
      </w:r>
    </w:p>
    <w:p>
      <w:pPr>
        <w:spacing w:after="0" w:line="252"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color w:val="auto"/>
        </w:rPr>
        <w:t>An entity formerly attributed to Broadband, which is now our subsidiary,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 In the event that either the arbitration or this litigation or the settlement thereof results in the termination of the master agreement, Comcast Cable Communications Holdings may incur significant costs in connection with its replacement of these customer care and billing services and may experience temporary disruptions to its operations.</w:t>
      </w:r>
    </w:p>
    <w:p>
      <w:pPr>
        <w:spacing w:after="0" w:line="197"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breach of the master agreement, a declaration that we are now bound by the master agreement to use CSG as our exclusive provider for certain billing and customer care services, tortious interference with prospective contractual relations, and civil conspiracy. A hearing in the arbitration is scheduled to commence on May 5, 2003.</w:t>
      </w:r>
    </w:p>
    <w:p>
      <w:pPr>
        <w:spacing w:after="0" w:line="197" w:lineRule="exact"/>
        <w:rPr>
          <w:sz w:val="20"/>
          <w:szCs w:val="20"/>
          <w:color w:val="auto"/>
        </w:rPr>
      </w:pPr>
    </w:p>
    <w:p>
      <w:pPr>
        <w:ind w:right="120" w:firstLine="324"/>
        <w:spacing w:after="0" w:line="314" w:lineRule="auto"/>
        <w:rPr>
          <w:sz w:val="20"/>
          <w:szCs w:val="20"/>
          <w:color w:val="auto"/>
        </w:rPr>
      </w:pPr>
      <w:r>
        <w:rPr>
          <w:rFonts w:ascii="Arial" w:cs="Arial" w:eastAsia="Arial" w:hAnsi="Arial"/>
          <w:sz w:val="15"/>
          <w:szCs w:val="15"/>
          <w:color w:val="auto"/>
        </w:rPr>
        <w:t>On June 21, 2002, CSG filed a lawsuit against Comcast Holdings in federal court in Denver, Colorado asserting claims related to the master agreement and the pending arbitration. On November 4, 2002, CSG withdrew its complaint against Comcast Holdings without prejudice. On November 15, 2002, we initiated a lawsuit against CSG in federal court in Philadelphia, Pennsylvania asserting that cable systems owned by Comcast Holdings are not required to use CSG as a billing service or customer care provider pursuant to the master agreement, and that the former Broadband cable systems we now own may be added to a billing service agreement between us and CSG. CSG moved to dismiss or stay the lawsuit on the ground that the issues raised by the complaint could be wholly or substantially determined by the above-mentioned arbitration. By an order dated February 10, 2003, the Court stayed the lawsuit until further notice.</w:t>
      </w:r>
    </w:p>
    <w:p>
      <w:pPr>
        <w:spacing w:after="0" w:line="18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January 8, 2003, Liberty Digital, Inc. filed a complaint in Colorado state court against us and Comcast Cable Holdings, LLC (formerly AT&amp;T Broadband LLC and Tele-Communications, Inc.), our wholly-owned subsidiary. The complaint alleges that Comcast Cable Holdings breached a 1997 “contribution agreement” between Liberty Digital and Comcast Cable Holdings and that we tortiously interfered with that agreement. The complaint alleges that this purported agreement obligates Comcast Cable Holdings to pay fees to Liberty Digital totaling $18 million (increasing at CPI) per year through 2017. We and Comcast Cable Holdings filed our answer to the complaint on March 5, 2003, in which we denied the essential allegations of the complaint and asserted various affirmative defenses.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are subject to regulation by federal, state and local governments which may impose costs and restrictions.</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Federal, state and local governments extensively regulate the cable industry. We expect that legislative enactments, courts actions and regulatory proceedings will continue to clarify and in some cases change the rights and obligations of cable companies and other entities under the Communications Act of 1934, as amended, and other laws, possibly in ways that we have not foreseen. The results of these legislative, judicial and administrative actions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us in the future.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7" w:name="page28"/>
    <w:bookmarkEnd w:id="27"/>
    <w:p>
      <w:pPr>
        <w:ind w:right="40" w:firstLine="216"/>
        <w:spacing w:after="0" w:line="268" w:lineRule="auto"/>
        <w:rPr>
          <w:sz w:val="20"/>
          <w:szCs w:val="20"/>
          <w:color w:val="auto"/>
        </w:rPr>
      </w:pPr>
      <w:r>
        <w:rPr>
          <w:rFonts w:ascii="Arial" w:cs="Arial" w:eastAsia="Arial" w:hAnsi="Arial"/>
          <w:sz w:val="18"/>
          <w:szCs w:val="18"/>
          <w:b w:val="1"/>
          <w:bCs w:val="1"/>
          <w:i w:val="1"/>
          <w:iCs w:val="1"/>
          <w:color w:val="auto"/>
        </w:rPr>
        <w:t>We are subject to additional regulatory burdens in connection with the provision of telecommunications services, which could cause us to incur additional costs.</w:t>
      </w:r>
    </w:p>
    <w:p>
      <w:pPr>
        <w:spacing w:after="0" w:line="21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are subject to risks associated with the regulation of our telecommunications services by the Federal Communications Commission, or FCC, and state public utilities commissions, or PUCs. Telecommunications companies generally are subject to significant regulation. This regulation could materially adversely affect our business operations.</w:t>
      </w:r>
    </w:p>
    <w:p>
      <w:pPr>
        <w:spacing w:after="0" w:line="194" w:lineRule="exact"/>
        <w:rPr>
          <w:sz w:val="20"/>
          <w:szCs w:val="20"/>
          <w:color w:val="auto"/>
        </w:rPr>
      </w:pPr>
    </w:p>
    <w:p>
      <w:pPr>
        <w:ind w:firstLine="216"/>
        <w:spacing w:after="0" w:line="268" w:lineRule="auto"/>
        <w:rPr>
          <w:sz w:val="20"/>
          <w:szCs w:val="20"/>
          <w:color w:val="auto"/>
        </w:rPr>
      </w:pPr>
      <w:r>
        <w:rPr>
          <w:rFonts w:ascii="Arial" w:cs="Arial" w:eastAsia="Arial" w:hAnsi="Arial"/>
          <w:sz w:val="18"/>
          <w:szCs w:val="18"/>
          <w:b w:val="1"/>
          <w:bCs w:val="1"/>
          <w:i w:val="1"/>
          <w:iCs w:val="1"/>
          <w:color w:val="auto"/>
        </w:rPr>
        <w:t>We may face increased competition because of technological advances and new regulatory requirements, which could adversely affect our future results of operations.</w:t>
      </w:r>
    </w:p>
    <w:p>
      <w:pPr>
        <w:spacing w:after="0" w:line="21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Numerous companies, including telephone companies, have introduced Digital Subscriber Line technology, known as DSL,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The success of these ongoing and future developments could have a negative impact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225"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Ever since high-speed cable Internet service was introduced, some local governments and various competitors sought to impose regulatory requirements on how we deal with third-party Internet service providers, or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Nonetheless, the FCC’s decision remains subject to judicial review, and a decision by a federal appellate court is expected later this year.</w:t>
      </w:r>
    </w:p>
    <w:p>
      <w:pPr>
        <w:spacing w:after="0" w:line="197" w:lineRule="exact"/>
        <w:rPr>
          <w:sz w:val="20"/>
          <w:szCs w:val="20"/>
          <w:color w:val="auto"/>
        </w:rPr>
      </w:pPr>
    </w:p>
    <w:p>
      <w:pPr>
        <w:ind w:firstLine="324"/>
        <w:spacing w:after="0" w:line="318" w:lineRule="auto"/>
        <w:rPr>
          <w:sz w:val="20"/>
          <w:szCs w:val="20"/>
          <w:color w:val="auto"/>
        </w:rPr>
      </w:pPr>
      <w:r>
        <w:rPr>
          <w:rFonts w:ascii="Arial" w:cs="Arial" w:eastAsia="Arial" w:hAnsi="Arial"/>
          <w:sz w:val="15"/>
          <w:szCs w:val="15"/>
          <w:color w:val="auto"/>
        </w:rPr>
        <w:t>In addition, the FCC itself is still considering whether it should impose any regulatory requirements and also whether local franchising authorities should be permitted to impose fees or other requirements, such as service quality or customer service standards. A few franchising authorities have sued us seeking payment of franchise fees on high-speed Internet service revenues. Further, a number of software and content providers and electronic retailers are now urging the FCC to adopt certain “nondiscrimination principles” that purport to be intended to allow Internet customers access to the Internet content of their choosing (something we already provide). We cannot now predict whether these or similar regulations will be adopted and, if so, what effects, if any, they would have on our business.</w:t>
      </w:r>
    </w:p>
    <w:p>
      <w:pPr>
        <w:spacing w:after="0" w:line="18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A number of cable operators have reached agreements to provide unaffiliated ISPs access to their cable systems in the absence of regulatory requirements. We reached “access” agreements with several national and regional third-party ISPs. In addition, in connection with the restructuring of TWE, we will enter into a three-year non-exclusive access agreement with AOL Time Warner. We also have agreed to offer Microsoft an access agreement on terms no less favorable than those provided to other ISPs with respect to specified cable systems. We cannot provide any assurance, however, that regulatory authorities will not impose “open access” or similar requirements on us as part of an industry-wide requirement. These requirements could adversely affect our results of operations.</w:t>
      </w:r>
    </w:p>
    <w:p>
      <w:pPr>
        <w:spacing w:after="0" w:line="170" w:lineRule="exact"/>
        <w:rPr>
          <w:sz w:val="20"/>
          <w:szCs w:val="20"/>
          <w:color w:val="auto"/>
        </w:rPr>
      </w:pPr>
    </w:p>
    <w:p>
      <w:pPr>
        <w:ind w:right="460" w:firstLine="216"/>
        <w:spacing w:after="0" w:line="268" w:lineRule="auto"/>
        <w:rPr>
          <w:sz w:val="20"/>
          <w:szCs w:val="20"/>
          <w:color w:val="auto"/>
        </w:rPr>
      </w:pPr>
      <w:r>
        <w:rPr>
          <w:rFonts w:ascii="Arial" w:cs="Arial" w:eastAsia="Arial" w:hAnsi="Arial"/>
          <w:sz w:val="18"/>
          <w:szCs w:val="18"/>
          <w:b w:val="1"/>
          <w:bCs w:val="1"/>
          <w:i w:val="1"/>
          <w:iCs w:val="1"/>
          <w:color w:val="auto"/>
        </w:rPr>
        <w:t>We, through Comcast Cable Communications Holdings, have substantial economic interests in joint ventures in which we have limited management rights.</w:t>
      </w:r>
    </w:p>
    <w:p>
      <w:pPr>
        <w:spacing w:after="0" w:line="213" w:lineRule="exact"/>
        <w:rPr>
          <w:sz w:val="20"/>
          <w:szCs w:val="20"/>
          <w:color w:val="auto"/>
        </w:rPr>
      </w:pPr>
    </w:p>
    <w:p>
      <w:pPr>
        <w:ind w:right="40" w:firstLine="324"/>
        <w:spacing w:after="0" w:line="298" w:lineRule="auto"/>
        <w:rPr>
          <w:sz w:val="20"/>
          <w:szCs w:val="20"/>
          <w:color w:val="auto"/>
        </w:rPr>
      </w:pPr>
      <w:r>
        <w:rPr>
          <w:rFonts w:ascii="Arial" w:cs="Arial" w:eastAsia="Arial" w:hAnsi="Arial"/>
          <w:sz w:val="16"/>
          <w:szCs w:val="16"/>
          <w:color w:val="auto"/>
        </w:rPr>
        <w:t>Comcast Cable Communications Holdings is a partner in several large joint ventures, such as TWE, Texas Cable Partners and Kansas City Cable Partners, in which it has a substantial economic interest but does not have substantial control with regard to management policies or the selection of management. These joint ventures may be managed in a manner contrary to our best interests, and the value of our investment in these joint ventures, through Comcast Cable Communications Holdings, may be affected by management policies that are determined without our input or over our objections. Comcast Cable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28" w:name="page29"/>
    <w:bookmarkEnd w:id="28"/>
    <w:p>
      <w:pPr>
        <w:ind w:right="260"/>
        <w:spacing w:after="0" w:line="332" w:lineRule="auto"/>
        <w:rPr>
          <w:sz w:val="20"/>
          <w:szCs w:val="20"/>
          <w:color w:val="auto"/>
        </w:rPr>
      </w:pPr>
      <w:r>
        <w:rPr>
          <w:rFonts w:ascii="Arial" w:cs="Arial" w:eastAsia="Arial" w:hAnsi="Arial"/>
          <w:sz w:val="16"/>
          <w:szCs w:val="16"/>
          <w:color w:val="auto"/>
        </w:rPr>
        <w:t>Communications Holdings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139" w:lineRule="exact"/>
        <w:rPr>
          <w:sz w:val="20"/>
          <w:szCs w:val="20"/>
          <w:color w:val="auto"/>
        </w:rPr>
      </w:pPr>
    </w:p>
    <w:p>
      <w:pPr>
        <w:ind w:right="500" w:firstLine="216"/>
        <w:spacing w:after="0" w:line="268" w:lineRule="auto"/>
        <w:rPr>
          <w:sz w:val="20"/>
          <w:szCs w:val="20"/>
          <w:color w:val="auto"/>
        </w:rPr>
      </w:pPr>
      <w:r>
        <w:rPr>
          <w:rFonts w:ascii="Arial" w:cs="Arial" w:eastAsia="Arial" w:hAnsi="Arial"/>
          <w:sz w:val="18"/>
          <w:szCs w:val="18"/>
          <w:b w:val="1"/>
          <w:bCs w:val="1"/>
          <w:i w:val="1"/>
          <w:iCs w:val="1"/>
          <w:color w:val="auto"/>
        </w:rPr>
        <w:t>We, through Comcast Holdings and Comcast Cable Communications Holdings, face risks arising from their and AT&amp;T’s relationship with At Home Corporation.</w:t>
      </w:r>
    </w:p>
    <w:p>
      <w:pPr>
        <w:spacing w:after="0" w:line="213"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Litigation has been filed against us as a result of our alleged conduct with respect to our investment in and distribution relationship with At Home Corporation. At Home was a provider of high-speed Internet access and content services which filed for bankruptcy protection in September 2001. Filed actions are:</w:t>
      </w:r>
    </w:p>
    <w:p>
      <w:pPr>
        <w:spacing w:after="0" w:line="194" w:lineRule="exact"/>
        <w:rPr>
          <w:sz w:val="20"/>
          <w:szCs w:val="20"/>
          <w:color w:val="auto"/>
        </w:rPr>
      </w:pPr>
    </w:p>
    <w:p>
      <w:pPr>
        <w:ind w:left="460" w:right="20" w:hanging="101"/>
        <w:spacing w:after="0" w:line="298"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us and the other defendants in connection with transactions agreed to in March 2000 among At Home, us, AT&amp;T and Cox Communications, Inc., an investor in At Home and a former distributor of the At Home service;</w:t>
      </w:r>
    </w:p>
    <w:p>
      <w:pPr>
        <w:spacing w:after="0" w:line="193" w:lineRule="exact"/>
        <w:rPr>
          <w:rFonts w:ascii="Arial" w:cs="Arial" w:eastAsia="Arial" w:hAnsi="Arial"/>
          <w:sz w:val="16"/>
          <w:szCs w:val="16"/>
          <w:color w:val="auto"/>
        </w:rPr>
      </w:pPr>
    </w:p>
    <w:p>
      <w:pPr>
        <w:ind w:left="460" w:right="200" w:hanging="101"/>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class action lawsuits against Comcast Cable Communications, Inc., AT&amp;T and others in the United States District Court for the Southern District of New York, alleging securities law violations and common law fraud in connection with disclosures made by At Home in 2001; and</w:t>
      </w:r>
    </w:p>
    <w:p>
      <w:pPr>
        <w:spacing w:after="0" w:line="166" w:lineRule="exact"/>
        <w:rPr>
          <w:rFonts w:ascii="Arial" w:cs="Arial" w:eastAsia="Arial" w:hAnsi="Arial"/>
          <w:sz w:val="16"/>
          <w:szCs w:val="16"/>
          <w:color w:val="auto"/>
        </w:rPr>
      </w:pPr>
    </w:p>
    <w:p>
      <w:pPr>
        <w:ind w:left="460" w:hanging="101"/>
        <w:spacing w:after="0" w:line="25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w:t>
      </w:r>
    </w:p>
    <w:p>
      <w:pPr>
        <w:spacing w:after="0" w:line="224"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224" w:lineRule="exact"/>
        <w:rPr>
          <w:sz w:val="20"/>
          <w:szCs w:val="20"/>
          <w:color w:val="auto"/>
        </w:rPr>
      </w:pPr>
    </w:p>
    <w:p>
      <w:pPr>
        <w:ind w:right="280" w:firstLine="324"/>
        <w:spacing w:after="0" w:line="306" w:lineRule="auto"/>
        <w:rPr>
          <w:sz w:val="20"/>
          <w:szCs w:val="20"/>
          <w:color w:val="auto"/>
        </w:rPr>
      </w:pPr>
      <w:r>
        <w:rPr>
          <w:rFonts w:ascii="Arial" w:cs="Arial" w:eastAsia="Arial" w:hAnsi="Arial"/>
          <w:sz w:val="16"/>
          <w:szCs w:val="16"/>
          <w:color w:val="auto"/>
        </w:rPr>
        <w:t>Under the terms of the Broadband acquisition, we are contractually liable for 50% of any liabilities of AT&amp;T relating to At Home, including any resulting from any pending or threatened litigation. AT&amp;T will be liable for the other 50% of these liabilities. In addition to the action against AT&amp;T described above, where we are also a defendant, there are two additional actions brought by At Home’s bondholders’ liquidating trust against AT&amp;T, not naming us:</w:t>
      </w:r>
    </w:p>
    <w:p>
      <w:pPr>
        <w:spacing w:after="0" w:line="161" w:lineRule="exact"/>
        <w:rPr>
          <w:sz w:val="20"/>
          <w:szCs w:val="20"/>
          <w:color w:val="auto"/>
        </w:rPr>
      </w:pPr>
    </w:p>
    <w:p>
      <w:pPr>
        <w:ind w:left="460" w:right="180" w:hanging="101"/>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w:t>
      </w:r>
    </w:p>
    <w:p>
      <w:pPr>
        <w:spacing w:after="0" w:line="221" w:lineRule="exact"/>
        <w:rPr>
          <w:rFonts w:ascii="Arial" w:cs="Arial" w:eastAsia="Arial" w:hAnsi="Arial"/>
          <w:sz w:val="18"/>
          <w:szCs w:val="18"/>
          <w:color w:val="auto"/>
        </w:rPr>
      </w:pPr>
    </w:p>
    <w:p>
      <w:pPr>
        <w:ind w:left="460" w:right="400" w:hanging="101"/>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action filed against AT&amp;T in the District Court for the Northern District of California, alleging that AT&amp;T infringes an At Home patent by using its broadband distribution and high-speed Internet backbone networks and equipment.</w:t>
      </w:r>
    </w:p>
    <w:p>
      <w:pPr>
        <w:spacing w:after="0" w:line="213" w:lineRule="exact"/>
        <w:rPr>
          <w:sz w:val="20"/>
          <w:szCs w:val="20"/>
          <w:color w:val="auto"/>
        </w:rPr>
      </w:pPr>
    </w:p>
    <w:p>
      <w:pPr>
        <w:ind w:right="180" w:firstLine="324"/>
        <w:spacing w:after="0" w:line="332" w:lineRule="auto"/>
        <w:rPr>
          <w:sz w:val="20"/>
          <w:szCs w:val="20"/>
          <w:color w:val="auto"/>
        </w:rPr>
      </w:pPr>
      <w:r>
        <w:rPr>
          <w:rFonts w:ascii="Arial" w:cs="Arial" w:eastAsia="Arial" w:hAnsi="Arial"/>
          <w:sz w:val="16"/>
          <w:szCs w:val="16"/>
          <w:color w:val="auto"/>
        </w:rPr>
        <w:t>AT&amp;T moved to dismiss the Santa Clara action on the grounds that California is an inconvenient forum, but the court denied AT&amp;T’s motion. AT&amp;T also moved to transfer the Northern District of California action to the Southern District of New York as being a more convenient venue. AT&amp;T’s motion is pending.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9" w:name="page30"/>
    <w:bookmarkEnd w:id="29"/>
    <w:p>
      <w:pPr>
        <w:ind w:right="80" w:firstLine="324"/>
        <w:spacing w:after="0" w:line="256" w:lineRule="auto"/>
        <w:rPr>
          <w:sz w:val="20"/>
          <w:szCs w:val="20"/>
          <w:color w:val="auto"/>
        </w:rPr>
      </w:pPr>
      <w:r>
        <w:rPr>
          <w:rFonts w:ascii="Arial" w:cs="Arial" w:eastAsia="Arial" w:hAnsi="Arial"/>
          <w:sz w:val="18"/>
          <w:szCs w:val="18"/>
          <w:color w:val="auto"/>
        </w:rPr>
        <w:t>We deny any wrongdoing in connection with the claims which have been made directly against us, our subsidiaries and Brian L. Roberts, and intend to defend all of these claims vigorously. In management’s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224" w:lineRule="exact"/>
        <w:rPr>
          <w:sz w:val="20"/>
          <w:szCs w:val="20"/>
          <w:color w:val="auto"/>
        </w:rPr>
      </w:pPr>
    </w:p>
    <w:p>
      <w:pPr>
        <w:ind w:right="100" w:firstLine="324"/>
        <w:spacing w:after="0" w:line="370" w:lineRule="auto"/>
        <w:rPr>
          <w:sz w:val="20"/>
          <w:szCs w:val="20"/>
          <w:color w:val="auto"/>
        </w:rPr>
      </w:pPr>
      <w:r>
        <w:rPr>
          <w:rFonts w:ascii="Arial" w:cs="Arial" w:eastAsia="Arial" w:hAnsi="Arial"/>
          <w:sz w:val="15"/>
          <w:szCs w:val="15"/>
          <w:color w:val="auto"/>
        </w:rPr>
        <w:t>Management is continuing to evaluate this litigation and is unable to currently determine what impact, if any, that our 50% share of the At Home potential liabilities would have on our consolidated financial position or results of operations. No assurance can be given that any adverse outcome would not be material.</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Our indentures do not restrict our ability to incur additional indebtedness, which could make our debt securities more risky in the future.</w:t>
      </w:r>
    </w:p>
    <w:p>
      <w:pPr>
        <w:spacing w:after="0" w:line="275"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As of December 31, 2002, our consolidated indebtedness was approximately $34.9 billion, of which $34.2 billion was issued by our subsidiaries and was senior to debt obligations at Comcast Corporation. As of December 31, 2002, our consolidated stockholders’ equity was approximately $38.3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167" w:lineRule="exact"/>
        <w:rPr>
          <w:sz w:val="20"/>
          <w:szCs w:val="20"/>
          <w:color w:val="auto"/>
        </w:rPr>
      </w:pPr>
    </w:p>
    <w:p>
      <w:pPr>
        <w:ind w:left="820" w:right="580" w:hanging="461"/>
        <w:spacing w:after="0" w:line="26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obtain any necessary financing in the future for working capital, capital expenditures, debt service requirements or other purposes;</w:t>
      </w:r>
    </w:p>
    <w:p>
      <w:pPr>
        <w:spacing w:after="0" w:line="212" w:lineRule="exact"/>
        <w:rPr>
          <w:rFonts w:ascii="Arial" w:cs="Arial" w:eastAsia="Arial" w:hAnsi="Arial"/>
          <w:sz w:val="18"/>
          <w:szCs w:val="18"/>
          <w:color w:val="auto"/>
        </w:rPr>
      </w:pPr>
    </w:p>
    <w:p>
      <w:pPr>
        <w:ind w:left="820" w:right="320" w:hanging="461"/>
        <w:spacing w:after="0" w:line="268"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flows from operations to the payment of indebtedness and not for other purposes, such as working capital and capital expenditures;</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businesses;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us more indebted than some of our competitors, which may place us at a competitive disadvantage;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making us more vulnerable to a downturn in our businesses.</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securities we are offering may not develop an active public market, which could depress the resale price of the securities.</w:t>
      </w:r>
    </w:p>
    <w:p>
      <w:pPr>
        <w:spacing w:after="0" w:line="252"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securities we are offering, other than our Class A Common Stock and Class A Special Common Stock, will be new issues of securities for which there is currently no trading market. We cannot predict whether an active trading market for the securities will develop or be sustained. If an active trading market were to develop, the securities could trade at prices that may be lower than the initial offering price of the securities.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30" w:name="page31"/>
    <w:bookmarkEnd w:id="30"/>
    <w:p>
      <w:pPr>
        <w:ind w:left="29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businesses may be affected by, among other things:</w:t>
      </w:r>
    </w:p>
    <w:p>
      <w:pPr>
        <w:spacing w:after="0" w:line="225" w:lineRule="exact"/>
        <w:rPr>
          <w:sz w:val="20"/>
          <w:szCs w:val="20"/>
          <w:color w:val="auto"/>
        </w:rPr>
      </w:pPr>
    </w:p>
    <w:p>
      <w:pPr>
        <w:ind w:left="820" w:hanging="461"/>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changes in technology;</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industry consolidation and mergers;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franchise-related matters;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market conditions that may adversely affect the availability of debt and equity financing for working capital, capital expenditures or other purposes;</w:t>
      </w:r>
    </w:p>
    <w:p>
      <w:pPr>
        <w:spacing w:after="0" w:line="302" w:lineRule="exact"/>
        <w:rPr>
          <w:rFonts w:ascii="Arial" w:cs="Arial" w:eastAsia="Arial" w:hAnsi="Arial"/>
          <w:sz w:val="16"/>
          <w:szCs w:val="16"/>
          <w:color w:val="auto"/>
        </w:rPr>
      </w:pPr>
    </w:p>
    <w:p>
      <w:pPr>
        <w:ind w:left="820" w:hanging="461"/>
        <w:spacing w:after="0"/>
        <w:tabs>
          <w:tab w:leader="none" w:pos="8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demand for the programming content we distribute or the willingness of other video program distributors to carry our content;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52"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58" w:lineRule="exact"/>
        <w:rPr>
          <w:sz w:val="20"/>
          <w:szCs w:val="20"/>
          <w:color w:val="auto"/>
        </w:rPr>
      </w:pPr>
    </w:p>
    <w:p>
      <w:pPr>
        <w:jc w:val="both"/>
        <w:ind w:right="420" w:firstLine="324"/>
        <w:spacing w:after="0" w:line="306"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5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DIVIDEND POLICY</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RATIOS OF EARNINGS TO FIXED CHARGES</w:t>
      </w:r>
    </w:p>
    <w:p>
      <w:pPr>
        <w:spacing w:after="0" w:line="200" w:lineRule="exact"/>
        <w:rPr>
          <w:sz w:val="20"/>
          <w:szCs w:val="20"/>
          <w:color w:val="auto"/>
        </w:rPr>
      </w:pP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5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For the Years Ended December 31,</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95"/>
        </w:trPr>
        <w:tc>
          <w:tcPr>
            <w:tcW w:w="54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263"/>
        </w:trPr>
        <w:tc>
          <w:tcPr>
            <w:tcW w:w="5460" w:type="dxa"/>
            <w:vAlign w:val="bottom"/>
          </w:tcPr>
          <w:p>
            <w:pPr>
              <w:spacing w:after="0"/>
              <w:rPr>
                <w:sz w:val="22"/>
                <w:szCs w:val="22"/>
                <w:color w:val="auto"/>
              </w:rPr>
            </w:pPr>
          </w:p>
        </w:tc>
        <w:tc>
          <w:tcPr>
            <w:tcW w:w="740" w:type="dxa"/>
            <w:vAlign w:val="bottom"/>
          </w:tcPr>
          <w:p>
            <w:pPr>
              <w:jc w:val="right"/>
              <w:ind w:right="162"/>
              <w:spacing w:after="0"/>
              <w:rPr>
                <w:sz w:val="20"/>
                <w:szCs w:val="20"/>
                <w:color w:val="auto"/>
              </w:rPr>
            </w:pPr>
            <w:r>
              <w:rPr>
                <w:rFonts w:ascii="Arial" w:cs="Arial" w:eastAsia="Arial" w:hAnsi="Arial"/>
                <w:sz w:val="14"/>
                <w:szCs w:val="14"/>
                <w:b w:val="1"/>
                <w:bCs w:val="1"/>
                <w:color w:val="auto"/>
              </w:rPr>
              <w:t>2002</w:t>
            </w:r>
          </w:p>
        </w:tc>
        <w:tc>
          <w:tcPr>
            <w:tcW w:w="102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2001</w:t>
            </w:r>
          </w:p>
        </w:tc>
        <w:tc>
          <w:tcPr>
            <w:tcW w:w="102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3"/>
              </w:rPr>
              <w:t>2000</w:t>
            </w:r>
          </w:p>
        </w:tc>
        <w:tc>
          <w:tcPr>
            <w:tcW w:w="10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1999</w:t>
            </w:r>
          </w:p>
        </w:tc>
        <w:tc>
          <w:tcPr>
            <w:tcW w:w="10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1998</w:t>
            </w:r>
          </w:p>
        </w:tc>
      </w:tr>
      <w:tr>
        <w:trPr>
          <w:trHeight w:val="95"/>
        </w:trPr>
        <w:tc>
          <w:tcPr>
            <w:tcW w:w="54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316"/>
        </w:trPr>
        <w:tc>
          <w:tcPr>
            <w:tcW w:w="5460" w:type="dxa"/>
            <w:vAlign w:val="bottom"/>
          </w:tcPr>
          <w:p>
            <w:pPr>
              <w:spacing w:after="0"/>
              <w:rPr>
                <w:sz w:val="20"/>
                <w:szCs w:val="20"/>
                <w:color w:val="auto"/>
              </w:rPr>
            </w:pPr>
            <w:r>
              <w:rPr>
                <w:rFonts w:ascii="Arial" w:cs="Arial" w:eastAsia="Arial" w:hAnsi="Arial"/>
                <w:sz w:val="18"/>
                <w:szCs w:val="18"/>
                <w:color w:val="auto"/>
              </w:rPr>
              <w:t>Comcast(a)</w:t>
            </w:r>
          </w:p>
        </w:tc>
        <w:tc>
          <w:tcPr>
            <w:tcW w:w="740" w:type="dxa"/>
            <w:vAlign w:val="bottom"/>
          </w:tcPr>
          <w:p>
            <w:pPr>
              <w:jc w:val="center"/>
              <w:spacing w:after="0"/>
              <w:rPr>
                <w:sz w:val="20"/>
                <w:szCs w:val="20"/>
                <w:color w:val="auto"/>
              </w:rPr>
            </w:pPr>
            <w:r>
              <w:rPr>
                <w:rFonts w:ascii="Arial" w:cs="Arial" w:eastAsia="Arial" w:hAnsi="Arial"/>
                <w:sz w:val="18"/>
                <w:szCs w:val="18"/>
                <w:color w:val="auto"/>
                <w:w w:val="86"/>
              </w:rPr>
              <w:t>1.20x</w:t>
            </w:r>
          </w:p>
        </w:tc>
        <w:tc>
          <w:tcPr>
            <w:tcW w:w="2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2.20x</w:t>
            </w:r>
          </w:p>
        </w:tc>
        <w:tc>
          <w:tcPr>
            <w:tcW w:w="2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5.93x</w:t>
            </w:r>
          </w:p>
        </w:tc>
        <w:tc>
          <w:tcPr>
            <w:tcW w:w="2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3.30x</w:t>
            </w:r>
          </w:p>
        </w:tc>
        <w:tc>
          <w:tcPr>
            <w:tcW w:w="2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5.37x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2263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60" w:right="80" w:hanging="352"/>
        <w:spacing w:after="0" w:line="294"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became the parent of Comcast Holdings and Comcast Cable Communications Holdings on November 18, 2002 in connection with the consummation of the merger of Comcast Holdings and Comcast Cable Communications Holdings with our subsidiaries. Because Comcast Holdings is our predecessor, our historical ratios are the same as Comcast Holdings’ historical ratios. For purposes of our ratio of earnings to fixed charges, earnings consist of income (loss) from continuing operations before income taxes, cumulative effect of accounting change, minority interest, equity in net (income) losses of affiliates and fixed charges. Fixed charges consist of interest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1" w:name="page32"/>
    <w:bookmarkEnd w:id="31"/>
    <w:p>
      <w:pPr>
        <w:jc w:val="center"/>
        <w:ind w:right="-411"/>
        <w:spacing w:after="0"/>
        <w:rPr>
          <w:sz w:val="20"/>
          <w:szCs w:val="20"/>
          <w:color w:val="auto"/>
        </w:rPr>
      </w:pPr>
      <w:r>
        <w:rPr>
          <w:rFonts w:ascii="Arial" w:cs="Arial" w:eastAsia="Arial" w:hAnsi="Arial"/>
          <w:sz w:val="18"/>
          <w:szCs w:val="18"/>
          <w:b w:val="1"/>
          <w:bCs w:val="1"/>
          <w:color w:val="auto"/>
        </w:rPr>
        <w:t>RATIO OF EARNINGS TO COMBINED FIXED CHARGES</w:t>
      </w:r>
    </w:p>
    <w:p>
      <w:pPr>
        <w:spacing w:after="0" w:line="225" w:lineRule="exact"/>
        <w:rPr>
          <w:sz w:val="20"/>
          <w:szCs w:val="20"/>
          <w:color w:val="auto"/>
        </w:rPr>
      </w:pPr>
    </w:p>
    <w:p>
      <w:pPr>
        <w:jc w:val="center"/>
        <w:ind w:right="-411"/>
        <w:spacing w:after="0"/>
        <w:rPr>
          <w:sz w:val="20"/>
          <w:szCs w:val="20"/>
          <w:color w:val="auto"/>
        </w:rPr>
      </w:pPr>
      <w:r>
        <w:rPr>
          <w:rFonts w:ascii="Arial" w:cs="Arial" w:eastAsia="Arial" w:hAnsi="Arial"/>
          <w:sz w:val="18"/>
          <w:szCs w:val="18"/>
          <w:b w:val="1"/>
          <w:bCs w:val="1"/>
          <w:color w:val="auto"/>
        </w:rPr>
        <w:t>AND PREFERRED DIVIDENDS</w:t>
      </w:r>
    </w:p>
    <w:p>
      <w:pPr>
        <w:spacing w:after="0" w:line="227" w:lineRule="exact"/>
        <w:rPr>
          <w:sz w:val="20"/>
          <w:szCs w:val="20"/>
          <w:color w:val="auto"/>
        </w:rPr>
      </w:pPr>
    </w:p>
    <w:tbl>
      <w:tblPr>
        <w:tblLayout w:type="fixed"/>
        <w:tblInd w:w="572" w:type="dxa"/>
        <w:tblCellMar>
          <w:top w:w="0" w:type="dxa"/>
          <w:left w:w="0" w:type="dxa"/>
          <w:bottom w:w="0" w:type="dxa"/>
          <w:right w:w="0" w:type="dxa"/>
        </w:tblCellMar>
      </w:tblPr>
      <w:tr>
        <w:trPr>
          <w:trHeight w:val="174"/>
        </w:trPr>
        <w:tc>
          <w:tcPr>
            <w:tcW w:w="5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For the Years Ended December 31,</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95"/>
        </w:trPr>
        <w:tc>
          <w:tcPr>
            <w:tcW w:w="54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263"/>
        </w:trPr>
        <w:tc>
          <w:tcPr>
            <w:tcW w:w="5460" w:type="dxa"/>
            <w:vAlign w:val="bottom"/>
          </w:tcPr>
          <w:p>
            <w:pPr>
              <w:spacing w:after="0"/>
              <w:rPr>
                <w:sz w:val="22"/>
                <w:szCs w:val="22"/>
                <w:color w:val="auto"/>
              </w:rPr>
            </w:pPr>
          </w:p>
        </w:tc>
        <w:tc>
          <w:tcPr>
            <w:tcW w:w="740" w:type="dxa"/>
            <w:vAlign w:val="bottom"/>
          </w:tcPr>
          <w:p>
            <w:pPr>
              <w:jc w:val="right"/>
              <w:ind w:right="162"/>
              <w:spacing w:after="0"/>
              <w:rPr>
                <w:sz w:val="20"/>
                <w:szCs w:val="20"/>
                <w:color w:val="auto"/>
              </w:rPr>
            </w:pPr>
            <w:r>
              <w:rPr>
                <w:rFonts w:ascii="Arial" w:cs="Arial" w:eastAsia="Arial" w:hAnsi="Arial"/>
                <w:sz w:val="14"/>
                <w:szCs w:val="14"/>
                <w:b w:val="1"/>
                <w:bCs w:val="1"/>
                <w:color w:val="auto"/>
              </w:rPr>
              <w:t>2002</w:t>
            </w:r>
          </w:p>
        </w:tc>
        <w:tc>
          <w:tcPr>
            <w:tcW w:w="102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2001</w:t>
            </w:r>
          </w:p>
        </w:tc>
        <w:tc>
          <w:tcPr>
            <w:tcW w:w="102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83"/>
              </w:rPr>
              <w:t>2000</w:t>
            </w:r>
          </w:p>
        </w:tc>
        <w:tc>
          <w:tcPr>
            <w:tcW w:w="10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1999</w:t>
            </w:r>
          </w:p>
        </w:tc>
        <w:tc>
          <w:tcPr>
            <w:tcW w:w="10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1998</w:t>
            </w:r>
          </w:p>
        </w:tc>
      </w:tr>
      <w:tr>
        <w:trPr>
          <w:trHeight w:val="95"/>
        </w:trPr>
        <w:tc>
          <w:tcPr>
            <w:tcW w:w="54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316"/>
        </w:trPr>
        <w:tc>
          <w:tcPr>
            <w:tcW w:w="5460" w:type="dxa"/>
            <w:vAlign w:val="bottom"/>
          </w:tcPr>
          <w:p>
            <w:pPr>
              <w:spacing w:after="0"/>
              <w:rPr>
                <w:sz w:val="20"/>
                <w:szCs w:val="20"/>
                <w:color w:val="auto"/>
              </w:rPr>
            </w:pPr>
            <w:r>
              <w:rPr>
                <w:rFonts w:ascii="Arial" w:cs="Arial" w:eastAsia="Arial" w:hAnsi="Arial"/>
                <w:sz w:val="18"/>
                <w:szCs w:val="18"/>
                <w:color w:val="auto"/>
              </w:rPr>
              <w:t>Comcast(b)</w:t>
            </w:r>
          </w:p>
        </w:tc>
        <w:tc>
          <w:tcPr>
            <w:tcW w:w="740" w:type="dxa"/>
            <w:vAlign w:val="bottom"/>
          </w:tcPr>
          <w:p>
            <w:pPr>
              <w:jc w:val="center"/>
              <w:spacing w:after="0"/>
              <w:rPr>
                <w:sz w:val="20"/>
                <w:szCs w:val="20"/>
                <w:color w:val="auto"/>
              </w:rPr>
            </w:pPr>
            <w:r>
              <w:rPr>
                <w:rFonts w:ascii="Arial" w:cs="Arial" w:eastAsia="Arial" w:hAnsi="Arial"/>
                <w:sz w:val="18"/>
                <w:szCs w:val="18"/>
                <w:color w:val="auto"/>
                <w:w w:val="86"/>
              </w:rPr>
              <w:t>1.20x</w:t>
            </w:r>
          </w:p>
        </w:tc>
        <w:tc>
          <w:tcPr>
            <w:tcW w:w="2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2.20x</w:t>
            </w:r>
          </w:p>
        </w:tc>
        <w:tc>
          <w:tcPr>
            <w:tcW w:w="2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0"/>
              </w:rPr>
              <w:t>5.77x</w:t>
            </w:r>
          </w:p>
        </w:tc>
        <w:tc>
          <w:tcPr>
            <w:tcW w:w="26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3.20x</w:t>
            </w:r>
          </w:p>
        </w:tc>
        <w:tc>
          <w:tcPr>
            <w:tcW w:w="26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5.12x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2263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left="352" w:hanging="352"/>
        <w:spacing w:after="0" w:line="335" w:lineRule="auto"/>
        <w:tabs>
          <w:tab w:leader="none" w:pos="352" w:val="left"/>
        </w:tabs>
        <w:numPr>
          <w:ilvl w:val="0"/>
          <w:numId w:val="15"/>
        </w:numPr>
        <w:rPr>
          <w:rFonts w:ascii="Arial" w:cs="Arial" w:eastAsia="Arial" w:hAnsi="Arial"/>
          <w:sz w:val="15"/>
          <w:szCs w:val="15"/>
          <w:color w:val="auto"/>
        </w:rPr>
      </w:pPr>
      <w:r>
        <w:rPr>
          <w:rFonts w:ascii="Arial" w:cs="Arial" w:eastAsia="Arial" w:hAnsi="Arial"/>
          <w:sz w:val="15"/>
          <w:szCs w:val="15"/>
          <w:color w:val="auto"/>
        </w:rPr>
        <w:t>For purposes of calculating our ratios of earnings to combined fixed charges and preferred dividends, earnings consist of income (loss) from continuing operations before income taxes, cumulative effect of accounting change, minority interest, equity in net (income) losses of affiliate and combined fixed charges and preferred dividends. Combined fixed charges and preferred dividends consist of interest expense and preferred dividends.</w:t>
      </w:r>
    </w:p>
    <w:p>
      <w:pPr>
        <w:spacing w:after="0" w:line="142"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92"/>
          </w:cols>
          <w:pgMar w:left="248" w:top="935" w:right="65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b w:val="1"/>
          <w:bCs w:val="1"/>
          <w:color w:val="auto"/>
        </w:rPr>
        <w:t>UNAUDITED PRO FORMA COMBINED CONDENSED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 OF OPERATIONS OF COMCAST CORPORATION</w:t>
      </w:r>
    </w:p>
    <w:p>
      <w:pPr>
        <w:spacing w:after="0" w:line="25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following Unaudited Pro Forma Combined Condensed Statement of Operations of Comcast for the year ended December 31, 2002 gives effect to the Broadband acquisition. The pro forma financial statement accounts for the Broadband acquisition under the purchase method of accounting. The consideration to complete the Broadband acquisition was $50,780 million, consisting of $25,495 million of Comcast common stock and options, $24,860 million of assumed debt and $425 million of transaction costs directly related to the acquisition.</w:t>
      </w:r>
    </w:p>
    <w:p>
      <w:pPr>
        <w:spacing w:after="0" w:line="22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estimated fair value of certain assets and liabilities are based on preliminary valuations and are subject to adjustment as additional information is obtained. Our estimates have and will continue to change as final reports from valuation specialists are obtained and additional information becomes available regarding assets acquired and liabilities assumed. Changes in the amounts assigned to acquisition related assets and liabilities may affect the results of operations in future periods.</w:t>
      </w:r>
    </w:p>
    <w:p>
      <w:pPr>
        <w:spacing w:after="0" w:line="224"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Management believes that the assumptions used provide a reasonable basis on which to present the unaudited pro forma financial data. Both Comcast Holdings and AT&amp;T Broadband Group have completed other acquisitions and dispositions that are not significant, individually or in the aggregate, and, accordingly, have not been included in the accompanying unaudited pro forma financial data. The unaudited pro forma financial data may not be indicative of the results that would have occurred if the Broadband acquisition had been in effect on the dates indicated or which may be obtained in the future.</w:t>
      </w:r>
    </w:p>
    <w:p>
      <w:pPr>
        <w:spacing w:after="0" w:line="19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unaudited pro forma financial data should be read in conjunction with the historical consolidated financial statements and accompanying notes thereto for Comcast, and the historical combined financial statements and accompanying notes thereto for AT&amp;T Broadband Group incorporated by reference in this prospectus.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CONDENSED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Historical</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3"/>
          </w:tcPr>
          <w:p>
            <w:pPr>
              <w:ind w:left="3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320" w:type="dxa"/>
            <w:vAlign w:val="bottom"/>
            <w:gridSpan w:val="3"/>
          </w:tcPr>
          <w:p>
            <w:pPr>
              <w:ind w:left="320"/>
              <w:spacing w:after="0"/>
              <w:rPr>
                <w:sz w:val="20"/>
                <w:szCs w:val="20"/>
                <w:color w:val="auto"/>
              </w:rPr>
            </w:pPr>
            <w:r>
              <w:rPr>
                <w:rFonts w:ascii="Arial" w:cs="Arial" w:eastAsia="Arial" w:hAnsi="Arial"/>
                <w:sz w:val="14"/>
                <w:szCs w:val="14"/>
                <w:b w:val="1"/>
                <w:bCs w:val="1"/>
                <w:color w:val="auto"/>
              </w:rPr>
              <w:t>Comcast(a)</w:t>
            </w:r>
          </w:p>
        </w:tc>
        <w:tc>
          <w:tcPr>
            <w:tcW w:w="280" w:type="dxa"/>
            <w:vAlign w:val="bottom"/>
          </w:tcPr>
          <w:p>
            <w:pPr>
              <w:spacing w:after="0"/>
              <w:rPr>
                <w:sz w:val="15"/>
                <w:szCs w:val="15"/>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Broadband(a)</w:t>
            </w:r>
          </w:p>
        </w:tc>
        <w:tc>
          <w:tcPr>
            <w:tcW w:w="300" w:type="dxa"/>
            <w:vAlign w:val="bottom"/>
          </w:tcPr>
          <w:p>
            <w:pPr>
              <w:spacing w:after="0"/>
              <w:rPr>
                <w:sz w:val="15"/>
                <w:szCs w:val="15"/>
                <w:color w:val="auto"/>
              </w:rPr>
            </w:pPr>
          </w:p>
        </w:tc>
        <w:tc>
          <w:tcPr>
            <w:tcW w:w="17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Adjustments(b)</w:t>
            </w:r>
          </w:p>
        </w:tc>
        <w:tc>
          <w:tcPr>
            <w:tcW w:w="280" w:type="dxa"/>
            <w:vAlign w:val="bottom"/>
          </w:tcPr>
          <w:p>
            <w:pPr>
              <w:spacing w:after="0"/>
              <w:rPr>
                <w:sz w:val="15"/>
                <w:szCs w:val="15"/>
                <w:color w:val="auto"/>
              </w:rPr>
            </w:pPr>
          </w:p>
        </w:tc>
        <w:tc>
          <w:tcPr>
            <w:tcW w:w="14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Comcast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2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8"/>
              </w:rPr>
              <w:t>(Amounts in millions, except per share amounts)</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Service revenues</w:t>
            </w:r>
          </w:p>
        </w:tc>
        <w:tc>
          <w:tcPr>
            <w:tcW w:w="42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8,079</w:t>
            </w:r>
          </w:p>
        </w:tc>
        <w:tc>
          <w:tcPr>
            <w:tcW w:w="4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8,693</w:t>
            </w:r>
          </w:p>
        </w:tc>
        <w:tc>
          <w:tcPr>
            <w:tcW w:w="4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(41)</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16,731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Net sales from electronic retailing</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4,381</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4,381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12,460</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8,693</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21,112</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Operating (excluding depreciation)</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3,511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4,612</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8,096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Cost of goods sold from electronic retailing (excluding</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depreciation)</w:t>
            </w:r>
          </w:p>
        </w:tc>
        <w:tc>
          <w:tcPr>
            <w:tcW w:w="42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2,793</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2,793</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2,465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2,411</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4,866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1,775</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2,414</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(814)</w:t>
            </w: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3,375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Amortization</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257</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954</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Goodwill and franchise impairment charges(c)</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16,525</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16,525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Asset impairment, restructuring and other charges</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10,801</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26,206</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37,110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6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1,659</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(17,513)</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(15,998)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income (expense)</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(884)</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(1,306)</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Investment expense</w:t>
            </w:r>
          </w:p>
        </w:tc>
        <w:tc>
          <w:tcPr>
            <w:tcW w:w="42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(605)</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(1,263)</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60"/>
              <w:spacing w:after="0"/>
              <w:rPr>
                <w:sz w:val="20"/>
                <w:szCs w:val="20"/>
                <w:color w:val="auto"/>
              </w:rPr>
            </w:pPr>
            <w:r>
              <w:rPr>
                <w:rFonts w:ascii="Arial" w:cs="Arial" w:eastAsia="Arial" w:hAnsi="Arial"/>
                <w:sz w:val="18"/>
                <w:szCs w:val="18"/>
                <w:color w:val="auto"/>
              </w:rPr>
              <w:t>Equity in net losses of affiliates</w:t>
            </w:r>
          </w:p>
        </w:tc>
        <w:tc>
          <w:tcPr>
            <w:tcW w:w="4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(1,005)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income</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439</w:t>
            </w: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(1,589)</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(2,130)</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w w:val="84"/>
              </w:rPr>
              <w:t>(1,010)</w:t>
            </w: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w w:val="94"/>
              </w:rPr>
              <w:t>Income (loss) from continuing operations before income</w:t>
            </w:r>
          </w:p>
        </w:tc>
        <w:tc>
          <w:tcPr>
            <w:tcW w:w="4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taxes, minority interest, extraordinary items and</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cumulative effect of accounting change</w:t>
            </w:r>
          </w:p>
        </w:tc>
        <w:tc>
          <w:tcPr>
            <w:tcW w:w="420" w:type="dxa"/>
            <w:vAlign w:val="bottom"/>
            <w:tcBorders>
              <w:right w:val="single" w:sz="8" w:color="EEEEEE"/>
            </w:tcBorders>
            <w:shd w:val="clear" w:color="auto" w:fill="EEEEEE"/>
          </w:tcPr>
          <w:p>
            <w:pPr>
              <w:spacing w:after="0"/>
              <w:rPr>
                <w:sz w:val="20"/>
                <w:szCs w:val="20"/>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70</w:t>
            </w:r>
          </w:p>
        </w:tc>
        <w:tc>
          <w:tcPr>
            <w:tcW w:w="4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9"/>
              </w:rPr>
              <w:t>(19,643)</w:t>
            </w:r>
          </w:p>
        </w:tc>
        <w:tc>
          <w:tcPr>
            <w:tcW w:w="30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spacing w:after="0"/>
              <w:rPr>
                <w:sz w:val="20"/>
                <w:szCs w:val="20"/>
                <w:color w:val="auto"/>
              </w:rPr>
            </w:pPr>
          </w:p>
        </w:tc>
        <w:tc>
          <w:tcPr>
            <w:tcW w:w="108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w w:val="84"/>
              </w:rPr>
              <w:t>(1,154)</w:t>
            </w:r>
          </w:p>
        </w:tc>
        <w:tc>
          <w:tcPr>
            <w:tcW w:w="28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(20,727)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Income tax (expense) benefit</w:t>
            </w:r>
          </w:p>
        </w:tc>
        <w:tc>
          <w:tcPr>
            <w:tcW w:w="4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5,776</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443</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6,085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w w:val="93"/>
              </w:rPr>
              <w:t>Loss from continuing operations before minority interest,</w:t>
            </w:r>
          </w:p>
        </w:tc>
        <w:tc>
          <w:tcPr>
            <w:tcW w:w="4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620" w:type="dxa"/>
            <w:vAlign w:val="bottom"/>
            <w:tcBorders>
              <w:right w:val="single" w:sz="8" w:color="EEEEEE"/>
            </w:tcBorders>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extraordinary items and cumulative effect of</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accounting change</w:t>
            </w:r>
          </w:p>
        </w:tc>
        <w:tc>
          <w:tcPr>
            <w:tcW w:w="420" w:type="dxa"/>
            <w:vAlign w:val="bottom"/>
            <w:tcBorders>
              <w:right w:val="single" w:sz="8" w:color="EEEEEE"/>
            </w:tcBorders>
            <w:shd w:val="clear" w:color="auto" w:fill="EEEEEE"/>
          </w:tcPr>
          <w:p>
            <w:pPr>
              <w:spacing w:after="0"/>
              <w:rPr>
                <w:sz w:val="20"/>
                <w:szCs w:val="20"/>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(64)</w:t>
            </w:r>
          </w:p>
        </w:tc>
        <w:tc>
          <w:tcPr>
            <w:tcW w:w="28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9"/>
              </w:rPr>
              <w:t>(13,867)</w:t>
            </w:r>
          </w:p>
        </w:tc>
        <w:tc>
          <w:tcPr>
            <w:tcW w:w="300" w:type="dxa"/>
            <w:vAlign w:val="bottom"/>
            <w:shd w:val="clear" w:color="auto" w:fill="EEEEEE"/>
          </w:tcPr>
          <w:p>
            <w:pPr>
              <w:spacing w:after="0"/>
              <w:rPr>
                <w:sz w:val="20"/>
                <w:szCs w:val="20"/>
                <w:color w:val="auto"/>
              </w:rPr>
            </w:pPr>
          </w:p>
        </w:tc>
        <w:tc>
          <w:tcPr>
            <w:tcW w:w="620" w:type="dxa"/>
            <w:vAlign w:val="bottom"/>
            <w:tcBorders>
              <w:right w:val="single" w:sz="8" w:color="EEEEEE"/>
            </w:tcBorders>
            <w:shd w:val="clear" w:color="auto" w:fill="EEEEEE"/>
          </w:tcPr>
          <w:p>
            <w:pPr>
              <w:spacing w:after="0"/>
              <w:rPr>
                <w:sz w:val="20"/>
                <w:szCs w:val="20"/>
                <w:color w:val="auto"/>
              </w:rPr>
            </w:pPr>
          </w:p>
        </w:tc>
        <w:tc>
          <w:tcPr>
            <w:tcW w:w="1080" w:type="dxa"/>
            <w:vAlign w:val="bottom"/>
            <w:gridSpan w:val="2"/>
            <w:shd w:val="clear" w:color="auto" w:fill="EEEEEE"/>
          </w:tcPr>
          <w:p>
            <w:pPr>
              <w:jc w:val="right"/>
              <w:ind w:right="580"/>
              <w:spacing w:after="0"/>
              <w:rPr>
                <w:sz w:val="20"/>
                <w:szCs w:val="20"/>
                <w:color w:val="auto"/>
              </w:rPr>
            </w:pPr>
            <w:r>
              <w:rPr>
                <w:rFonts w:ascii="Arial" w:cs="Arial" w:eastAsia="Arial" w:hAnsi="Arial"/>
                <w:sz w:val="18"/>
                <w:szCs w:val="18"/>
                <w:color w:val="auto"/>
              </w:rPr>
              <w:t>(711)</w:t>
            </w:r>
          </w:p>
        </w:tc>
        <w:tc>
          <w:tcPr>
            <w:tcW w:w="280" w:type="dxa"/>
            <w:vAlign w:val="bottom"/>
            <w:shd w:val="clear" w:color="auto" w:fill="EEEEEE"/>
          </w:tcPr>
          <w:p>
            <w:pPr>
              <w:spacing w:after="0"/>
              <w:rPr>
                <w:sz w:val="20"/>
                <w:szCs w:val="20"/>
                <w:color w:val="auto"/>
              </w:rPr>
            </w:pPr>
          </w:p>
        </w:tc>
        <w:tc>
          <w:tcPr>
            <w:tcW w:w="46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(14,642)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loss related to equity investments</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(619)</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619</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Minority interest expense</w:t>
            </w:r>
          </w:p>
        </w:tc>
        <w:tc>
          <w:tcPr>
            <w:tcW w:w="42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(256)</w:t>
            </w: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w:t>
            </w: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108"/>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Loss from continuing operations before extraordinary</w:t>
            </w:r>
          </w:p>
        </w:tc>
        <w:tc>
          <w:tcPr>
            <w:tcW w:w="4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62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b w:val="1"/>
                <w:bCs w:val="1"/>
                <w:color w:val="auto"/>
              </w:rPr>
              <w:t>items and cumulative effect of accounting change</w:t>
            </w:r>
          </w:p>
        </w:tc>
        <w:tc>
          <w:tcPr>
            <w:tcW w:w="42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(14,742)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620" w:type="dxa"/>
            <w:vAlign w:val="bottom"/>
          </w:tcPr>
          <w:p>
            <w:pPr>
              <w:spacing w:after="0"/>
              <w:rPr>
                <w:sz w:val="19"/>
                <w:szCs w:val="19"/>
                <w:color w:val="auto"/>
              </w:rPr>
            </w:pP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(14,955)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rPr>
              <w:t>Loss per share from continuing operations — basic</w:t>
            </w:r>
          </w:p>
        </w:tc>
        <w:tc>
          <w:tcPr>
            <w:tcW w:w="42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(0.25)</w:t>
            </w: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ind w:left="66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Loss per share from continuing operations — assuming</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dilution</w:t>
            </w:r>
          </w:p>
        </w:tc>
        <w:tc>
          <w:tcPr>
            <w:tcW w:w="42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EEEEEE"/>
          </w:tcPr>
          <w:p>
            <w:pPr>
              <w:spacing w:after="0"/>
              <w:rPr>
                <w:sz w:val="20"/>
                <w:szCs w:val="20"/>
                <w:color w:val="auto"/>
              </w:rPr>
            </w:pPr>
            <w:r>
              <w:rPr>
                <w:rFonts w:ascii="Arial" w:cs="Arial" w:eastAsia="Arial" w:hAnsi="Arial"/>
                <w:sz w:val="18"/>
                <w:szCs w:val="18"/>
                <w:color w:val="auto"/>
                <w:w w:val="94"/>
              </w:rPr>
              <w:t>Weighted average number of common shares outstanding —</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62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basic</w:t>
            </w:r>
          </w:p>
        </w:tc>
        <w:tc>
          <w:tcPr>
            <w:tcW w:w="420" w:type="dxa"/>
            <w:vAlign w:val="bottom"/>
            <w:tcBorders>
              <w:right w:val="single" w:sz="8" w:color="EEEEEE"/>
            </w:tcBorders>
            <w:shd w:val="clear" w:color="auto" w:fill="EEEEEE"/>
          </w:tcPr>
          <w:p>
            <w:pPr>
              <w:spacing w:after="0"/>
              <w:rPr>
                <w:sz w:val="19"/>
                <w:szCs w:val="19"/>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1,110</w:t>
            </w:r>
          </w:p>
        </w:tc>
        <w:tc>
          <w:tcPr>
            <w:tcW w:w="4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4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620" w:type="dxa"/>
            <w:vAlign w:val="bottom"/>
            <w:tcBorders>
              <w:right w:val="single" w:sz="8" w:color="EEEEEE"/>
            </w:tcBorders>
            <w:shd w:val="clear" w:color="auto" w:fill="EEEEEE"/>
          </w:tcPr>
          <w:p>
            <w:pPr>
              <w:spacing w:after="0"/>
              <w:rPr>
                <w:sz w:val="19"/>
                <w:szCs w:val="19"/>
                <w:color w:val="auto"/>
              </w:rPr>
            </w:pP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1,189</w:t>
            </w:r>
          </w:p>
        </w:tc>
        <w:tc>
          <w:tcPr>
            <w:tcW w:w="6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2,299</w:t>
            </w: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4"/>
              </w:rPr>
              <w:t>Weighted average number of common shares outstanding —</w:t>
            </w: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tcPr>
          <w:p>
            <w:pPr>
              <w:ind w:left="120"/>
              <w:spacing w:after="0"/>
              <w:rPr>
                <w:sz w:val="20"/>
                <w:szCs w:val="20"/>
                <w:color w:val="auto"/>
              </w:rPr>
            </w:pPr>
            <w:r>
              <w:rPr>
                <w:rFonts w:ascii="Arial" w:cs="Arial" w:eastAsia="Arial" w:hAnsi="Arial"/>
                <w:sz w:val="18"/>
                <w:szCs w:val="18"/>
                <w:color w:val="auto"/>
              </w:rPr>
              <w:t>assuming dilution</w:t>
            </w:r>
          </w:p>
        </w:tc>
        <w:tc>
          <w:tcPr>
            <w:tcW w:w="4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1,110</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1,189</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2,299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Pro Forma Combined Condensed Statement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jc w:val="center"/>
        <w:ind w:right="-11"/>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UNAUDITED PRO FORMA COMBINED CONDENSED</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STATEMENT OF OPERATIONS</w:t>
      </w:r>
    </w:p>
    <w:p>
      <w:pPr>
        <w:spacing w:after="0" w:line="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219" w:lineRule="exact"/>
        <w:rPr>
          <w:sz w:val="20"/>
          <w:szCs w:val="20"/>
          <w:color w:val="auto"/>
        </w:rPr>
      </w:pPr>
    </w:p>
    <w:p>
      <w:pPr>
        <w:ind w:left="452" w:right="320" w:hanging="452"/>
        <w:spacing w:after="0" w:line="256"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Comcast results include the results of Broadband for the period from November 19, 2002 through December 31, 2002. Historical Broadband results represent Broadband’s results for the period from January 1, 2002 through November 18, 2002. Both the Comcast results and the Historical Broadband results exclude the cable systems serving approximately 317,000 subscribers that have been sold to Bresnan Broadband Holdings and treated as discontinued operations as of the acquisition date.</w:t>
      </w:r>
    </w:p>
    <w:p>
      <w:pPr>
        <w:spacing w:after="0" w:line="224" w:lineRule="exact"/>
        <w:rPr>
          <w:rFonts w:ascii="Arial" w:cs="Arial" w:eastAsia="Arial" w:hAnsi="Arial"/>
          <w:sz w:val="18"/>
          <w:szCs w:val="18"/>
          <w:color w:val="auto"/>
        </w:rPr>
      </w:pPr>
    </w:p>
    <w:p>
      <w:pPr>
        <w:ind w:left="452" w:hanging="452"/>
        <w:spacing w:after="0" w:line="256"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Adjustments reflect the elimination of intercompany transactions between Comcast Holdings and Broadband, the change in depreciation and amortization expense as a result of recording the related balance sheet amounts at their fair value, the change in interest expense to reflect the effective interest rates for the new borrowings and the fair value of assumed debt, the reclassification of equity in net losses of affiliates to conform to our presentation, the related tax effects of the above adjustments, and the shares issued in the transaction.</w:t>
      </w:r>
    </w:p>
    <w:p>
      <w:pPr>
        <w:spacing w:after="0" w:line="224" w:lineRule="exact"/>
        <w:rPr>
          <w:rFonts w:ascii="Arial" w:cs="Arial" w:eastAsia="Arial" w:hAnsi="Arial"/>
          <w:sz w:val="18"/>
          <w:szCs w:val="18"/>
          <w:color w:val="auto"/>
        </w:rPr>
      </w:pPr>
    </w:p>
    <w:p>
      <w:pPr>
        <w:ind w:left="452" w:right="80" w:hanging="452"/>
        <w:spacing w:after="0" w:line="259" w:lineRule="auto"/>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Broadband historical amounts include a $16.5 billion charge incurred in second quarter of 2002 related to the impairment of franchise rights and goodwill. This charge was directly related to the transaction and was based upon the value of Comcast Holdings’ shares to be exchanged in the transaction as compared to the net book value of Broadband at the time of the impairment test.</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DESCRIPTION OF THE SENIOR DEBT SECURITIES,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SUBORDINATED DEBT SECURITIES AND CABLE GUARANTEES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248" w:lineRule="exact"/>
        <w:rPr>
          <w:sz w:val="20"/>
          <w:szCs w:val="20"/>
          <w:color w:val="auto"/>
        </w:rPr>
      </w:pPr>
    </w:p>
    <w:p>
      <w:pPr>
        <w:ind w:left="820" w:right="80" w:hanging="461"/>
        <w:spacing w:after="0" w:line="26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entered into among us, the cable guarantors and The Bank of New York, as trustee; and</w:t>
      </w:r>
    </w:p>
    <w:p>
      <w:pPr>
        <w:spacing w:after="0" w:line="212" w:lineRule="exact"/>
        <w:rPr>
          <w:rFonts w:ascii="Arial" w:cs="Arial" w:eastAsia="Arial" w:hAnsi="Arial"/>
          <w:sz w:val="18"/>
          <w:szCs w:val="18"/>
          <w:color w:val="auto"/>
        </w:rPr>
      </w:pPr>
    </w:p>
    <w:p>
      <w:pPr>
        <w:ind w:left="820" w:right="300" w:hanging="461"/>
        <w:spacing w:after="0" w:line="26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as trustee.</w:t>
      </w:r>
    </w:p>
    <w:p>
      <w:pPr>
        <w:spacing w:after="0" w:line="213"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The senior indenture, as amended, is included, and the subordinated indenture will be substantially in the form included, as exhibits to the registration statement of which this prospectus is a part.</w:t>
      </w:r>
    </w:p>
    <w:p>
      <w:pPr>
        <w:spacing w:after="0" w:line="213"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captions “Description of Warrants,” “Description of Common Stock,” “Description of Purchase Contracts” and “Description of Units,” the terms “we,” “us” and “our” mean Comcast Corporation only, and not subsidiaries of Comcast Corporation.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 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w:t>
      </w:r>
    </w:p>
    <w:p>
      <w:pPr>
        <w:spacing w:after="0" w:line="194"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distributing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225" w:lineRule="exact"/>
        <w:rPr>
          <w:sz w:val="20"/>
          <w:szCs w:val="20"/>
          <w:color w:val="auto"/>
        </w:rPr>
      </w:pPr>
    </w:p>
    <w:p>
      <w:pPr>
        <w:ind w:left="820" w:hanging="46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279" w:lineRule="exact"/>
        <w:rPr>
          <w:rFonts w:ascii="Arial" w:cs="Arial" w:eastAsia="Arial" w:hAnsi="Arial"/>
          <w:sz w:val="18"/>
          <w:szCs w:val="18"/>
          <w:color w:val="auto"/>
        </w:rPr>
      </w:pPr>
    </w:p>
    <w:p>
      <w:pPr>
        <w:ind w:left="5620" w:right="1700" w:hanging="5261"/>
        <w:spacing w:after="0" w:line="550" w:lineRule="auto"/>
        <w:tabs>
          <w:tab w:leader="none" w:pos="8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6" w:name="page37"/>
    <w:bookmarkEnd w:id="36"/>
    <w:p>
      <w:pPr>
        <w:ind w:left="820" w:right="20" w:hanging="461"/>
        <w:spacing w:after="0" w:line="259"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221" w:lineRule="exact"/>
        <w:rPr>
          <w:rFonts w:ascii="Arial" w:cs="Arial" w:eastAsia="Arial" w:hAnsi="Arial"/>
          <w:sz w:val="18"/>
          <w:szCs w:val="18"/>
          <w:color w:val="auto"/>
        </w:rPr>
      </w:pPr>
    </w:p>
    <w:p>
      <w:pPr>
        <w:ind w:left="820" w:hanging="461"/>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279" w:lineRule="exact"/>
        <w:rPr>
          <w:rFonts w:ascii="Arial" w:cs="Arial" w:eastAsia="Arial" w:hAnsi="Arial"/>
          <w:sz w:val="18"/>
          <w:szCs w:val="18"/>
          <w:color w:val="auto"/>
        </w:rPr>
      </w:pPr>
    </w:p>
    <w:p>
      <w:pPr>
        <w:ind w:left="820" w:right="20" w:hanging="461"/>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279" w:lineRule="exact"/>
        <w:rPr>
          <w:rFonts w:ascii="Arial" w:cs="Arial" w:eastAsia="Arial" w:hAnsi="Arial"/>
          <w:sz w:val="18"/>
          <w:szCs w:val="18"/>
          <w:color w:val="auto"/>
        </w:rPr>
      </w:pPr>
    </w:p>
    <w:p>
      <w:pPr>
        <w:ind w:left="820" w:right="260" w:hanging="461"/>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212" w:lineRule="exact"/>
        <w:rPr>
          <w:rFonts w:ascii="Arial" w:cs="Arial" w:eastAsia="Arial" w:hAnsi="Arial"/>
          <w:sz w:val="18"/>
          <w:szCs w:val="18"/>
          <w:color w:val="auto"/>
        </w:rPr>
      </w:pPr>
    </w:p>
    <w:p>
      <w:pPr>
        <w:ind w:left="820" w:right="280" w:hanging="461"/>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212" w:lineRule="exact"/>
        <w:rPr>
          <w:rFonts w:ascii="Arial" w:cs="Arial" w:eastAsia="Arial" w:hAnsi="Arial"/>
          <w:sz w:val="18"/>
          <w:szCs w:val="18"/>
          <w:color w:val="auto"/>
        </w:rPr>
      </w:pPr>
    </w:p>
    <w:p>
      <w:pPr>
        <w:ind w:left="820" w:right="440" w:hanging="461"/>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212" w:lineRule="exact"/>
        <w:rPr>
          <w:rFonts w:ascii="Arial" w:cs="Arial" w:eastAsia="Arial" w:hAnsi="Arial"/>
          <w:sz w:val="18"/>
          <w:szCs w:val="18"/>
          <w:color w:val="auto"/>
        </w:rPr>
      </w:pPr>
    </w:p>
    <w:p>
      <w:pPr>
        <w:ind w:left="820" w:right="180" w:hanging="461"/>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 and</w:t>
      </w:r>
    </w:p>
    <w:p>
      <w:pPr>
        <w:spacing w:after="0" w:line="212" w:lineRule="exact"/>
        <w:rPr>
          <w:rFonts w:ascii="Arial" w:cs="Arial" w:eastAsia="Arial" w:hAnsi="Arial"/>
          <w:sz w:val="18"/>
          <w:szCs w:val="18"/>
          <w:color w:val="auto"/>
        </w:rPr>
      </w:pPr>
    </w:p>
    <w:p>
      <w:pPr>
        <w:ind w:left="820" w:right="120" w:hanging="461"/>
        <w:spacing w:after="0" w:line="26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21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22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22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25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225" w:lineRule="exact"/>
        <w:rPr>
          <w:sz w:val="20"/>
          <w:szCs w:val="20"/>
          <w:color w:val="auto"/>
        </w:rPr>
      </w:pPr>
    </w:p>
    <w:p>
      <w:pPr>
        <w:ind w:left="820" w:right="220" w:hanging="461"/>
        <w:spacing w:after="0" w:line="268"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00" w:lineRule="exact"/>
        <w:rPr>
          <w:sz w:val="20"/>
          <w:szCs w:val="20"/>
          <w:color w:val="auto"/>
        </w:rPr>
      </w:pPr>
    </w:p>
    <w:p>
      <w:pPr>
        <w:spacing w:after="0" w:line="31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22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221"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 to secure the payment of our Indebtedness or that of any cable guarantor, unless we secure the outstanding senior debt securities or cable guarantee, as the case may be, equally and ratably with (or prior to) all Indebtedness secured by such Lien, so long as such Indebtedness shall be so secured.</w:t>
      </w:r>
    </w:p>
    <w:p>
      <w:pPr>
        <w:spacing w:after="0" w:line="224"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i w:val="1"/>
          <w:iCs w:val="1"/>
          <w:color w:val="auto"/>
        </w:rPr>
        <w:t xml:space="preserve">Limitation on Sale and Leaseback Transactions. </w:t>
      </w:r>
      <w:r>
        <w:rPr>
          <w:rFonts w:ascii="Arial" w:cs="Arial" w:eastAsia="Arial" w:hAnsi="Arial"/>
          <w:sz w:val="18"/>
          <w:szCs w:val="18"/>
          <w:color w:val="auto"/>
        </w:rPr>
        <w:t>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wholly-owned subsidiaries.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225" w:lineRule="exact"/>
        <w:rPr>
          <w:sz w:val="20"/>
          <w:szCs w:val="20"/>
          <w:color w:val="auto"/>
        </w:rPr>
      </w:pPr>
    </w:p>
    <w:p>
      <w:pPr>
        <w:ind w:left="820" w:hanging="46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279" w:lineRule="exact"/>
        <w:rPr>
          <w:rFonts w:ascii="Arial" w:cs="Arial" w:eastAsia="Arial" w:hAnsi="Arial"/>
          <w:sz w:val="18"/>
          <w:szCs w:val="18"/>
          <w:color w:val="auto"/>
        </w:rPr>
      </w:pPr>
    </w:p>
    <w:p>
      <w:pPr>
        <w:ind w:left="820" w:right="20" w:hanging="461"/>
        <w:spacing w:after="0" w:line="259"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194" w:lineRule="exact"/>
        <w:rPr>
          <w:sz w:val="20"/>
          <w:szCs w:val="20"/>
          <w:color w:val="auto"/>
        </w:rPr>
      </w:pPr>
    </w:p>
    <w:p>
      <w:pPr>
        <w:ind w:left="1040" w:right="20" w:hanging="451"/>
        <w:spacing w:after="0" w:line="228" w:lineRule="auto"/>
        <w:tabs>
          <w:tab w:leader="none" w:pos="10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238" w:lineRule="exact"/>
        <w:rPr>
          <w:rFonts w:ascii="Arial" w:cs="Arial" w:eastAsia="Arial" w:hAnsi="Arial"/>
          <w:sz w:val="22"/>
          <w:szCs w:val="22"/>
          <w:color w:val="auto"/>
        </w:rPr>
      </w:pPr>
    </w:p>
    <w:p>
      <w:pPr>
        <w:ind w:left="1040" w:right="460" w:hanging="451"/>
        <w:spacing w:after="0" w:line="228" w:lineRule="auto"/>
        <w:tabs>
          <w:tab w:leader="none" w:pos="10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8" w:name="page39"/>
    <w:bookmarkEnd w:id="38"/>
    <w:p>
      <w:pPr>
        <w:ind w:right="60" w:firstLine="324"/>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207"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color w:val="auto"/>
        </w:rPr>
        <w:t xml:space="preserve">“Capitalized Lease” </w:t>
      </w:r>
      <w:r>
        <w:rPr>
          <w:rFonts w:ascii="Arial" w:cs="Arial" w:eastAsia="Arial" w:hAnsi="Arial"/>
          <w:sz w:val="18"/>
          <w:szCs w:val="18"/>
          <w:color w:val="auto"/>
        </w:rPr>
        <w:t>means, as applied to any person, any lease of any property (whether real, personal, or mixed) of which the discounted present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213" w:lineRule="exact"/>
        <w:rPr>
          <w:sz w:val="20"/>
          <w:szCs w:val="20"/>
          <w:color w:val="auto"/>
        </w:rPr>
      </w:pPr>
    </w:p>
    <w:p>
      <w:pPr>
        <w:jc w:val="both"/>
        <w:ind w:right="80" w:firstLine="324"/>
        <w:spacing w:after="0" w:line="262"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means, with respect to any person, any and all shares, interests, participations, or other equivalents (however designated, whether voting or</w:t>
      </w:r>
      <w:r>
        <w:rPr>
          <w:rFonts w:ascii="Arial" w:cs="Arial" w:eastAsia="Arial" w:hAnsi="Arial"/>
          <w:sz w:val="18"/>
          <w:szCs w:val="18"/>
          <w:b w:val="1"/>
          <w:bCs w:val="1"/>
          <w:color w:val="auto"/>
        </w:rPr>
        <w:t xml:space="preserve"> </w:t>
      </w:r>
      <w:r>
        <w:rPr>
          <w:rFonts w:ascii="Arial" w:cs="Arial" w:eastAsia="Arial" w:hAnsi="Arial"/>
          <w:sz w:val="18"/>
          <w:szCs w:val="18"/>
          <w:color w:val="auto"/>
        </w:rPr>
        <w:t>non-voting) of such person’s capital stock or other ownership interests, whether now outstanding or issued after the date of hereof, including, without limitation, all common stock and preferred stock.</w:t>
      </w:r>
    </w:p>
    <w:p>
      <w:pPr>
        <w:spacing w:after="0" w:line="213" w:lineRule="exact"/>
        <w:rPr>
          <w:sz w:val="20"/>
          <w:szCs w:val="20"/>
          <w:color w:val="auto"/>
        </w:rPr>
      </w:pPr>
    </w:p>
    <w:p>
      <w:pPr>
        <w:ind w:right="320" w:firstLine="324"/>
        <w:spacing w:after="0" w:line="275"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or other similar agreement or arrangement designed to protect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fluctuation in currency values.</w:t>
      </w:r>
    </w:p>
    <w:p>
      <w:pPr>
        <w:spacing w:after="0" w:line="20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generally accepted accounting principles in the United States of America as in effect as of the date of determination,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220" w:lineRule="exact"/>
        <w:rPr>
          <w:sz w:val="20"/>
          <w:szCs w:val="20"/>
          <w:color w:val="auto"/>
        </w:rPr>
      </w:pPr>
    </w:p>
    <w:p>
      <w:pPr>
        <w:ind w:right="220" w:firstLine="324"/>
        <w:spacing w:after="0" w:line="339" w:lineRule="auto"/>
        <w:rPr>
          <w:sz w:val="20"/>
          <w:szCs w:val="20"/>
          <w:color w:val="auto"/>
        </w:rPr>
      </w:pPr>
      <w:r>
        <w:rPr>
          <w:rFonts w:ascii="Arial" w:cs="Arial" w:eastAsia="Arial" w:hAnsi="Arial"/>
          <w:sz w:val="16"/>
          <w:szCs w:val="16"/>
          <w:b w:val="1"/>
          <w:bCs w:val="1"/>
          <w:color w:val="auto"/>
        </w:rPr>
        <w:t xml:space="preserve">“Guarantee” </w:t>
      </w:r>
      <w:r>
        <w:rPr>
          <w:rFonts w:ascii="Arial" w:cs="Arial" w:eastAsia="Arial" w:hAnsi="Arial"/>
          <w:sz w:val="16"/>
          <w:szCs w:val="16"/>
          <w:color w:val="auto"/>
        </w:rPr>
        <w:t>means any obligation, contingent or otherwise, of any person directly or indirectly guaranteeing any Indebtedness or other obligation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person and, without limiting the generality of the foregoing, any obligation, direct or indirect, contingent or otherwise, of such person:</w:t>
      </w:r>
    </w:p>
    <w:p>
      <w:pPr>
        <w:spacing w:after="0" w:line="134" w:lineRule="exact"/>
        <w:rPr>
          <w:sz w:val="20"/>
          <w:szCs w:val="20"/>
          <w:color w:val="auto"/>
        </w:rPr>
      </w:pPr>
    </w:p>
    <w:p>
      <w:pPr>
        <w:ind w:left="820" w:right="200" w:hanging="461"/>
        <w:spacing w:after="0" w:line="259"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221" w:lineRule="exact"/>
        <w:rPr>
          <w:rFonts w:ascii="Arial" w:cs="Arial" w:eastAsia="Arial" w:hAnsi="Arial"/>
          <w:sz w:val="18"/>
          <w:szCs w:val="18"/>
          <w:color w:val="auto"/>
        </w:rPr>
      </w:pPr>
    </w:p>
    <w:p>
      <w:pPr>
        <w:ind w:left="820" w:right="340" w:hanging="461"/>
        <w:spacing w:after="0" w:line="268"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 “Guarantee” used as a verb has a corresponding meaning.</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with respect to any person at any date of determination (without duplication):</w:t>
      </w:r>
    </w:p>
    <w:p>
      <w:pPr>
        <w:spacing w:after="0" w:line="231" w:lineRule="exact"/>
        <w:rPr>
          <w:sz w:val="20"/>
          <w:szCs w:val="20"/>
          <w:color w:val="auto"/>
        </w:rPr>
      </w:pPr>
    </w:p>
    <w:p>
      <w:pPr>
        <w:ind w:left="820" w:hanging="461"/>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302" w:lineRule="exact"/>
        <w:rPr>
          <w:rFonts w:ascii="Arial" w:cs="Arial" w:eastAsia="Arial" w:hAnsi="Arial"/>
          <w:sz w:val="16"/>
          <w:szCs w:val="16"/>
          <w:color w:val="auto"/>
        </w:rPr>
      </w:pPr>
    </w:p>
    <w:p>
      <w:pPr>
        <w:ind w:left="820" w:right="160" w:hanging="461"/>
        <w:spacing w:after="0" w:line="268"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279" w:lineRule="exact"/>
        <w:rPr>
          <w:rFonts w:ascii="Arial" w:cs="Arial" w:eastAsia="Arial" w:hAnsi="Arial"/>
          <w:sz w:val="18"/>
          <w:szCs w:val="18"/>
          <w:color w:val="auto"/>
        </w:rPr>
      </w:pPr>
    </w:p>
    <w:p>
      <w:pPr>
        <w:ind w:left="820" w:right="620" w:hanging="461"/>
        <w:spacing w:after="0" w:line="268"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186" w:lineRule="exact"/>
        <w:rPr>
          <w:sz w:val="20"/>
          <w:szCs w:val="20"/>
          <w:color w:val="auto"/>
        </w:rPr>
      </w:pPr>
    </w:p>
    <w:p>
      <w:pPr>
        <w:ind w:left="5620" w:right="5520" w:hanging="5031"/>
        <w:spacing w:after="0" w:line="395" w:lineRule="auto"/>
        <w:tabs>
          <w:tab w:leader="none" w:pos="1042" w:val="left"/>
        </w:tabs>
        <w:numPr>
          <w:ilvl w:val="0"/>
          <w:numId w:val="25"/>
        </w:numPr>
        <w:rPr>
          <w:rFonts w:ascii="Arial" w:cs="Arial" w:eastAsia="Arial" w:hAnsi="Arial"/>
          <w:sz w:val="18"/>
          <w:szCs w:val="18"/>
          <w:color w:val="auto"/>
        </w:rPr>
      </w:pPr>
      <w:r>
        <w:rPr>
          <w:rFonts w:ascii="Arial" w:cs="Arial" w:eastAsia="Arial" w:hAnsi="Arial"/>
          <w:sz w:val="15"/>
          <w:szCs w:val="15"/>
          <w:color w:val="auto"/>
        </w:rPr>
        <w:t>the fair market value of such asset at such date of determination; and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353060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39" w:name="page40"/>
    <w:bookmarkEnd w:id="39"/>
    <w:p>
      <w:pPr>
        <w:ind w:left="1040" w:hanging="451"/>
        <w:spacing w:after="0"/>
        <w:tabs>
          <w:tab w:leader="none" w:pos="1040" w:val="left"/>
        </w:tabs>
        <w:numPr>
          <w:ilvl w:val="1"/>
          <w:numId w:val="26"/>
        </w:numPr>
        <w:rPr>
          <w:rFonts w:ascii="Arial" w:cs="Arial" w:eastAsia="Arial" w:hAnsi="Arial"/>
          <w:sz w:val="22"/>
          <w:szCs w:val="22"/>
          <w:color w:val="auto"/>
        </w:rPr>
      </w:pPr>
      <w:r>
        <w:rPr>
          <w:rFonts w:ascii="Arial" w:cs="Arial" w:eastAsia="Arial" w:hAnsi="Arial"/>
          <w:sz w:val="18"/>
          <w:szCs w:val="18"/>
          <w:color w:val="auto"/>
        </w:rPr>
        <w:t>the amount of such Indebtedness;</w:t>
      </w:r>
    </w:p>
    <w:p>
      <w:pPr>
        <w:spacing w:after="0" w:line="236" w:lineRule="exact"/>
        <w:rPr>
          <w:rFonts w:ascii="Arial" w:cs="Arial" w:eastAsia="Arial" w:hAnsi="Arial"/>
          <w:sz w:val="22"/>
          <w:szCs w:val="22"/>
          <w:color w:val="auto"/>
        </w:rPr>
      </w:pPr>
    </w:p>
    <w:p>
      <w:pPr>
        <w:ind w:left="820" w:hanging="461"/>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Indebtedness of other persons Guaranteed by such person to the extent such Indebtedness is Guaranteed by such person;</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279"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39" w:lineRule="exact"/>
        <w:rPr>
          <w:sz w:val="20"/>
          <w:szCs w:val="20"/>
          <w:color w:val="auto"/>
        </w:rPr>
      </w:pPr>
    </w:p>
    <w:p>
      <w:pPr>
        <w:ind w:left="820" w:right="480" w:hanging="461"/>
        <w:spacing w:after="0" w:line="370" w:lineRule="auto"/>
        <w:tabs>
          <w:tab w:leader="none" w:pos="8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43" w:lineRule="exact"/>
        <w:rPr>
          <w:rFonts w:ascii="Arial" w:cs="Arial" w:eastAsia="Arial" w:hAnsi="Arial"/>
          <w:sz w:val="15"/>
          <w:szCs w:val="15"/>
          <w:color w:val="auto"/>
        </w:rPr>
      </w:pPr>
    </w:p>
    <w:p>
      <w:pPr>
        <w:ind w:left="820" w:hanging="461"/>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27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b w:val="1"/>
          <w:bCs w:val="1"/>
          <w:color w:val="auto"/>
        </w:rPr>
        <w:t xml:space="preserve">“Interest Rate Agreements” </w:t>
      </w:r>
      <w:r>
        <w:rPr>
          <w:rFonts w:ascii="Arial" w:cs="Arial" w:eastAsia="Arial" w:hAnsi="Arial"/>
          <w:sz w:val="16"/>
          <w:szCs w:val="16"/>
          <w:color w:val="auto"/>
        </w:rPr>
        <w:t>means any obligations of any person pursuant to any interest rate swaps, caps, collars, and similar arrangements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92"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with respect to any asset, any mortgage, lien, pledge, charge, security interest or encumbrance of any kind, or any other type of preferential</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means:</w:t>
      </w:r>
    </w:p>
    <w:p>
      <w:pPr>
        <w:spacing w:after="0" w:line="231" w:lineRule="exact"/>
        <w:rPr>
          <w:sz w:val="20"/>
          <w:szCs w:val="20"/>
          <w:color w:val="auto"/>
        </w:rPr>
      </w:pPr>
    </w:p>
    <w:p>
      <w:pPr>
        <w:ind w:left="820" w:hanging="461"/>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279" w:lineRule="exact"/>
        <w:rPr>
          <w:rFonts w:ascii="Arial" w:cs="Arial" w:eastAsia="Arial" w:hAnsi="Arial"/>
          <w:sz w:val="18"/>
          <w:szCs w:val="18"/>
          <w:color w:val="auto"/>
        </w:rPr>
      </w:pPr>
    </w:p>
    <w:p>
      <w:pPr>
        <w:ind w:left="820" w:right="180" w:hanging="461"/>
        <w:spacing w:after="0" w:line="255"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223" w:lineRule="exact"/>
        <w:rPr>
          <w:rFonts w:ascii="Arial" w:cs="Arial" w:eastAsia="Arial" w:hAnsi="Arial"/>
          <w:sz w:val="18"/>
          <w:szCs w:val="18"/>
          <w:color w:val="auto"/>
        </w:rPr>
      </w:pPr>
    </w:p>
    <w:p>
      <w:pPr>
        <w:ind w:left="820" w:hanging="461"/>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279" w:lineRule="exact"/>
        <w:rPr>
          <w:rFonts w:ascii="Arial" w:cs="Arial" w:eastAsia="Arial" w:hAnsi="Arial"/>
          <w:sz w:val="18"/>
          <w:szCs w:val="18"/>
          <w:color w:val="auto"/>
        </w:rPr>
      </w:pPr>
    </w:p>
    <w:p>
      <w:pPr>
        <w:ind w:left="820" w:right="80" w:hanging="461"/>
        <w:spacing w:after="0" w:line="268"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212" w:lineRule="exact"/>
        <w:rPr>
          <w:rFonts w:ascii="Arial" w:cs="Arial" w:eastAsia="Arial" w:hAnsi="Arial"/>
          <w:sz w:val="18"/>
          <w:szCs w:val="18"/>
          <w:color w:val="auto"/>
        </w:rPr>
      </w:pPr>
    </w:p>
    <w:p>
      <w:pPr>
        <w:ind w:left="820" w:right="140" w:hanging="461"/>
        <w:spacing w:after="0" w:line="268"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212" w:lineRule="exact"/>
        <w:rPr>
          <w:rFonts w:ascii="Arial" w:cs="Arial" w:eastAsia="Arial" w:hAnsi="Arial"/>
          <w:sz w:val="18"/>
          <w:szCs w:val="18"/>
          <w:color w:val="auto"/>
        </w:rPr>
      </w:pPr>
    </w:p>
    <w:p>
      <w:pPr>
        <w:ind w:left="820" w:right="240" w:hanging="461"/>
        <w:spacing w:after="0" w:line="259"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11" w:right="259" w:bottom="1440" w:gutter="0" w:footer="0" w:header="0"/>
        </w:sectPr>
      </w:pPr>
    </w:p>
    <w:bookmarkStart w:id="40" w:name="page41"/>
    <w:bookmarkEnd w:id="40"/>
    <w:p>
      <w:pPr>
        <w:ind w:right="80" w:firstLine="324"/>
        <w:spacing w:after="0" w:line="258" w:lineRule="auto"/>
        <w:rPr>
          <w:sz w:val="20"/>
          <w:szCs w:val="20"/>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means any direct or indirect arrangement with any person or to which any such person is a party, providing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22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We will file, whether or not required to do so under applicable law, with the trustee, within 15 days after being required to file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15-day period.</w:t>
      </w:r>
    </w:p>
    <w:p>
      <w:pPr>
        <w:spacing w:after="0" w:line="224"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i w:val="1"/>
          <w:iCs w:val="1"/>
          <w:color w:val="auto"/>
        </w:rPr>
        <w:t xml:space="preserve">Consolidation, Merger and Sale of Assets. </w:t>
      </w:r>
      <w:r>
        <w:rPr>
          <w:rFonts w:ascii="Arial" w:cs="Arial" w:eastAsia="Arial" w:hAnsi="Arial"/>
          <w:sz w:val="16"/>
          <w:szCs w:val="16"/>
          <w:color w:val="auto"/>
        </w:rPr>
        <w:t>The senior indenture restricts our ability to consolidate with, merge with or into, or sell, convey, transfer, lease,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dispose of all or substantially all of our property and assets as an entirety or substantially an entirety in one transaction or a series of related transactions to any person (other than a consolidation with or merger with or into or a sale, conveyance, transfer, lease or other disposition to a wholly-owned subsidiary with a positive net worth; provided that, in connection with any merger of us and a wholly-owned subsidiary, no consideration other than common stock in the surviving person shall be issued or distributed to our stockholders) or permit any person to merge with or into such party unless:</w:t>
      </w:r>
    </w:p>
    <w:p>
      <w:pPr>
        <w:spacing w:after="0" w:line="170" w:lineRule="exact"/>
        <w:rPr>
          <w:sz w:val="20"/>
          <w:szCs w:val="20"/>
          <w:color w:val="auto"/>
        </w:rPr>
      </w:pPr>
    </w:p>
    <w:p>
      <w:pPr>
        <w:ind w:left="820" w:right="120" w:hanging="461"/>
        <w:spacing w:after="0" w:line="256"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224" w:lineRule="exact"/>
        <w:rPr>
          <w:rFonts w:ascii="Arial" w:cs="Arial" w:eastAsia="Arial" w:hAnsi="Arial"/>
          <w:sz w:val="18"/>
          <w:szCs w:val="18"/>
          <w:color w:val="auto"/>
        </w:rPr>
      </w:pPr>
    </w:p>
    <w:p>
      <w:pPr>
        <w:ind w:left="820" w:hanging="461"/>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279" w:lineRule="exact"/>
        <w:rPr>
          <w:rFonts w:ascii="Arial" w:cs="Arial" w:eastAsia="Arial" w:hAnsi="Arial"/>
          <w:sz w:val="18"/>
          <w:szCs w:val="18"/>
          <w:color w:val="auto"/>
        </w:rPr>
      </w:pPr>
    </w:p>
    <w:p>
      <w:pPr>
        <w:ind w:left="820" w:right="200" w:hanging="461"/>
        <w:spacing w:after="0" w:line="259"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the state of incorporation of such party; and provided further that any such transaction shall not have as one of its purposes the evasion of the foregoing limitations.</w:t>
      </w:r>
    </w:p>
    <w:p>
      <w:pPr>
        <w:spacing w:after="0" w:line="221"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213" w:lineRule="exact"/>
        <w:rPr>
          <w:sz w:val="20"/>
          <w:szCs w:val="20"/>
          <w:color w:val="auto"/>
        </w:rPr>
      </w:pPr>
    </w:p>
    <w:p>
      <w:pPr>
        <w:jc w:val="both"/>
        <w:ind w:firstLine="324"/>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25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3" w:right="25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252" w:lineRule="exact"/>
        <w:rPr>
          <w:sz w:val="20"/>
          <w:szCs w:val="20"/>
          <w:color w:val="auto"/>
        </w:rPr>
      </w:pPr>
    </w:p>
    <w:p>
      <w:pPr>
        <w:ind w:right="360" w:firstLine="332"/>
        <w:spacing w:after="0" w:line="268" w:lineRule="auto"/>
        <w:tabs>
          <w:tab w:leader="none" w:pos="5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on the senior debt securities of such series when the same becomes due and payable whether at maturity, upon acceleration, redemption or otherwise;</w:t>
      </w:r>
    </w:p>
    <w:p>
      <w:pPr>
        <w:spacing w:after="0" w:line="212" w:lineRule="exact"/>
        <w:rPr>
          <w:rFonts w:ascii="Arial" w:cs="Arial" w:eastAsia="Arial" w:hAnsi="Arial"/>
          <w:sz w:val="18"/>
          <w:szCs w:val="18"/>
          <w:color w:val="auto"/>
        </w:rPr>
      </w:pPr>
    </w:p>
    <w:p>
      <w:pPr>
        <w:ind w:right="300" w:firstLine="332"/>
        <w:spacing w:after="0" w:line="268" w:lineRule="auto"/>
        <w:tabs>
          <w:tab w:leader="none" w:pos="573"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212" w:lineRule="exact"/>
        <w:rPr>
          <w:rFonts w:ascii="Arial" w:cs="Arial" w:eastAsia="Arial" w:hAnsi="Arial"/>
          <w:sz w:val="18"/>
          <w:szCs w:val="18"/>
          <w:color w:val="auto"/>
        </w:rPr>
      </w:pPr>
    </w:p>
    <w:p>
      <w:pPr>
        <w:ind w:firstLine="332"/>
        <w:spacing w:after="0" w:line="306" w:lineRule="auto"/>
        <w:tabs>
          <w:tab w:leader="none" w:pos="5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all the senior debt securities or applicable to the senior debt securities of any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87" w:lineRule="exact"/>
        <w:rPr>
          <w:rFonts w:ascii="Arial" w:cs="Arial" w:eastAsia="Arial" w:hAnsi="Arial"/>
          <w:sz w:val="16"/>
          <w:szCs w:val="16"/>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225" w:lineRule="exact"/>
        <w:rPr>
          <w:rFonts w:ascii="Arial" w:cs="Arial" w:eastAsia="Arial" w:hAnsi="Arial"/>
          <w:sz w:val="18"/>
          <w:szCs w:val="18"/>
          <w:color w:val="auto"/>
        </w:rPr>
      </w:pPr>
    </w:p>
    <w:p>
      <w:pPr>
        <w:ind w:left="1160" w:right="460" w:hanging="463"/>
        <w:spacing w:after="0" w:line="268" w:lineRule="auto"/>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relief in respect of any Obligor in an involuntary case under any applicable bankruptcy, insolvency, or other similar law now or hereafter in effect;</w:t>
      </w:r>
    </w:p>
    <w:p>
      <w:pPr>
        <w:spacing w:after="0" w:line="212" w:lineRule="exact"/>
        <w:rPr>
          <w:rFonts w:ascii="Arial" w:cs="Arial" w:eastAsia="Arial" w:hAnsi="Arial"/>
          <w:sz w:val="18"/>
          <w:szCs w:val="18"/>
          <w:color w:val="auto"/>
        </w:rPr>
      </w:pPr>
    </w:p>
    <w:p>
      <w:pPr>
        <w:ind w:left="1160" w:right="200" w:hanging="463"/>
        <w:spacing w:after="0" w:line="268" w:lineRule="auto"/>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any Obligor for any substantial part of such party’s property and assets; or</w:t>
      </w:r>
    </w:p>
    <w:p>
      <w:pPr>
        <w:spacing w:after="0" w:line="212" w:lineRule="exact"/>
        <w:rPr>
          <w:rFonts w:ascii="Arial" w:cs="Arial" w:eastAsia="Arial" w:hAnsi="Arial"/>
          <w:sz w:val="18"/>
          <w:szCs w:val="18"/>
          <w:color w:val="auto"/>
        </w:rPr>
      </w:pPr>
    </w:p>
    <w:p>
      <w:pPr>
        <w:ind w:left="1160" w:hanging="463"/>
        <w:spacing w:after="0"/>
        <w:tabs>
          <w:tab w:leader="none" w:pos="11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such decree or order shall remain unstayed and in effect for a period of 180 consecutive days; or</w:t>
      </w:r>
    </w:p>
    <w:p>
      <w:pPr>
        <w:spacing w:after="0" w:line="252" w:lineRule="exact"/>
        <w:rPr>
          <w:sz w:val="20"/>
          <w:szCs w:val="20"/>
          <w:color w:val="auto"/>
        </w:rPr>
      </w:pPr>
    </w:p>
    <w:p>
      <w:pPr>
        <w:ind w:left="580" w:hanging="248"/>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Obligor:</w:t>
      </w:r>
    </w:p>
    <w:p>
      <w:pPr>
        <w:spacing w:after="0" w:line="225" w:lineRule="exact"/>
        <w:rPr>
          <w:rFonts w:ascii="Arial" w:cs="Arial" w:eastAsia="Arial" w:hAnsi="Arial"/>
          <w:sz w:val="18"/>
          <w:szCs w:val="18"/>
          <w:color w:val="auto"/>
        </w:rPr>
      </w:pPr>
    </w:p>
    <w:p>
      <w:pPr>
        <w:ind w:left="1160" w:right="120" w:hanging="463"/>
        <w:spacing w:after="0" w:line="268"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 to the entry of an order for relief in an involuntary case under any such law;</w:t>
      </w:r>
    </w:p>
    <w:p>
      <w:pPr>
        <w:spacing w:after="0" w:line="212" w:lineRule="exact"/>
        <w:rPr>
          <w:rFonts w:ascii="Arial" w:cs="Arial" w:eastAsia="Arial" w:hAnsi="Arial"/>
          <w:sz w:val="18"/>
          <w:szCs w:val="18"/>
          <w:color w:val="auto"/>
        </w:rPr>
      </w:pPr>
    </w:p>
    <w:p>
      <w:pPr>
        <w:ind w:left="1160" w:right="120" w:hanging="463"/>
        <w:spacing w:after="0" w:line="268" w:lineRule="auto"/>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212" w:lineRule="exact"/>
        <w:rPr>
          <w:rFonts w:ascii="Arial" w:cs="Arial" w:eastAsia="Arial" w:hAnsi="Arial"/>
          <w:sz w:val="18"/>
          <w:szCs w:val="18"/>
          <w:color w:val="auto"/>
        </w:rPr>
      </w:pPr>
    </w:p>
    <w:p>
      <w:pPr>
        <w:ind w:left="1160" w:hanging="463"/>
        <w:spacing w:after="0"/>
        <w:tabs>
          <w:tab w:leader="none" w:pos="11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25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and the trustee at the request of such holders shall, declare the principal amount of and accrued interest, if any, on such senior debt securities to be immediately due and payable. The amount due upon acceleration shall include only the original issue price of the senior debt securities and accrued to the date of acceleration and accrued interest, if any. Upon a declaration of acceleration, such principal amount of and accrued interest, if any, on such senior debt securities shall be immediately due and payable. 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w:t>
      </w:r>
    </w:p>
    <w:p>
      <w:pPr>
        <w:spacing w:after="0" w:line="201" w:lineRule="exact"/>
        <w:rPr>
          <w:sz w:val="20"/>
          <w:szCs w:val="20"/>
          <w:color w:val="auto"/>
        </w:rPr>
      </w:pPr>
    </w:p>
    <w:p>
      <w:pPr>
        <w:ind w:firstLine="324"/>
        <w:spacing w:after="0" w:line="370" w:lineRule="auto"/>
        <w:rPr>
          <w:sz w:val="20"/>
          <w:szCs w:val="20"/>
          <w:color w:val="auto"/>
        </w:rPr>
      </w:pPr>
      <w:r>
        <w:rPr>
          <w:rFonts w:ascii="Arial" w:cs="Arial" w:eastAsia="Arial" w:hAnsi="Arial"/>
          <w:sz w:val="15"/>
          <w:szCs w:val="15"/>
          <w:color w:val="auto"/>
        </w:rPr>
        <w:t>Upon certain conditions such declarations may be rescinded and annulled and past defaults may be waived by the holders of a majority in aggregate principal amount of an issue of senior debt securities that has been accelerated. Furthermore, subject to various provisions in the senior indenture, the holders of at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68" w:right="259" w:bottom="1440" w:gutter="0" w:footer="0" w:header="0"/>
        </w:sectPr>
      </w:pPr>
    </w:p>
    <w:bookmarkStart w:id="42" w:name="page43"/>
    <w:bookmarkEnd w:id="42"/>
    <w:p>
      <w:pPr>
        <w:spacing w:after="0" w:line="291" w:lineRule="auto"/>
        <w:rPr>
          <w:sz w:val="20"/>
          <w:szCs w:val="20"/>
          <w:color w:val="auto"/>
        </w:rPr>
      </w:pPr>
      <w:r>
        <w:rPr>
          <w:rFonts w:ascii="Arial" w:cs="Arial" w:eastAsia="Arial" w:hAnsi="Arial"/>
          <w:sz w:val="16"/>
          <w:szCs w:val="16"/>
          <w:color w:val="auto"/>
        </w:rPr>
        <w:t>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securities.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20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174" w:lineRule="exact"/>
        <w:rPr>
          <w:sz w:val="20"/>
          <w:szCs w:val="20"/>
          <w:color w:val="auto"/>
        </w:rPr>
      </w:pPr>
    </w:p>
    <w:p>
      <w:pPr>
        <w:ind w:left="820" w:hanging="461"/>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279" w:lineRule="exact"/>
        <w:rPr>
          <w:rFonts w:ascii="Arial" w:cs="Arial" w:eastAsia="Arial" w:hAnsi="Arial"/>
          <w:sz w:val="18"/>
          <w:szCs w:val="18"/>
          <w:color w:val="auto"/>
        </w:rPr>
      </w:pPr>
    </w:p>
    <w:p>
      <w:pPr>
        <w:ind w:left="820" w:right="320" w:hanging="461"/>
        <w:spacing w:after="0" w:line="268"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279" w:lineRule="exact"/>
        <w:rPr>
          <w:rFonts w:ascii="Arial" w:cs="Arial" w:eastAsia="Arial" w:hAnsi="Arial"/>
          <w:sz w:val="18"/>
          <w:szCs w:val="18"/>
          <w:color w:val="auto"/>
        </w:rPr>
      </w:pPr>
    </w:p>
    <w:p>
      <w:pPr>
        <w:ind w:left="820" w:right="340" w:hanging="461"/>
        <w:spacing w:after="0" w:line="268"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w:t>
      </w:r>
    </w:p>
    <w:p>
      <w:pPr>
        <w:spacing w:after="0" w:line="22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25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186" w:lineRule="exact"/>
        <w:rPr>
          <w:sz w:val="20"/>
          <w:szCs w:val="20"/>
          <w:color w:val="auto"/>
        </w:rPr>
      </w:pPr>
    </w:p>
    <w:p>
      <w:pPr>
        <w:ind w:left="820" w:right="220" w:hanging="461"/>
        <w:spacing w:after="0" w:line="268"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3" w:name="page44"/>
    <w:bookmarkEnd w:id="43"/>
    <w:p>
      <w:pPr>
        <w:ind w:left="820" w:right="920" w:hanging="461"/>
        <w:spacing w:after="0" w:line="268"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186" w:lineRule="exact"/>
        <w:rPr>
          <w:sz w:val="20"/>
          <w:szCs w:val="20"/>
          <w:color w:val="auto"/>
        </w:rPr>
      </w:pPr>
    </w:p>
    <w:p>
      <w:pPr>
        <w:ind w:left="1040" w:right="40" w:hanging="451"/>
        <w:spacing w:after="0" w:line="259" w:lineRule="auto"/>
        <w:tabs>
          <w:tab w:leader="none" w:pos="1040" w:val="left"/>
        </w:tabs>
        <w:numPr>
          <w:ilvl w:val="0"/>
          <w:numId w:val="35"/>
        </w:numPr>
        <w:rPr>
          <w:rFonts w:ascii="Arial" w:cs="Arial" w:eastAsia="Arial" w:hAnsi="Arial"/>
          <w:sz w:val="21"/>
          <w:szCs w:val="21"/>
          <w:color w:val="auto"/>
        </w:rPr>
      </w:pPr>
      <w:r>
        <w:rPr>
          <w:rFonts w:ascii="Arial" w:cs="Arial" w:eastAsia="Arial" w:hAnsi="Arial"/>
          <w:sz w:val="17"/>
          <w:szCs w:val="17"/>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224" w:lineRule="exact"/>
        <w:rPr>
          <w:rFonts w:ascii="Arial" w:cs="Arial" w:eastAsia="Arial" w:hAnsi="Arial"/>
          <w:sz w:val="21"/>
          <w:szCs w:val="21"/>
          <w:color w:val="auto"/>
        </w:rPr>
      </w:pPr>
    </w:p>
    <w:p>
      <w:pPr>
        <w:jc w:val="both"/>
        <w:ind w:left="1040" w:right="380" w:hanging="451"/>
        <w:spacing w:after="0" w:line="235" w:lineRule="auto"/>
        <w:tabs>
          <w:tab w:leader="none" w:pos="1040" w:val="left"/>
        </w:tabs>
        <w:numPr>
          <w:ilvl w:val="0"/>
          <w:numId w:val="35"/>
        </w:numPr>
        <w:rPr>
          <w:rFonts w:ascii="Arial" w:cs="Arial" w:eastAsia="Arial" w:hAnsi="Arial"/>
          <w:sz w:val="22"/>
          <w:szCs w:val="22"/>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23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deemed appropriate by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225" w:lineRule="exact"/>
        <w:rPr>
          <w:sz w:val="20"/>
          <w:szCs w:val="20"/>
          <w:color w:val="auto"/>
        </w:rPr>
      </w:pPr>
    </w:p>
    <w:p>
      <w:pPr>
        <w:ind w:left="820" w:right="220" w:hanging="461"/>
        <w:spacing w:after="0" w:line="332"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166" w:lineRule="exact"/>
        <w:rPr>
          <w:rFonts w:ascii="Arial" w:cs="Arial" w:eastAsia="Arial" w:hAnsi="Arial"/>
          <w:sz w:val="16"/>
          <w:szCs w:val="16"/>
          <w:color w:val="auto"/>
        </w:rPr>
      </w:pPr>
    </w:p>
    <w:p>
      <w:pPr>
        <w:ind w:left="820" w:right="80" w:hanging="461"/>
        <w:spacing w:after="0" w:line="259"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225" w:lineRule="exact"/>
        <w:rPr>
          <w:sz w:val="20"/>
          <w:szCs w:val="20"/>
          <w:color w:val="auto"/>
        </w:rPr>
      </w:pPr>
    </w:p>
    <w:p>
      <w:pPr>
        <w:ind w:left="820" w:right="20" w:hanging="461"/>
        <w:spacing w:after="0" w:line="314" w:lineRule="auto"/>
        <w:tabs>
          <w:tab w:leader="none" w:pos="8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44" w:name="page45"/>
    <w:bookmarkEnd w:id="44"/>
    <w:p>
      <w:pPr>
        <w:ind w:left="820" w:right="280" w:hanging="461"/>
        <w:spacing w:after="0" w:line="268" w:lineRule="auto"/>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no default or event of default with respect to the senior debt securities of such series shall have occurred and be continuing on the date of such deposit;</w:t>
      </w:r>
    </w:p>
    <w:p>
      <w:pPr>
        <w:spacing w:after="0" w:line="313" w:lineRule="exact"/>
        <w:rPr>
          <w:rFonts w:ascii="Arial" w:cs="Arial" w:eastAsia="Arial" w:hAnsi="Arial"/>
          <w:sz w:val="15"/>
          <w:szCs w:val="15"/>
          <w:color w:val="auto"/>
        </w:rPr>
      </w:pPr>
    </w:p>
    <w:p>
      <w:pPr>
        <w:ind w:left="820" w:hanging="461"/>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252" w:lineRule="exact"/>
        <w:rPr>
          <w:sz w:val="20"/>
          <w:szCs w:val="20"/>
          <w:color w:val="auto"/>
        </w:rPr>
      </w:pPr>
    </w:p>
    <w:p>
      <w:pPr>
        <w:ind w:left="1040" w:right="180" w:hanging="451"/>
        <w:spacing w:after="0" w:line="241" w:lineRule="auto"/>
        <w:tabs>
          <w:tab w:leader="none" w:pos="1040" w:val="left"/>
        </w:tabs>
        <w:numPr>
          <w:ilvl w:val="1"/>
          <w:numId w:val="39"/>
        </w:numPr>
        <w:rPr>
          <w:rFonts w:ascii="Arial" w:cs="Arial" w:eastAsia="Arial" w:hAnsi="Arial"/>
          <w:sz w:val="22"/>
          <w:szCs w:val="22"/>
          <w:color w:val="auto"/>
        </w:rPr>
      </w:pPr>
      <w:r>
        <w:rPr>
          <w:rFonts w:ascii="Arial" w:cs="Arial" w:eastAsia="Arial" w:hAnsi="Arial"/>
          <w:sz w:val="18"/>
          <w:szCs w:val="18"/>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238" w:lineRule="exact"/>
        <w:rPr>
          <w:rFonts w:ascii="Arial" w:cs="Arial" w:eastAsia="Arial" w:hAnsi="Arial"/>
          <w:sz w:val="22"/>
          <w:szCs w:val="22"/>
          <w:color w:val="auto"/>
        </w:rPr>
      </w:pPr>
    </w:p>
    <w:p>
      <w:pPr>
        <w:ind w:left="1040" w:right="120" w:hanging="451"/>
        <w:spacing w:after="0" w:line="228" w:lineRule="auto"/>
        <w:tabs>
          <w:tab w:leader="none" w:pos="1040" w:val="left"/>
        </w:tabs>
        <w:numPr>
          <w:ilvl w:val="1"/>
          <w:numId w:val="39"/>
        </w:numPr>
        <w:rPr>
          <w:rFonts w:ascii="Arial" w:cs="Arial" w:eastAsia="Arial" w:hAnsi="Arial"/>
          <w:sz w:val="22"/>
          <w:szCs w:val="22"/>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211" w:lineRule="exact"/>
        <w:rPr>
          <w:rFonts w:ascii="Arial" w:cs="Arial" w:eastAsia="Arial" w:hAnsi="Arial"/>
          <w:sz w:val="22"/>
          <w:szCs w:val="22"/>
          <w:color w:val="auto"/>
        </w:rPr>
      </w:pPr>
    </w:p>
    <w:p>
      <w:pPr>
        <w:ind w:left="820" w:right="80" w:hanging="461"/>
        <w:spacing w:after="0" w:line="332" w:lineRule="auto"/>
        <w:tabs>
          <w:tab w:leader="none" w:pos="8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00" w:lineRule="exact"/>
        <w:rPr>
          <w:sz w:val="20"/>
          <w:szCs w:val="20"/>
          <w:color w:val="auto"/>
        </w:rPr>
      </w:pP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248" w:lineRule="exact"/>
        <w:rPr>
          <w:sz w:val="20"/>
          <w:szCs w:val="20"/>
          <w:color w:val="auto"/>
        </w:rPr>
      </w:pPr>
    </w:p>
    <w:p>
      <w:pPr>
        <w:ind w:left="820" w:right="200" w:hanging="461"/>
        <w:spacing w:after="0" w:line="268"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provided that such amendments or supplements shall not adversely affect the interests of the holders in any material respect;</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comply with the provisions described under “— Certain Covenants — Consolidation, Merger and Sale of Assets;”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senior indenture under the Trust Indenture Act;</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5" w:name="page46"/>
    <w:bookmarkEnd w:id="45"/>
    <w:p>
      <w:pPr>
        <w:ind w:left="820" w:right="120" w:hanging="461"/>
        <w:spacing w:after="0" w:line="332" w:lineRule="auto"/>
        <w:tabs>
          <w:tab w:leader="none" w:pos="8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166" w:lineRule="exact"/>
        <w:rPr>
          <w:rFonts w:ascii="Arial" w:cs="Arial" w:eastAsia="Arial" w:hAnsi="Arial"/>
          <w:sz w:val="16"/>
          <w:szCs w:val="16"/>
          <w:color w:val="auto"/>
        </w:rPr>
      </w:pPr>
    </w:p>
    <w:p>
      <w:pPr>
        <w:ind w:left="820" w:hanging="461"/>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279"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provided, however, that each affected holder must consent to any modification, amendment or waiver that:</w:t>
      </w:r>
    </w:p>
    <w:p>
      <w:pPr>
        <w:spacing w:after="0" w:line="170" w:lineRule="exact"/>
        <w:rPr>
          <w:sz w:val="20"/>
          <w:szCs w:val="20"/>
          <w:color w:val="auto"/>
        </w:rPr>
      </w:pPr>
    </w:p>
    <w:p>
      <w:pPr>
        <w:ind w:left="820" w:hanging="461"/>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installment of interest on, the senior debt securities of the affected series;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302" w:lineRule="exact"/>
        <w:rPr>
          <w:rFonts w:ascii="Arial" w:cs="Arial" w:eastAsia="Arial" w:hAnsi="Arial"/>
          <w:sz w:val="16"/>
          <w:szCs w:val="16"/>
          <w:color w:val="auto"/>
        </w:rPr>
      </w:pPr>
    </w:p>
    <w:p>
      <w:pPr>
        <w:ind w:left="820" w:hanging="461"/>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279" w:lineRule="exact"/>
        <w:rPr>
          <w:rFonts w:ascii="Arial" w:cs="Arial" w:eastAsia="Arial" w:hAnsi="Arial"/>
          <w:sz w:val="18"/>
          <w:szCs w:val="18"/>
          <w:color w:val="auto"/>
        </w:rPr>
      </w:pPr>
    </w:p>
    <w:p>
      <w:pPr>
        <w:ind w:left="820" w:right="220" w:hanging="461"/>
        <w:spacing w:after="0" w:line="332" w:lineRule="auto"/>
        <w:tabs>
          <w:tab w:leader="none" w:pos="8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166" w:lineRule="exact"/>
        <w:rPr>
          <w:rFonts w:ascii="Arial" w:cs="Arial" w:eastAsia="Arial" w:hAnsi="Arial"/>
          <w:sz w:val="16"/>
          <w:szCs w:val="16"/>
          <w:color w:val="auto"/>
        </w:rPr>
      </w:pPr>
    </w:p>
    <w:p>
      <w:pPr>
        <w:ind w:left="820" w:right="80" w:hanging="461"/>
        <w:spacing w:after="0" w:line="268"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 or</w:t>
      </w:r>
    </w:p>
    <w:p>
      <w:pPr>
        <w:spacing w:after="0" w:line="279" w:lineRule="exact"/>
        <w:rPr>
          <w:rFonts w:ascii="Arial" w:cs="Arial" w:eastAsia="Arial" w:hAnsi="Arial"/>
          <w:sz w:val="18"/>
          <w:szCs w:val="18"/>
          <w:color w:val="auto"/>
        </w:rPr>
      </w:pPr>
    </w:p>
    <w:p>
      <w:pPr>
        <w:ind w:left="820" w:right="460" w:hanging="461"/>
        <w:spacing w:after="0" w:line="332" w:lineRule="auto"/>
        <w:tabs>
          <w:tab w:leader="none" w:pos="8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w:t>
      </w:r>
    </w:p>
    <w:p>
      <w:pPr>
        <w:spacing w:after="0" w:line="16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 After an amendment, supplement or waiver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6" w:name="page47"/>
    <w:bookmarkEnd w:id="46"/>
    <w:p>
      <w:pPr>
        <w:ind w:left="22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25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Governing Law</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Trustees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Subordination</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distribution of our assets upon any dissolution, winding up, liquidation or reorganization, the payment of the principal of, or premium, if any, and interest on the subordinated debt securities is to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subordination provisions also apply in the same way to each cable guarantor with respect to the Senior Indebtedness of such cable guarantor.</w:t>
      </w:r>
    </w:p>
    <w:p>
      <w:pPr>
        <w:spacing w:after="0" w:line="275" w:lineRule="exact"/>
        <w:rPr>
          <w:sz w:val="20"/>
          <w:szCs w:val="20"/>
          <w:color w:val="auto"/>
        </w:rPr>
      </w:pPr>
    </w:p>
    <w:p>
      <w:pPr>
        <w:ind w:right="400" w:firstLine="324"/>
        <w:spacing w:after="0" w:line="268" w:lineRule="auto"/>
        <w:rPr>
          <w:sz w:val="20"/>
          <w:szCs w:val="20"/>
          <w:color w:val="auto"/>
        </w:rPr>
      </w:pPr>
      <w:r>
        <w:rPr>
          <w:rFonts w:ascii="Arial" w:cs="Arial" w:eastAsia="Arial" w:hAnsi="Arial"/>
          <w:sz w:val="18"/>
          <w:szCs w:val="18"/>
          <w:color w:val="auto"/>
        </w:rPr>
        <w:t>The term “Senior Indebtedness” of a person means with respect to such person the principal of, premium, if any, interest on, and any other payment due pursuant to any of the following, whether outstanding today or incurred by that person in the future:</w:t>
      </w:r>
    </w:p>
    <w:p>
      <w:pPr>
        <w:spacing w:after="0" w:line="186" w:lineRule="exact"/>
        <w:rPr>
          <w:sz w:val="20"/>
          <w:szCs w:val="20"/>
          <w:color w:val="auto"/>
        </w:rPr>
      </w:pPr>
    </w:p>
    <w:p>
      <w:pPr>
        <w:ind w:left="820" w:hanging="461"/>
        <w:spacing w:after="0" w:line="305" w:lineRule="auto"/>
        <w:tabs>
          <w:tab w:leader="none" w:pos="8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w:t>
      </w:r>
    </w:p>
    <w:p>
      <w:pPr>
        <w:ind w:left="820"/>
        <w:spacing w:after="0"/>
        <w:rPr>
          <w:rFonts w:ascii="Arial" w:cs="Arial" w:eastAsia="Arial" w:hAnsi="Arial"/>
          <w:sz w:val="15"/>
          <w:szCs w:val="15"/>
          <w:color w:val="auto"/>
        </w:rPr>
      </w:pPr>
      <w:r>
        <w:rPr>
          <w:rFonts w:ascii="Arial" w:cs="Arial" w:eastAsia="Arial" w:hAnsi="Arial"/>
          <w:sz w:val="18"/>
          <w:szCs w:val="18"/>
          <w:color w:val="auto"/>
        </w:rPr>
        <w:t>(2) existing on property at the time that person acquires it;</w:t>
      </w:r>
    </w:p>
    <w:p>
      <w:pPr>
        <w:spacing w:after="0" w:line="245" w:lineRule="exact"/>
        <w:rPr>
          <w:rFonts w:ascii="Arial" w:cs="Arial" w:eastAsia="Arial" w:hAnsi="Arial"/>
          <w:sz w:val="15"/>
          <w:szCs w:val="15"/>
          <w:color w:val="auto"/>
        </w:rPr>
      </w:pPr>
    </w:p>
    <w:p>
      <w:pPr>
        <w:ind w:left="820" w:hanging="461"/>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7" w:name="page48"/>
    <w:bookmarkEnd w:id="47"/>
    <w:p>
      <w:pPr>
        <w:ind w:left="820" w:right="40" w:hanging="461"/>
        <w:spacing w:after="0" w:line="259"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 or guarantee or that the person in effect guarantees through an agreement to purchase, whether that agreement is contingent or otherwise; and</w:t>
      </w:r>
    </w:p>
    <w:p>
      <w:pPr>
        <w:spacing w:after="0" w:line="221" w:lineRule="exact"/>
        <w:rPr>
          <w:rFonts w:ascii="Arial" w:cs="Arial" w:eastAsia="Arial" w:hAnsi="Arial"/>
          <w:sz w:val="18"/>
          <w:szCs w:val="18"/>
          <w:color w:val="auto"/>
        </w:rPr>
      </w:pPr>
    </w:p>
    <w:p>
      <w:pPr>
        <w:ind w:left="820" w:right="520" w:hanging="461"/>
        <w:spacing w:after="0" w:line="268" w:lineRule="auto"/>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2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224"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213"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224"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224"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186" w:lineRule="exact"/>
        <w:rPr>
          <w:sz w:val="20"/>
          <w:szCs w:val="20"/>
          <w:color w:val="auto"/>
        </w:rPr>
      </w:pPr>
    </w:p>
    <w:p>
      <w:pPr>
        <w:ind w:left="820" w:right="240" w:hanging="461"/>
        <w:spacing w:after="0" w:line="268"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279" w:lineRule="exact"/>
        <w:rPr>
          <w:rFonts w:ascii="Arial" w:cs="Arial" w:eastAsia="Arial" w:hAnsi="Arial"/>
          <w:sz w:val="18"/>
          <w:szCs w:val="18"/>
          <w:color w:val="auto"/>
        </w:rPr>
      </w:pPr>
    </w:p>
    <w:p>
      <w:pPr>
        <w:ind w:left="820" w:right="80" w:hanging="461"/>
        <w:spacing w:after="0" w:line="259"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of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48" w:name="page49"/>
    <w:bookmarkEnd w:id="48"/>
    <w:p>
      <w:pPr>
        <w:ind w:left="820" w:right="40" w:hanging="461"/>
        <w:spacing w:after="0" w:line="268"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279" w:lineRule="exact"/>
        <w:rPr>
          <w:sz w:val="20"/>
          <w:szCs w:val="20"/>
          <w:color w:val="auto"/>
        </w:rPr>
      </w:pPr>
    </w:p>
    <w:p>
      <w:pPr>
        <w:ind w:right="780" w:firstLine="324"/>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166"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We may issue warrants to purchase securities or other securities or rights of ours, including rights to receive payment in cash or securities based on the value, rate or price of one or more specified commodities, currencies or indices, or securities of other issuers or any combination of the foregoing. Warrants may be issued independently or together with any securities and may be attached to or separate from such securities. Each series of warrants will be issued under a separate warrant agreement to be entered into between us and a warrant agent. The following sets forth certain general terms and provisions of the warrants offered hereby. Further terms of the warrants and the applicable warrant agreement are set forth in the applicable prospectus supplement.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applicable prospectus supplement will describe the following terms of any warrants in respect of which this prospectus is being delivered:</w:t>
      </w:r>
    </w:p>
    <w:p>
      <w:pPr>
        <w:spacing w:after="0" w:line="248" w:lineRule="exact"/>
        <w:rPr>
          <w:sz w:val="20"/>
          <w:szCs w:val="20"/>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279" w:lineRule="exact"/>
        <w:rPr>
          <w:rFonts w:ascii="Arial" w:cs="Arial" w:eastAsia="Arial" w:hAnsi="Arial"/>
          <w:sz w:val="18"/>
          <w:szCs w:val="18"/>
          <w:color w:val="auto"/>
        </w:rPr>
      </w:pPr>
    </w:p>
    <w:p>
      <w:pPr>
        <w:ind w:left="820" w:right="280" w:hanging="461"/>
        <w:spacing w:after="0" w:line="370" w:lineRule="auto"/>
        <w:tabs>
          <w:tab w:leader="none" w:pos="8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securities or other rights, including rights to receive payment in cash or securities based on the value, rate or price of one or more specified commodities, currencies or indices, or securities of other issuers or any combination of the foregoing, purchasable upon exercise of such warrants;</w:t>
      </w:r>
    </w:p>
    <w:p>
      <w:pPr>
        <w:spacing w:after="0" w:line="143" w:lineRule="exact"/>
        <w:rPr>
          <w:rFonts w:ascii="Arial" w:cs="Arial" w:eastAsia="Arial" w:hAnsi="Arial"/>
          <w:sz w:val="15"/>
          <w:szCs w:val="15"/>
          <w:color w:val="auto"/>
        </w:rPr>
      </w:pPr>
    </w:p>
    <w:p>
      <w:pPr>
        <w:ind w:left="820" w:right="100" w:hanging="461"/>
        <w:spacing w:after="0" w:line="268"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including composite currencies, in which the securities purchasable upon exercise of such warrants may be purchased;</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279" w:lineRule="exact"/>
        <w:rPr>
          <w:rFonts w:ascii="Arial" w:cs="Arial" w:eastAsia="Arial" w:hAnsi="Arial"/>
          <w:sz w:val="18"/>
          <w:szCs w:val="18"/>
          <w:color w:val="auto"/>
        </w:rPr>
      </w:pPr>
    </w:p>
    <w:p>
      <w:pPr>
        <w:ind w:left="820" w:right="160" w:hanging="461"/>
        <w:spacing w:after="0" w:line="268"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49" w:name="page50"/>
    <w:bookmarkEnd w:id="49"/>
    <w:p>
      <w:pPr>
        <w:ind w:left="820" w:hanging="461"/>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a discussion of certain United States Federal income tax considerations;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applicable, the identity of any of our cable subsidiaries guaranteeing our obligations with respect to such warrants;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69" w:lineRule="exact"/>
        <w:rPr>
          <w:rFonts w:ascii="Arial" w:cs="Arial" w:eastAsia="Arial" w:hAnsi="Arial"/>
          <w:sz w:val="16"/>
          <w:szCs w:val="16"/>
          <w:color w:val="auto"/>
        </w:rPr>
      </w:pPr>
    </w:p>
    <w:p>
      <w:pPr>
        <w:ind w:left="3880"/>
        <w:spacing w:after="0"/>
        <w:rPr>
          <w:rFonts w:ascii="Arial" w:cs="Arial" w:eastAsia="Arial" w:hAnsi="Arial"/>
          <w:sz w:val="16"/>
          <w:szCs w:val="16"/>
          <w:color w:val="auto"/>
        </w:rPr>
      </w:pPr>
      <w:r>
        <w:rPr>
          <w:rFonts w:ascii="Arial" w:cs="Arial" w:eastAsia="Arial" w:hAnsi="Arial"/>
          <w:sz w:val="18"/>
          <w:szCs w:val="18"/>
          <w:b w:val="1"/>
          <w:bCs w:val="1"/>
          <w:color w:val="auto"/>
        </w:rPr>
        <w:t>DESCRIPTION OF PURCHASE CONTRACTS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issue purchase contracts for the purchase or sale of:</w:t>
      </w:r>
    </w:p>
    <w:p>
      <w:pPr>
        <w:spacing w:after="0" w:line="225" w:lineRule="exact"/>
        <w:rPr>
          <w:sz w:val="20"/>
          <w:szCs w:val="20"/>
          <w:color w:val="auto"/>
        </w:rPr>
      </w:pPr>
    </w:p>
    <w:p>
      <w:pPr>
        <w:ind w:left="820" w:right="500" w:hanging="461"/>
        <w:spacing w:after="0" w:line="268"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securities or securities of an entity unaffiliated or affiliated with us, a basket of such securities, an index or indices of such securities or any combination of the above as specified in the applicable prospectus supplement;</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currencies or composite currencies; or</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27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all as set forth in the applicable prospectus supplement. We must, however, satisfy our obligations, if any, with respect to any purchase contract by delivering the cash value thereof or, in the case of underlying currencies, by delivering the underlying currencies, as set forth in the applicable prospectus supplement. The applicable prospectus supplement will also specify the methods by which the holders may purchase or sell such securities, currencies or commodities, any acceleration, cancellation or termination provisions or other provisions relating to the settlement of a purchase contract and, if applicable, the identity of any of our cable subsidiaries guaranteeing our obligations with respect to such purchase contracts.</w:t>
      </w:r>
    </w:p>
    <w:p>
      <w:pPr>
        <w:spacing w:after="0" w:line="20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Purchase contracts may require holders to satisfy their obligations thereunder when the purchase contracts are issued. Our obligation to settle such pre-paid purchase contracts on the relevant settlement date may constitute indebtedness. Accordingly, the pre-paid purchase contracts will be issued under one of the indentures.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58" w:lineRule="exact"/>
        <w:rPr>
          <w:sz w:val="20"/>
          <w:szCs w:val="20"/>
          <w:color w:val="auto"/>
        </w:rPr>
      </w:pPr>
    </w:p>
    <w:p>
      <w:pPr>
        <w:ind w:right="40" w:firstLine="324"/>
        <w:spacing w:after="0" w:line="332" w:lineRule="auto"/>
        <w:rPr>
          <w:sz w:val="20"/>
          <w:szCs w:val="20"/>
          <w:color w:val="auto"/>
        </w:rPr>
      </w:pPr>
      <w:r>
        <w:rPr>
          <w:rFonts w:ascii="Arial" w:cs="Arial" w:eastAsia="Arial" w:hAnsi="Arial"/>
          <w:sz w:val="16"/>
          <w:szCs w:val="16"/>
          <w:color w:val="auto"/>
        </w:rPr>
        <w:t>As specified in the applicable prospectus supplement, units will consist of one or more purchase contracts, warrants, debt securities, preferred stock, Class A Common Stock or Class A Special Common Stock or any combination thereof. Reference is made to the applicable prospectus supplement for:</w:t>
      </w:r>
    </w:p>
    <w:p>
      <w:pPr>
        <w:spacing w:after="0" w:line="139" w:lineRule="exact"/>
        <w:rPr>
          <w:sz w:val="20"/>
          <w:szCs w:val="20"/>
          <w:color w:val="auto"/>
        </w:rPr>
      </w:pPr>
    </w:p>
    <w:p>
      <w:pPr>
        <w:ind w:left="820" w:right="100" w:hanging="461"/>
        <w:spacing w:after="0" w:line="259"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terms of the units and of the purchase contracts, warrants, debt securities, shares of preferred stock, shares of Class A Common Stock or shares of Class A Special Common Stock, or any combination thereof, comprising the units, including whether and under what circumstances the securities comprising the units may or may not be traded separately;</w:t>
      </w:r>
    </w:p>
    <w:p>
      <w:pPr>
        <w:spacing w:after="0" w:line="221" w:lineRule="exact"/>
        <w:rPr>
          <w:rFonts w:ascii="Arial" w:cs="Arial" w:eastAsia="Arial" w:hAnsi="Arial"/>
          <w:sz w:val="18"/>
          <w:szCs w:val="18"/>
          <w:color w:val="auto"/>
        </w:rPr>
      </w:pPr>
    </w:p>
    <w:p>
      <w:pPr>
        <w:ind w:left="820" w:hanging="461"/>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a description of any guarantee by any of our subsidiaries of our obligations under the units;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25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99" w:lineRule="exact"/>
        <w:rPr>
          <w:sz w:val="20"/>
          <w:szCs w:val="20"/>
          <w:color w:val="auto"/>
        </w:rPr>
      </w:pPr>
    </w:p>
    <w:p>
      <w:pPr>
        <w:ind w:right="120" w:firstLine="324"/>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166" w:lineRule="exact"/>
        <w:rPr>
          <w:sz w:val="20"/>
          <w:szCs w:val="20"/>
          <w:color w:val="auto"/>
        </w:rPr>
      </w:pPr>
    </w:p>
    <w:p>
      <w:pPr>
        <w:ind w:firstLine="324"/>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8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205"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agents, agent of the trustees or agent of the warrant agents or unit agents will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51" w:name="page52"/>
    <w:bookmarkEnd w:id="51"/>
    <w:p>
      <w:pPr>
        <w:ind w:right="60"/>
        <w:spacing w:after="0" w:line="268" w:lineRule="auto"/>
        <w:rPr>
          <w:sz w:val="20"/>
          <w:szCs w:val="20"/>
          <w:color w:val="auto"/>
        </w:rPr>
      </w:pPr>
      <w:r>
        <w:rPr>
          <w:rFonts w:ascii="Arial" w:cs="Arial" w:eastAsia="Arial" w:hAnsi="Arial"/>
          <w:sz w:val="18"/>
          <w:szCs w:val="18"/>
          <w:color w:val="auto"/>
        </w:rPr>
        <w:t>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213" w:lineRule="exact"/>
        <w:rPr>
          <w:sz w:val="20"/>
          <w:szCs w:val="20"/>
          <w:color w:val="auto"/>
        </w:rPr>
      </w:pPr>
    </w:p>
    <w:p>
      <w:pPr>
        <w:ind w:right="500" w:firstLine="324"/>
        <w:spacing w:after="0" w:line="254" w:lineRule="auto"/>
        <w:rPr>
          <w:sz w:val="20"/>
          <w:szCs w:val="20"/>
          <w:color w:val="auto"/>
        </w:rPr>
      </w:pPr>
      <w:r>
        <w:rPr>
          <w:rFonts w:ascii="Arial" w:cs="Arial" w:eastAsia="Arial" w:hAnsi="Arial"/>
          <w:sz w:val="18"/>
          <w:szCs w:val="18"/>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Securities Exchange Act of 1934, and we do not appoint a successor depositary registered as a clearing agency under the Securities Exchange Act of 1934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PREFERRED STOCK</w:t>
      </w:r>
    </w:p>
    <w:p>
      <w:pPr>
        <w:spacing w:after="0" w:line="258" w:lineRule="exact"/>
        <w:rPr>
          <w:sz w:val="20"/>
          <w:szCs w:val="20"/>
          <w:color w:val="auto"/>
        </w:rPr>
      </w:pPr>
    </w:p>
    <w:p>
      <w:pPr>
        <w:ind w:right="20" w:firstLine="324"/>
        <w:spacing w:after="0" w:line="298" w:lineRule="auto"/>
        <w:rPr>
          <w:sz w:val="20"/>
          <w:szCs w:val="20"/>
          <w:color w:val="auto"/>
        </w:rPr>
      </w:pPr>
      <w:r>
        <w:rPr>
          <w:rFonts w:ascii="Arial" w:cs="Arial" w:eastAsia="Arial" w:hAnsi="Arial"/>
          <w:sz w:val="16"/>
          <w:szCs w:val="16"/>
          <w:color w:val="auto"/>
        </w:rPr>
        <w:t>Our board of directors is authorized to issue in one or more series up to a maximum of 20,000,000 shares of preferred stock, without par value. The shares can be issued with such designations, preferences, qualifications, privileges, limitations, restrictions, options, conversion or exchange rights and other special or relative rights as the board of directors shall from time to time fix by resolution. The dividend, voting, conversion, exchange, repurchase and redemption rights, if applicable, the liquidation preference, and other specific terms of each series of the preferred stock will be set forth in the prospectus supplement.</w:t>
      </w:r>
    </w:p>
    <w:p>
      <w:pPr>
        <w:spacing w:after="0" w:line="194"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The applicable prospectus supplement will describe the following terms to the extent that they may apply to an issuance of preferred stock in respect of which this prospectus is being delivered:</w:t>
      </w:r>
    </w:p>
    <w:p>
      <w:pPr>
        <w:spacing w:after="0" w:line="186" w:lineRule="exact"/>
        <w:rPr>
          <w:sz w:val="20"/>
          <w:szCs w:val="20"/>
          <w:color w:val="auto"/>
        </w:rPr>
      </w:pPr>
    </w:p>
    <w:p>
      <w:pPr>
        <w:ind w:left="820" w:hanging="461"/>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specific designation, number of shares, seniority and purchase price;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liquidation preference per share;</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date of maturity;</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redemption, repayment or sinking fund provisions;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any dividend rate or rates and the dates on which any such dividends will be payable (or the method by which such rates or dates will be determined);</w:t>
      </w:r>
    </w:p>
    <w:p>
      <w:pPr>
        <w:spacing w:after="0" w:line="313" w:lineRule="exact"/>
        <w:rPr>
          <w:rFonts w:ascii="Arial" w:cs="Arial" w:eastAsia="Arial" w:hAnsi="Arial"/>
          <w:sz w:val="15"/>
          <w:szCs w:val="15"/>
          <w:color w:val="auto"/>
        </w:rPr>
      </w:pPr>
    </w:p>
    <w:p>
      <w:pPr>
        <w:ind w:left="820" w:hanging="461"/>
        <w:spacing w:after="0"/>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voting rights;</w:t>
      </w:r>
    </w:p>
    <w:p>
      <w:pPr>
        <w:spacing w:after="0" w:line="279" w:lineRule="exact"/>
        <w:rPr>
          <w:rFonts w:ascii="Arial" w:cs="Arial" w:eastAsia="Arial" w:hAnsi="Arial"/>
          <w:sz w:val="18"/>
          <w:szCs w:val="18"/>
          <w:color w:val="auto"/>
        </w:rPr>
      </w:pPr>
    </w:p>
    <w:p>
      <w:pPr>
        <w:ind w:left="820" w:right="80" w:hanging="461"/>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or currencies including composite currencies in which such preferred stock is denominated and/or in which payments will or may be payable;</w:t>
      </w:r>
    </w:p>
    <w:p>
      <w:pPr>
        <w:spacing w:after="0" w:line="212" w:lineRule="exact"/>
        <w:rPr>
          <w:rFonts w:ascii="Arial" w:cs="Arial" w:eastAsia="Arial" w:hAnsi="Arial"/>
          <w:sz w:val="18"/>
          <w:szCs w:val="18"/>
          <w:color w:val="auto"/>
        </w:rPr>
      </w:pPr>
    </w:p>
    <w:p>
      <w:pPr>
        <w:ind w:left="820" w:right="40" w:hanging="461"/>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method by which amounts in respect of such preferred stock may be calculated and any commodities, currencies or indices, or value, rate or price, relevant to such calculation;</w:t>
      </w:r>
    </w:p>
    <w:p>
      <w:pPr>
        <w:spacing w:after="0" w:line="212" w:lineRule="exact"/>
        <w:rPr>
          <w:rFonts w:ascii="Arial" w:cs="Arial" w:eastAsia="Arial" w:hAnsi="Arial"/>
          <w:sz w:val="18"/>
          <w:szCs w:val="18"/>
          <w:color w:val="auto"/>
        </w:rPr>
      </w:pPr>
    </w:p>
    <w:p>
      <w:pPr>
        <w:ind w:left="820" w:right="680" w:hanging="461"/>
        <w:spacing w:after="0" w:line="26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preferred stock is convertible or exchangeable and, if so, the securities or rights into which such preferred stock is convertible or exchangeable, and the terms and conditions upon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52" w:name="page53"/>
    <w:bookmarkEnd w:id="52"/>
    <w:p>
      <w:pPr>
        <w:ind w:left="820" w:right="140"/>
        <w:spacing w:after="0" w:line="268" w:lineRule="auto"/>
        <w:rPr>
          <w:sz w:val="20"/>
          <w:szCs w:val="20"/>
          <w:color w:val="auto"/>
        </w:rPr>
      </w:pPr>
      <w:r>
        <w:rPr>
          <w:rFonts w:ascii="Arial" w:cs="Arial" w:eastAsia="Arial" w:hAnsi="Arial"/>
          <w:sz w:val="18"/>
          <w:szCs w:val="18"/>
          <w:color w:val="auto"/>
        </w:rPr>
        <w:t>which such conversions or exchanges will be effected including the initial conversion or exchange prices or rates, the conversion or exchange period and any other related provisions;</w:t>
      </w:r>
    </w:p>
    <w:p>
      <w:pPr>
        <w:spacing w:after="0" w:line="213" w:lineRule="exact"/>
        <w:rPr>
          <w:sz w:val="20"/>
          <w:szCs w:val="20"/>
          <w:color w:val="auto"/>
        </w:rPr>
      </w:pPr>
    </w:p>
    <w:p>
      <w:pPr>
        <w:ind w:left="820" w:hanging="461"/>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place or places where dividends and other payments on the preferred stock will be payable;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additional voting, dividend, liquidation, redemption and other rights, preferences, privileges, limitations and restrictions.</w:t>
      </w:r>
    </w:p>
    <w:p>
      <w:pPr>
        <w:spacing w:after="0" w:line="27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As described under “Description of Depositary Shares,” we may, at our option, elect to offer depositary shares evidenced by depositary receipts, each representing an interest (to be specified in the prospectus supplement relating to the particular series of the preferred stock) in a share of the particular series of the preferred stock issued and deposited with a bank or trust company selected by us as the depositary.</w:t>
      </w:r>
    </w:p>
    <w:p>
      <w:pPr>
        <w:spacing w:after="0" w:line="221" w:lineRule="exact"/>
        <w:rPr>
          <w:sz w:val="20"/>
          <w:szCs w:val="20"/>
          <w:color w:val="auto"/>
        </w:rPr>
      </w:pPr>
    </w:p>
    <w:p>
      <w:pPr>
        <w:ind w:right="560" w:firstLine="324"/>
        <w:spacing w:after="0" w:line="332" w:lineRule="auto"/>
        <w:rPr>
          <w:sz w:val="20"/>
          <w:szCs w:val="20"/>
          <w:color w:val="auto"/>
        </w:rPr>
      </w:pPr>
      <w:r>
        <w:rPr>
          <w:rFonts w:ascii="Arial" w:cs="Arial" w:eastAsia="Arial" w:hAnsi="Arial"/>
          <w:sz w:val="16"/>
          <w:szCs w:val="16"/>
          <w:color w:val="auto"/>
        </w:rPr>
        <w:t>All shares of preferred stock offered hereby, or issuable upon conversion, exchange or exercise of securities, will, when issued, be fully paid and non-assessable. We have been advised that the preferred stock will be exempt from existing Pennsylvania personal property tax.</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DEPOSITARY SHARES</w:t>
      </w:r>
    </w:p>
    <w:p>
      <w:pPr>
        <w:spacing w:after="0" w:line="25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description set forth below and in any prospectus supplement of certain provisions of the deposit agreement and of the depositary shares and depositary receipts does not purport to be complete and is subject to, and qualified in its entirety by reference to, the form of deposit agreement and form of depositary receipts relating to each series of the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may, at our option, elect to have shares of preferred stock be represented by depositary shares. The shares of any series of the preferred stock underlying the depositary shares will be deposited under a separate deposit agreement between us and a bank or trust company selected by us as the depositary. The prospectus supplement relating to a series of depositary shares will set forth the name and address of the depositary. Subject to the terms of the deposit agreement, each owner of a depositary share will be entitled, in proportion to the applicable interest in the number of shares of preferred stock underlying such depositary share, to all the rights and preferences of the preferred stock underlying such depositary share, including dividend, voting, redemption, conversion, exchange and liquidation rights.</w:t>
      </w:r>
    </w:p>
    <w:p>
      <w:pPr>
        <w:spacing w:after="0" w:line="225"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The depositary shares will be evidenced by depositary receipts issued pursuant to the deposit agreement, each of which will represent the applicable interest in a number of shares of a particular series of the preferred stock described in the applicable prospectus supplement.</w:t>
      </w:r>
    </w:p>
    <w:p>
      <w:pPr>
        <w:spacing w:after="0" w:line="213"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Unless otherwise specified in the prospectus supplement, a holder of depositary shares is not entitled to receive the shares of preferred stock underlying the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58" w:lineRule="exact"/>
        <w:rPr>
          <w:sz w:val="20"/>
          <w:szCs w:val="20"/>
          <w:color w:val="auto"/>
        </w:rPr>
      </w:pPr>
    </w:p>
    <w:p>
      <w:pPr>
        <w:ind w:right="460" w:firstLine="324"/>
        <w:spacing w:after="0" w:line="370" w:lineRule="auto"/>
        <w:rPr>
          <w:sz w:val="20"/>
          <w:szCs w:val="20"/>
          <w:color w:val="auto"/>
        </w:rPr>
      </w:pPr>
      <w:r>
        <w:rPr>
          <w:rFonts w:ascii="Arial" w:cs="Arial" w:eastAsia="Arial" w:hAnsi="Arial"/>
          <w:sz w:val="15"/>
          <w:szCs w:val="15"/>
          <w:color w:val="auto"/>
        </w:rPr>
        <w:t>The depositary will distribute all cash dividends or other cash distributions received in respect of the preferred stock to the record holders of depositary shares representing such preferred stock in proportion to the numbers of such depositary shares owned by such holders on the relevant record date.</w:t>
      </w:r>
    </w:p>
    <w:p>
      <w:pPr>
        <w:spacing w:after="0" w:line="14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the event of a distribution other than in cash, the depositary will distribute property received by it to the record holders of depositary shares entitled thereto or the depositary may, with our approval, sell such property and distribute the net proceeds from such sale to such holders. The deposit agreement also contains provisions relating to the manner in which any subscription or similar rights offered by us to holders of preferred stock shall be made available to holders of depositary shares.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Conversion and Exchange</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preferred stock underlying the depositary shares is subject to provisions relating to its conversion or exchange as set forth in the prospectus supplement relating thereto, each record holder of depositary shares will have the right or obligation to convert or exchange such depositary shares pursuant to the terms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If preferred stock underlying the depositary shares is subject to redemption, the depositary shares will be redeemed from the proceeds received by the depositary resulting from the redemption, in whole or in part, of the preferred stock held by the depositary. The redemption price per depositary share will be equal to the aggregate redemption price payable with respect to the number of shares of preferred stock underlying the depositary shares. Whenever we redeem preferred stock from the depositary, the depositary will redeem as of the same redemption date a proportionate number of depositary shares representing the shares of preferred stock that were redeemed. If less than all the depositary shares are to be redeemed, the depositary shares to be redeemed will be selected by lot or pro rata as may be determined by us.</w:t>
      </w:r>
    </w:p>
    <w:p>
      <w:pPr>
        <w:spacing w:after="0" w:line="201"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color w:val="auto"/>
        </w:rPr>
        <w:t>After the date fixed for redemption, the depositary shares so called for redemption will no longer be deemed to be outstanding and all rights of the holders of the depositary shares will cease, except the right to receive the redemption price payable upon such redemption. Any funds deposited by us with the depositary for any depositary shares which the holders thereof fail to redeem shall be returned to us after a period of two years from the date such funds are so deposited.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Upon receipt of notice of any meeting or action in lieu of any meeting at which the holders of any shares of preferred stock underlying the depositary shares are entitled to vote, the depositary will mail the information contained in such notice to the record holders of the depositary shares relating to such preferred stock. Each record holder of such depositary shares on the record date (which will be the same date as the record date for the preferred stock) will be entitled to instruct the depositary as to the exercise of the voting rights pertaining to the number of shares of preferred stock underlying such holder’s depositary shares. The depositary will endeavor, insofar as practicable, to vote the number of shares of preferred stock underlying such depositary shares in accordance with such instructions, and we will agree to take all action which may be deemed necessary by the depositary in order to enable the depositary to do so.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Deposit Agreement</w:t>
      </w:r>
    </w:p>
    <w:p>
      <w:pPr>
        <w:spacing w:after="0" w:line="258" w:lineRule="exact"/>
        <w:rPr>
          <w:sz w:val="20"/>
          <w:szCs w:val="20"/>
          <w:color w:val="auto"/>
        </w:rPr>
      </w:pPr>
    </w:p>
    <w:p>
      <w:pPr>
        <w:jc w:val="both"/>
        <w:ind w:right="460" w:firstLine="324"/>
        <w:spacing w:after="0" w:line="306" w:lineRule="auto"/>
        <w:rPr>
          <w:sz w:val="20"/>
          <w:szCs w:val="20"/>
          <w:color w:val="auto"/>
        </w:rPr>
      </w:pPr>
      <w:r>
        <w:rPr>
          <w:rFonts w:ascii="Arial" w:cs="Arial" w:eastAsia="Arial" w:hAnsi="Arial"/>
          <w:sz w:val="16"/>
          <w:szCs w:val="16"/>
          <w:color w:val="auto"/>
        </w:rPr>
        <w:t>The form of depositary receipt evidencing the depositary shares and any provision of the deposit agreement may at any time be amended by agreement between us and the depositary, provided, however, that any amendment which materially and adversely alters the rights of the existing holders of depositary shares will not be effective unless such amendment has been approved by at least a majority of the depositary shares then outstanding.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58"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will pay all transfer and other taxes and governmental charges that arise solely from the existence of the depositary arrangements. We will pay charges of the depositary in connection with the initial deposit of the preferred stock and any exchange or redemption of the preferred stock. Holders of depositary shares will pay all other transfer and other taxes and governmental charges, and, in addition, such other charges as are expressly provided in the deposit agreement to be for their accounts.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Miscellaneous</w:t>
      </w:r>
    </w:p>
    <w:p>
      <w:pPr>
        <w:spacing w:after="0" w:line="25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We, or at our option, the depositary, will forward to the holders of depositary shares all reports and communications from us which we are required to furnish to the holders of preferred stock.</w:t>
      </w:r>
    </w:p>
    <w:p>
      <w:pPr>
        <w:spacing w:after="0" w:line="213" w:lineRule="exact"/>
        <w:rPr>
          <w:sz w:val="20"/>
          <w:szCs w:val="20"/>
          <w:color w:val="auto"/>
        </w:rPr>
      </w:pPr>
    </w:p>
    <w:p>
      <w:pPr>
        <w:ind w:firstLine="324"/>
        <w:spacing w:after="0" w:line="318" w:lineRule="auto"/>
        <w:rPr>
          <w:sz w:val="20"/>
          <w:szCs w:val="20"/>
          <w:color w:val="auto"/>
        </w:rPr>
      </w:pPr>
      <w:r>
        <w:rPr>
          <w:rFonts w:ascii="Arial" w:cs="Arial" w:eastAsia="Arial" w:hAnsi="Arial"/>
          <w:sz w:val="15"/>
          <w:szCs w:val="15"/>
          <w:color w:val="auto"/>
        </w:rPr>
        <w:t>Neither the depositary nor we will be liable if either of us is prevented or delayed by law or any circumstances beyond our control in performing our obligations under the deposit agreement. Our obligations and those of the depositary under the deposit agreement will be limited to performance in good faith of our duties thereunder and we and the depositary will not be obligated to prosecute or defend any legal proceeding in respect of any depositary share or preferred stock unless satisfactory indemnity has been furnished. We and the depositary may rely upon written advice of counsel or accountants, or information provided by persons presenting preferred stock for deposit, holders of depositary shares or other persons believed to be competent and on documents believed to be genuine.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 Termination of the Deposit Agreement</w:t>
      </w:r>
    </w:p>
    <w:p>
      <w:pPr>
        <w:spacing w:after="0" w:line="258" w:lineRule="exact"/>
        <w:rPr>
          <w:sz w:val="20"/>
          <w:szCs w:val="20"/>
          <w:color w:val="auto"/>
        </w:rPr>
      </w:pPr>
    </w:p>
    <w:p>
      <w:pPr>
        <w:ind w:right="60" w:firstLine="324"/>
        <w:spacing w:after="0" w:line="309" w:lineRule="auto"/>
        <w:rPr>
          <w:sz w:val="20"/>
          <w:szCs w:val="20"/>
          <w:color w:val="auto"/>
        </w:rPr>
      </w:pPr>
      <w:r>
        <w:rPr>
          <w:rFonts w:ascii="Arial" w:cs="Arial" w:eastAsia="Arial" w:hAnsi="Arial"/>
          <w:sz w:val="15"/>
          <w:szCs w:val="15"/>
          <w:color w:val="auto"/>
        </w:rPr>
        <w:t>The depositary may resign at any time by delivering to us notice of its election to do so, and we may at any time remove the depositary, any such resignation or removal to take effect upon the appointment of a successor depositary and its acceptance of such appointment. Such successor depositary will be appointed by us within 60 days after delivery of the notice of resignation or removal. The deposit agreement may be terminated at our direction or by the depositary if a period of 90 days shall have expired after the depositary has delivered to us written notice of its election to resign and a successor depositary shall not have been appointed. Upon termination of the deposit agreement, the depositary will discontinue the transfer of depositary receipts, will suspend the distribution of dividends to the holders thereof, and will not give any further notices (other than notice of such termination) or perform any further acts under the deposit agreement except that the depositary will continue to deliver preferred stock certificates, together with such dividends and distributions and the net proceeds of any sales of rights, preferences, privileges or other property in exchange for depositary receipts surrendered. Upon our request, the depositary shall deliver all books, records, certificates evidencing preferred stock, depositary receipts and other documents relating to the subject matter of the depositary agreement to us.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5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21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and 75 million shares of Class B Common Stock. At the close of business on December 31, 2002 there were outstanding 1.355 billion shares of Class A Common Stock, 883.3 million shares of Class A Special Common Stock and 9.4 million shares of Class B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therefore, in proportion to the number of shares held by them, respectively, without regard to class.</w:t>
      </w:r>
    </w:p>
    <w:p>
      <w:pPr>
        <w:spacing w:after="0" w:line="224"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therefore. However, stock dividends on, or stock splits of, any class of common stock will not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5" w:name="page56"/>
    <w:bookmarkEnd w:id="55"/>
    <w:p>
      <w:pPr>
        <w:ind w:right="140"/>
        <w:spacing w:after="0" w:line="332" w:lineRule="auto"/>
        <w:rPr>
          <w:sz w:val="20"/>
          <w:szCs w:val="20"/>
          <w:color w:val="auto"/>
        </w:rPr>
      </w:pPr>
      <w:r>
        <w:rPr>
          <w:rFonts w:ascii="Arial" w:cs="Arial" w:eastAsia="Arial" w:hAnsi="Arial"/>
          <w:sz w:val="16"/>
          <w:szCs w:val="16"/>
          <w:color w:val="auto"/>
        </w:rPr>
        <w:t>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intend to pay dividends on our common stock for the foreseeable future.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58" w:lineRule="exact"/>
        <w:rPr>
          <w:sz w:val="20"/>
          <w:szCs w:val="20"/>
          <w:color w:val="auto"/>
        </w:rPr>
      </w:pPr>
    </w:p>
    <w:p>
      <w:pPr>
        <w:ind w:firstLine="324"/>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be entitled to vote. When holders of our Class A Special Common Stock are entitled to vote by applicable law, each share of our Class A Special Common Stock has the same number of votes as each share of our Class A Common Stock.</w:t>
      </w:r>
    </w:p>
    <w:p>
      <w:pPr>
        <w:spacing w:after="0" w:line="143"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On all matters submitted for a vote of holders of all classes of our voting stock, holders of our Class A Common Stock in the aggregate hold 66 2/3% of the aggregate voting power of our capital stock as of completion of the Broadband acquisition.</w:t>
      </w:r>
    </w:p>
    <w:p>
      <w:pPr>
        <w:spacing w:after="0" w:line="213" w:lineRule="exact"/>
        <w:rPr>
          <w:sz w:val="20"/>
          <w:szCs w:val="20"/>
          <w:color w:val="auto"/>
        </w:rPr>
      </w:pPr>
    </w:p>
    <w:p>
      <w:pPr>
        <w:ind w:right="80" w:firstLine="324"/>
        <w:spacing w:after="0" w:line="302" w:lineRule="auto"/>
        <w:rPr>
          <w:sz w:val="20"/>
          <w:szCs w:val="20"/>
          <w:color w:val="auto"/>
        </w:rPr>
      </w:pPr>
      <w:r>
        <w:rPr>
          <w:rFonts w:ascii="Arial" w:cs="Arial" w:eastAsia="Arial" w:hAnsi="Arial"/>
          <w:sz w:val="15"/>
          <w:szCs w:val="15"/>
          <w:color w:val="auto"/>
        </w:rPr>
        <w:t>Each share of our Class A Common Stock has the number of votes equal to a quotient the numerator of which is the excess of (1) the Total Number of Votes (as defined below in this paragraph) over (2) the sum of (A) the Total Number of B Votes (as defined below in this paragraph) and (B) the Total Number of Other Votes (as defined below in this paragraph) and the denominator of which is the number of outstanding shares of our Class A Common Stock. “Total Number of Votes” on any record date is equal to a quotient the numerator of which is the Total Number of B Votes on such record date and the denominator of which is the B Voting Percentage (as defined below in this paragraph) on such record date. “Total Number of B Votes” on any record date is equal to the product of (1) 15 and</w:t>
      </w:r>
    </w:p>
    <w:p>
      <w:pPr>
        <w:spacing w:after="0" w:line="2" w:lineRule="exact"/>
        <w:rPr>
          <w:sz w:val="20"/>
          <w:szCs w:val="20"/>
          <w:color w:val="auto"/>
        </w:rPr>
      </w:pPr>
    </w:p>
    <w:p>
      <w:pPr>
        <w:ind w:right="20" w:firstLine="8"/>
        <w:spacing w:after="0" w:line="253" w:lineRule="auto"/>
        <w:tabs>
          <w:tab w:leader="none" w:pos="2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outstanding shares of our Class B Common Stock on such record date. “Total Number of Other Votes” on any record date means the aggregate number of votes to which holders of all classes of our capital stock other than holders of our Class A Common Stock and our Class B Common Stock are entitled to cast on such record date in an election of directors. “B Voting Percentage” on any record date means the portion (expressed as a percentage) of the total number of votes to which all holders of our Class B Common Stock are entitled to cast on such record date in an election of directors. Initially, the B Voting Percentage will be 33 1/3%, subject to reduction as described below.</w:t>
      </w:r>
    </w:p>
    <w:p>
      <w:pPr>
        <w:spacing w:after="0" w:line="22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If the number of shares of our Class A Common Stock or our Class B Common Stock outstanding is reduced for any reason (</w:t>
      </w:r>
      <w:r>
        <w:rPr>
          <w:rFonts w:ascii="Arial" w:cs="Arial" w:eastAsia="Arial" w:hAnsi="Arial"/>
          <w:sz w:val="16"/>
          <w:szCs w:val="16"/>
          <w:i w:val="1"/>
          <w:iCs w:val="1"/>
          <w:color w:val="auto"/>
        </w:rPr>
        <w:t>e.g.</w:t>
      </w:r>
      <w:r>
        <w:rPr>
          <w:rFonts w:ascii="Arial" w:cs="Arial" w:eastAsia="Arial" w:hAnsi="Arial"/>
          <w:sz w:val="16"/>
          <w:szCs w:val="16"/>
          <w:color w:val="auto"/>
        </w:rPr>
        <w:t>, by repurchase or, in the case of our Class B Common Stock only, conversion), the aggregate voting power of the applicable class of our capital stock will be proportionately reduced. If additional shares of our Class A Common Stock or our Class B Common Stock are issued, the relative aggregate voting power of the two classes of our common stock will change (based on the principle that each share of our Class B Common Stock will be entitled to 15 times the vote of each share of our Class A Common Stock) to the extent such issuance is disproportionate as between the relative number of shares of the two classes outstanding prior to the issuance, but the combined aggregate voting power of the two classes of stock will remain constant at approximately 38 47/100% (except to the extent there has been a reduction in the aggregate voting power of either class of stock as described in the preceding sentence).</w:t>
      </w:r>
    </w:p>
    <w:p>
      <w:pPr>
        <w:spacing w:after="0" w:line="199"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Subject to the next sentence, on all matters submitted for a vote of holders of one or more classes of our voting stock, holders of our Class B Common Stock in the aggregate will hold 33 1/3% of the aggregate voting power of our capital stock, regardless of the number of shares of our Class A Common Stock or any other class of our capital stock outstanding at any time. If the number of shares of our Class B Common Stock outstanding is reduced for any reason (e.g., by repurchase or conversion), the aggregate voting power of our Class B Common Stock will be proportionately reduced.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share of our Class B Common Stock has 15 votes.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Approval Rights</w:t>
      </w:r>
    </w:p>
    <w:p>
      <w:pPr>
        <w:spacing w:after="0" w:line="258" w:lineRule="exact"/>
        <w:rPr>
          <w:sz w:val="20"/>
          <w:szCs w:val="20"/>
          <w:color w:val="auto"/>
        </w:rPr>
      </w:pPr>
    </w:p>
    <w:p>
      <w:pPr>
        <w:ind w:right="500" w:firstLine="324"/>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w:t>
      </w:r>
    </w:p>
    <w:p>
      <w:pPr>
        <w:spacing w:after="0" w:line="213"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2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Brian L. Roberts, our President and CEO, through his control of BRCC Holdings LLC and certain trusts, which own all outstanding shares of our Class B Common Stock, holds a nondilutable 33 1/3% of the combined voting power of our stock and also has separate approval rights over certain material transactions involving us, as described above under “—Approval Rights.” The Class B Common Stock is convertible on a share-for-share basis into Class A Common Stock or Class A Special Common Stock. As of December 31, 2002, if BRCC Holdings LLC, the trusts and Mr. Roberts were to convert the Class B Common Stock which they are deemed to beneficially own into Class A Common Stock, Mr. Roberts would beneficially own 9,445,731 shares of Class A Common Stock, which is approximately 0.7% of the Class A Common Stock that would be outstanding after the conversion.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258"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258"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58" w:lineRule="exact"/>
        <w:rPr>
          <w:sz w:val="20"/>
          <w:szCs w:val="20"/>
          <w:color w:val="auto"/>
        </w:rPr>
      </w:pPr>
    </w:p>
    <w:p>
      <w:pPr>
        <w:ind w:right="540" w:firstLine="324"/>
        <w:spacing w:after="0" w:line="268"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ind w:right="200"/>
        <w:spacing w:after="0" w:line="306" w:lineRule="auto"/>
        <w:rPr>
          <w:sz w:val="20"/>
          <w:szCs w:val="20"/>
          <w:color w:val="auto"/>
        </w:rPr>
      </w:pPr>
      <w:r>
        <w:rPr>
          <w:rFonts w:ascii="Arial" w:cs="Arial" w:eastAsia="Arial" w:hAnsi="Arial"/>
          <w:sz w:val="16"/>
          <w:szCs w:val="16"/>
          <w:color w:val="auto"/>
        </w:rPr>
        <w:t>and Class B Common Stock presently outstanding are, and all shares of the Class A Common Stock and Class A Special 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88"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The transfer agent and registrar for our Class A Special Common Stock and Class A Common Stock is Equiserve, 525 Washington Blvd., Jersey City, New Jersey 07310. Their telephone number is (888) 883-8903.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SHAREHOLDER RIGHTS PLAN</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which we entered into in connection with the completion of the Broadband acquisition is qualified by reference to the terms of the rights agreement, which is included as an exhibit to the registration statement of which this prospectus is a part.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The Rights. </w:t>
      </w:r>
      <w:r>
        <w:rPr>
          <w:rFonts w:ascii="Arial" w:cs="Arial" w:eastAsia="Arial" w:hAnsi="Arial"/>
          <w:sz w:val="16"/>
          <w:szCs w:val="16"/>
          <w:color w:val="auto"/>
        </w:rPr>
        <w:t>Pursuant to the rights agreement, our board declared on November 18, 2002 a dividend of one preferred stock purchase right (the “Rights”) for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each outstanding share of our Class A Common Stock, Class A Special Common Stock, and Class B Common Stock payable to holders of record on</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25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20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224"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under “—‘Flip In’ Feature” or “—‘Flip Over’ Feature,” each Right will be exercisable to purchase for $125 one one-thousandth of a share of our Series A Participating Cumulative Preferred Stock.</w:t>
      </w:r>
    </w:p>
    <w:p>
      <w:pPr>
        <w:spacing w:after="0" w:line="221" w:lineRule="exact"/>
        <w:rPr>
          <w:sz w:val="20"/>
          <w:szCs w:val="20"/>
          <w:color w:val="auto"/>
        </w:rPr>
      </w:pPr>
    </w:p>
    <w:p>
      <w:pPr>
        <w:ind w:right="320" w:firstLine="324"/>
        <w:spacing w:after="0" w:line="332" w:lineRule="auto"/>
        <w:rPr>
          <w:sz w:val="20"/>
          <w:szCs w:val="20"/>
          <w:color w:val="auto"/>
        </w:rPr>
      </w:pPr>
      <w:r>
        <w:rPr>
          <w:rFonts w:ascii="Arial" w:cs="Arial" w:eastAsia="Arial" w:hAnsi="Arial"/>
          <w:sz w:val="16"/>
          <w:szCs w:val="16"/>
          <w:b w:val="1"/>
          <w:bCs w:val="1"/>
          <w:i w:val="1"/>
          <w:iCs w:val="1"/>
          <w:color w:val="auto"/>
        </w:rPr>
        <w:t xml:space="preserve">“Flip In” Feature. </w:t>
      </w:r>
      <w:r>
        <w:rPr>
          <w:rFonts w:ascii="Arial" w:cs="Arial" w:eastAsia="Arial" w:hAnsi="Arial"/>
          <w:sz w:val="16"/>
          <w:szCs w:val="16"/>
          <w:color w:val="auto"/>
        </w:rPr>
        <w:t>If any person becomes an Acquiring Person, each holder of a Right, except for the Acquiring Person or certain affiliated persons,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the right to acquire, instead of one one-thousandth of a share of our Series A Participating Cumulative Preferred Stock, a number of shares of our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2" w:right="239" w:bottom="1440" w:gutter="0" w:footer="0" w:header="0"/>
        </w:sectPr>
      </w:pPr>
    </w:p>
    <w:bookmarkStart w:id="58" w:name="page59"/>
    <w:bookmarkEnd w:id="58"/>
    <w:p>
      <w:pPr>
        <w:jc w:val="both"/>
        <w:ind w:right="40"/>
        <w:spacing w:after="0" w:line="335" w:lineRule="auto"/>
        <w:rPr>
          <w:sz w:val="20"/>
          <w:szCs w:val="20"/>
          <w:color w:val="auto"/>
        </w:rPr>
      </w:pPr>
      <w:r>
        <w:rPr>
          <w:rFonts w:ascii="Arial" w:cs="Arial" w:eastAsia="Arial" w:hAnsi="Arial"/>
          <w:sz w:val="15"/>
          <w:szCs w:val="15"/>
          <w:color w:val="auto"/>
        </w:rPr>
        <w:t>Class A common stock, in each case having a market value equal to twice the exercise price of the Right. For example, if an initial purchase price of $125 were in effect on the date that the flip in feature of the Rights were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69" w:lineRule="exact"/>
        <w:rPr>
          <w:sz w:val="20"/>
          <w:szCs w:val="20"/>
          <w:color w:val="auto"/>
        </w:rPr>
      </w:pPr>
    </w:p>
    <w:p>
      <w:pPr>
        <w:ind w:right="100" w:firstLine="324"/>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9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224"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221" w:lineRule="exact"/>
        <w:rPr>
          <w:sz w:val="20"/>
          <w:szCs w:val="20"/>
          <w:color w:val="auto"/>
        </w:rPr>
      </w:pPr>
    </w:p>
    <w:p>
      <w:pPr>
        <w:ind w:right="180" w:firstLine="324"/>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252" w:lineRule="exact"/>
        <w:rPr>
          <w:sz w:val="20"/>
          <w:szCs w:val="20"/>
          <w:color w:val="auto"/>
        </w:rPr>
      </w:pPr>
    </w:p>
    <w:p>
      <w:pPr>
        <w:ind w:right="100" w:firstLine="324"/>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8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will not be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21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A Participating Cumulative Preferred Stock. We will design the dividend, liquidation, voting and redemption features of our Series A Participating Cumulative Preferred Stock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The Cross Guarantees</w:t>
      </w:r>
    </w:p>
    <w:p>
      <w:pPr>
        <w:spacing w:after="0" w:line="258"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To simplify our capital structure, effective with the acquisition of Broadband, we, Comcast Cable, Comcast Cable Communications Holdings, Comcast Cable Holdings and Comcast MO Group each fully and unconditionally guaranteed each other’s debt securities and other indebtedness for borrowed money. In March 2003, we obtained the consent of holders of $1.7 billion of the outstanding debt securities of Comcast MO of Delaware to an amendment of their debt securities which allowed Comcast MO of Delaware to become a guarantor and have its debt securities guaranteed. At the time the amendment became effective, we and the other cable guarantors fully and unconditionally guaranteed these debt securities of Comcast MO of Delaware, and Comcast MO of Delaware fully and unconditionally guaranteed our debt securities and the debt securities of the other cable guarantors, including the $3.0 billion of debt securities we have issued this year and amounts outstanding under the new credit facilities incurred in connection with the Broadband acquisition.</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is not a guarantor, and none of its debt securities are guaranteed.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as of December 31, 2002 for each of Comcast, Comcast Cable, Comcast Cable Communications Holdings, Comcast Cable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Holdings, Comcast MO Group and Comcast MO of Delaware, their pro forma payment obligations for principal, excluding obligations of their subsidiaries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excluding interest but including principal accreted under discount obligations, under debt securities and other indebtedness for borrowed money that is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cross guarantees. For purposes of the table, amounts set forth opposite “guaranteed debt securities” only include amounts with respect to the person who is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primary obligor and not with respect to amounts for which that person may be secondarily liable as guarantor. The table presents for us the pro forma effect of our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issuance of $3 billion of debt securities this year (consisting of $600 million aggregate principal amount of our 5.85% Notes due 2010 and $900 million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our 6.05% Notes due 2015 issued on January 10, 2003, and $750 million aggregate principal amount of our 5.50% Notes due 2008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 million aggregate principal amount of our 7.05% Notes due 2033 issued on March 14, 2003), and payment of $3 billion of net proceeds from the issuance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sale of these notes, to reduce our borrowings under the new credit facilities incurred in connection with the Broadband acquisition.</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Payment</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74"/>
        </w:trPr>
        <w:tc>
          <w:tcPr>
            <w:tcW w:w="4160" w:type="dxa"/>
            <w:vAlign w:val="bottom"/>
          </w:tcPr>
          <w:p>
            <w:pPr>
              <w:ind w:left="1600"/>
              <w:spacing w:after="0"/>
              <w:rPr>
                <w:sz w:val="20"/>
                <w:szCs w:val="20"/>
                <w:color w:val="auto"/>
              </w:rPr>
            </w:pPr>
            <w:r>
              <w:rPr>
                <w:rFonts w:ascii="Arial" w:cs="Arial" w:eastAsia="Arial" w:hAnsi="Arial"/>
                <w:sz w:val="14"/>
                <w:szCs w:val="14"/>
                <w:b w:val="1"/>
                <w:bCs w:val="1"/>
                <w:color w:val="auto"/>
              </w:rPr>
              <w:t>Guaranteed debt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ind w:right="137"/>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Year 1</w:t>
            </w:r>
          </w:p>
        </w:tc>
        <w:tc>
          <w:tcPr>
            <w:tcW w:w="260" w:type="dxa"/>
            <w:vAlign w:val="bottom"/>
          </w:tcPr>
          <w:p>
            <w:pPr>
              <w:spacing w:after="0"/>
              <w:rPr>
                <w:sz w:val="15"/>
                <w:szCs w:val="15"/>
                <w:color w:val="auto"/>
              </w:rPr>
            </w:pPr>
          </w:p>
        </w:tc>
        <w:tc>
          <w:tcPr>
            <w:tcW w:w="1440" w:type="dxa"/>
            <w:vAlign w:val="bottom"/>
            <w:gridSpan w:val="4"/>
          </w:tcPr>
          <w:p>
            <w:pPr>
              <w:ind w:left="320"/>
              <w:spacing w:after="0"/>
              <w:rPr>
                <w:sz w:val="20"/>
                <w:szCs w:val="20"/>
                <w:color w:val="auto"/>
              </w:rPr>
            </w:pPr>
            <w:r>
              <w:rPr>
                <w:rFonts w:ascii="Arial" w:cs="Arial" w:eastAsia="Arial" w:hAnsi="Arial"/>
                <w:sz w:val="14"/>
                <w:szCs w:val="14"/>
                <w:b w:val="1"/>
                <w:bCs w:val="1"/>
                <w:color w:val="auto"/>
              </w:rPr>
              <w:t>Years 2-3</w:t>
            </w: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Years 4-5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95"/>
        </w:trPr>
        <w:tc>
          <w:tcPr>
            <w:tcW w:w="4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gridSpan w:val="5"/>
          </w:tcPr>
          <w:p>
            <w:pPr>
              <w:ind w:left="200"/>
              <w:spacing w:after="0"/>
              <w:rPr>
                <w:sz w:val="20"/>
                <w:szCs w:val="20"/>
                <w:color w:val="auto"/>
              </w:rPr>
            </w:pPr>
            <w:r>
              <w:rPr>
                <w:rFonts w:ascii="Arial" w:cs="Arial" w:eastAsia="Arial" w:hAnsi="Arial"/>
                <w:sz w:val="14"/>
                <w:szCs w:val="14"/>
                <w:b w:val="1"/>
                <w:bCs w:val="1"/>
                <w:color w:val="auto"/>
                <w:w w:val="96"/>
              </w:rPr>
              <w:t>(In millions, unaudited)</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Comcast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3,680.0</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680.0</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3,000.0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Comcast Cable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7,897.3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1,810.3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1,488.4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4,598.6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Comcast Cable Communications Holdings</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6,755.1</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2,500.0</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9"/>
              </w:rPr>
              <w:t>3,505.1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Comcast Cable Holdings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6,208.2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1,464.2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1,131.4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419.2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9"/>
              </w:rPr>
              <w:t>3,193.4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Comcast MO Group</w:t>
            </w: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292.9</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30.6</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199.3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Comcast MO of Delaware</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1,914.0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301.2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654.1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958.7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8"/>
              </w:rPr>
              <w:t>26,747.5</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2,215.5</w:t>
            </w:r>
          </w:p>
        </w:tc>
        <w:tc>
          <w:tcPr>
            <w:tcW w:w="2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6,453.5</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2,623.4</w:t>
            </w:r>
          </w:p>
        </w:tc>
        <w:tc>
          <w:tcPr>
            <w:tcW w:w="2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5"/>
              </w:rPr>
              <w:t>15,455.1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sell the securities being offered hereby in four ways:</w:t>
      </w:r>
    </w:p>
    <w:p>
      <w:pPr>
        <w:spacing w:after="0" w:line="225" w:lineRule="exact"/>
        <w:rPr>
          <w:sz w:val="20"/>
          <w:szCs w:val="20"/>
          <w:color w:val="auto"/>
        </w:rPr>
      </w:pPr>
    </w:p>
    <w:p>
      <w:pPr>
        <w:ind w:left="820" w:hanging="461"/>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7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may directly solicit offers to purchase securities, or we may designate agents to solicit such offers. We will, in the prospectus supplement relating to such offering, name any agent that could be viewed as an underwriter under the Securities Act of 1933 and describe any commissions we or our trust subsidiaries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our agreement with them.</w:t>
      </w:r>
    </w:p>
    <w:p>
      <w:pPr>
        <w:spacing w:after="0" w:line="221" w:lineRule="exact"/>
        <w:rPr>
          <w:sz w:val="20"/>
          <w:szCs w:val="20"/>
          <w:color w:val="auto"/>
        </w:rPr>
      </w:pPr>
    </w:p>
    <w:p>
      <w:pPr>
        <w:ind w:right="240" w:firstLine="324"/>
        <w:spacing w:after="0" w:line="268" w:lineRule="auto"/>
        <w:rPr>
          <w:sz w:val="20"/>
          <w:szCs w:val="20"/>
          <w:color w:val="auto"/>
        </w:rPr>
      </w:pPr>
      <w:r>
        <w:rPr>
          <w:rFonts w:ascii="Arial" w:cs="Arial" w:eastAsia="Arial" w:hAnsi="Arial"/>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213"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of 1933, and may be customers of, engage in transactions with or perform services for us in the ordinary course of business.</w:t>
      </w:r>
    </w:p>
    <w:p>
      <w:pPr>
        <w:spacing w:after="0" w:line="22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9"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58"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will represent the underwriters.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financial statements and the related financial statement schedule incorporated in this prospectus by reference from Comcast’s Annual Report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 10-K for the year ended December 31, 2002, have been audited by Deloitte &amp; Touche LLP, independent auditors, as stated in their reports (which report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expresses an unqualified opinion and includes an explanatory paragraph related to the adoption of Statement of Financial Accounting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Standards No. 133, “Accounting for Derivative Instruments and Hedging Activities,” as amended, effective January 1, 2001 and Statement of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Standards No. 142, “Goodwill and Other Intangible Assets”, effective January 1, 2002), which are incorporated herein by reference, and have been 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incorporated in reliance upon the reports of such firm given upon their authority as experts in accounting and auditing.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AT&amp;T Broadband Group</w:t>
      </w:r>
    </w:p>
    <w:p>
      <w:pPr>
        <w:spacing w:after="0" w:line="258" w:lineRule="exact"/>
        <w:rPr>
          <w:sz w:val="20"/>
          <w:szCs w:val="20"/>
          <w:color w:val="auto"/>
        </w:rPr>
      </w:pPr>
    </w:p>
    <w:p>
      <w:pPr>
        <w:ind w:right="200" w:firstLine="324"/>
        <w:spacing w:after="0" w:line="306" w:lineRule="auto"/>
        <w:rPr>
          <w:sz w:val="20"/>
          <w:szCs w:val="20"/>
          <w:color w:val="auto"/>
        </w:rPr>
      </w:pPr>
      <w:r>
        <w:rPr>
          <w:rFonts w:ascii="Arial" w:cs="Arial" w:eastAsia="Arial" w:hAnsi="Arial"/>
          <w:sz w:val="16"/>
          <w:szCs w:val="16"/>
          <w:color w:val="auto"/>
        </w:rPr>
        <w:t>The audited historical combined financial statements of AT&amp;T Broadband Group incorporated in this prospectus by reference to Comcast’s Current Report on Form 8-K/A dated November 18, 2002 filed on December 16, 2002, have been so incorporated in reliance on the report of PricewaterhouseCoopers LLP, independent accountants, given on the authority of said firm as experts in accounting and auditing.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In particular, the registration statement includes as exhibits forms of our underwriting agreements, copies of our senior indenture and subordinated indenture, forms of our senior debt security and subordinated debt security, a form of preferred security, a form of unit agreement, a form of purchase contract agreement, a form of pledge agreement, a form of warrant agreement for warrants sold separately, a form of warrant for warrants sold separately, a form of warrant agreement for warrants sold attached to securities, a form of warrant for warrants sold attached to securities, a form of deposit agreement and a form of depositary share.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9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Comcast Cable Communications Holdings, Comcast Cable, Comcast Cable Holdings, Comcast MO Group and Comcast MO of Delaware do not currently file information with the SEC. We file annual, quarterly and special reports and other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450 Fifth Street, N.W.,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20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You should rely only on the information contained in this prospectus, in the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the prospectus supplement and our filings with the SEC is accurate only as of its date, regardless of the time of delivery of this prospectus and the prospectus supplement or of any sale of the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58" w:lineRule="exact"/>
        <w:rPr>
          <w:sz w:val="20"/>
          <w:szCs w:val="20"/>
          <w:color w:val="auto"/>
        </w:rPr>
      </w:pPr>
    </w:p>
    <w:p>
      <w:pPr>
        <w:ind w:right="160" w:firstLine="324"/>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SEC Filings (File No. 000-50093)</w:t>
      </w:r>
    </w:p>
    <w:p>
      <w:pPr>
        <w:spacing w:after="0" w:line="225" w:lineRule="exact"/>
        <w:rPr>
          <w:sz w:val="20"/>
          <w:szCs w:val="20"/>
          <w:color w:val="auto"/>
        </w:rPr>
      </w:pPr>
    </w:p>
    <w:p>
      <w:pPr>
        <w:ind w:left="820" w:hanging="461"/>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2002, filed on March 20, 2003.</w:t>
      </w:r>
    </w:p>
    <w:p>
      <w:pPr>
        <w:spacing w:after="0" w:line="279" w:lineRule="exact"/>
        <w:rPr>
          <w:rFonts w:ascii="Arial" w:cs="Arial" w:eastAsia="Arial" w:hAnsi="Arial"/>
          <w:sz w:val="18"/>
          <w:szCs w:val="18"/>
          <w:color w:val="auto"/>
        </w:rPr>
      </w:pPr>
    </w:p>
    <w:p>
      <w:pPr>
        <w:ind w:left="820" w:hanging="461"/>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Current Reports on Form 8-K, filed on January 10, 2003, February 5, 2003 and March 6, 2003.</w:t>
      </w:r>
    </w:p>
    <w:p>
      <w:pPr>
        <w:spacing w:after="0" w:line="279" w:lineRule="exact"/>
        <w:rPr>
          <w:rFonts w:ascii="Arial" w:cs="Arial" w:eastAsia="Arial" w:hAnsi="Arial"/>
          <w:sz w:val="18"/>
          <w:szCs w:val="18"/>
          <w:color w:val="auto"/>
        </w:rPr>
      </w:pPr>
    </w:p>
    <w:p>
      <w:pPr>
        <w:ind w:left="820" w:right="40" w:hanging="461"/>
        <w:spacing w:after="0" w:line="268" w:lineRule="auto"/>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212" w:lineRule="exact"/>
        <w:rPr>
          <w:rFonts w:ascii="Arial" w:cs="Arial" w:eastAsia="Arial" w:hAnsi="Arial"/>
          <w:sz w:val="18"/>
          <w:szCs w:val="18"/>
          <w:color w:val="auto"/>
        </w:rPr>
      </w:pPr>
    </w:p>
    <w:p>
      <w:pPr>
        <w:ind w:left="820" w:hanging="461"/>
        <w:spacing w:after="0"/>
        <w:tabs>
          <w:tab w:leader="none" w:pos="8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Exhibits 99.6 and 99.7 to the Current Report on Form 8-K/ A dated November 18, 2002 filed on December 16, 2002.</w:t>
      </w:r>
    </w:p>
    <w:p>
      <w:pPr>
        <w:spacing w:after="0" w:line="279"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Securities Exchange Act of 1934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94" w:lineRule="exact"/>
        <w:rPr>
          <w:sz w:val="20"/>
          <w:szCs w:val="20"/>
          <w:color w:val="auto"/>
        </w:rPr>
      </w:pPr>
    </w:p>
    <w:p>
      <w:pPr>
        <w:ind w:right="660" w:firstLine="324"/>
        <w:spacing w:after="0" w:line="268" w:lineRule="auto"/>
        <w:rPr>
          <w:sz w:val="20"/>
          <w:szCs w:val="20"/>
          <w:color w:val="auto"/>
        </w:rPr>
      </w:pPr>
      <w:r>
        <w:rPr>
          <w:rFonts w:ascii="Arial" w:cs="Arial" w:eastAsia="Arial" w:hAnsi="Arial"/>
          <w:sz w:val="18"/>
          <w:szCs w:val="18"/>
          <w:color w:val="auto"/>
        </w:rPr>
        <w:t>We will provide free copies of any of those documents, if you write or telephone us at: 1500 Market Street, Philadelphia, Pennsylvania 19102-2148, (215) 665-1700.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6376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680720</wp:posOffset>
            </wp:positionV>
            <wp:extent cx="72637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3064510</wp:posOffset>
            </wp:positionH>
            <wp:positionV relativeFrom="page">
              <wp:posOffset>826770</wp:posOffset>
            </wp:positionV>
            <wp:extent cx="1440815" cy="3689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440815" cy="36893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$1,000,000,000 5.30% Notes due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2097405</wp:posOffset>
            </wp:positionH>
            <wp:positionV relativeFrom="paragraph">
              <wp:posOffset>160020</wp:posOffset>
            </wp:positionV>
            <wp:extent cx="30613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180" w:type="dxa"/>
            <w:vAlign w:val="bottom"/>
            <w:gridSpan w:val="2"/>
          </w:tcPr>
          <w:p>
            <w:pPr>
              <w:jc w:val="center"/>
              <w:ind w:right="620"/>
              <w:spacing w:after="0"/>
              <w:rPr>
                <w:sz w:val="20"/>
                <w:szCs w:val="20"/>
                <w:color w:val="auto"/>
              </w:rPr>
            </w:pPr>
            <w:r>
              <w:rPr>
                <w:rFonts w:ascii="Arial" w:cs="Arial" w:eastAsia="Arial" w:hAnsi="Arial"/>
                <w:sz w:val="18"/>
                <w:szCs w:val="18"/>
                <w:b w:val="1"/>
                <w:bCs w:val="1"/>
                <w:color w:val="auto"/>
                <w:w w:val="95"/>
              </w:rPr>
              <w:t>PROSPECTUS SUPPLEMENT</w:t>
            </w:r>
          </w:p>
        </w:tc>
        <w:tc>
          <w:tcPr>
            <w:tcW w:w="3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10"/>
        </w:trPr>
        <w:tc>
          <w:tcPr>
            <w:tcW w:w="3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3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424"/>
        </w:trPr>
        <w:tc>
          <w:tcPr>
            <w:tcW w:w="3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80" w:type="dxa"/>
            <w:vAlign w:val="bottom"/>
            <w:gridSpan w:val="2"/>
          </w:tcPr>
          <w:p>
            <w:pPr>
              <w:jc w:val="center"/>
              <w:ind w:right="620"/>
              <w:spacing w:after="0"/>
              <w:rPr>
                <w:sz w:val="20"/>
                <w:szCs w:val="20"/>
                <w:color w:val="auto"/>
              </w:rPr>
            </w:pPr>
            <w:r>
              <w:rPr>
                <w:rFonts w:ascii="Arial" w:cs="Arial" w:eastAsia="Arial" w:hAnsi="Arial"/>
                <w:sz w:val="18"/>
                <w:szCs w:val="18"/>
                <w:i w:val="1"/>
                <w:iCs w:val="1"/>
                <w:color w:val="auto"/>
                <w:w w:val="89"/>
              </w:rPr>
              <w:t>Joint Book-Running Managers</w:t>
            </w: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3940" w:type="dxa"/>
            <w:vAlign w:val="bottom"/>
            <w:gridSpan w:val="2"/>
          </w:tcPr>
          <w:p>
            <w:pPr>
              <w:spacing w:after="0"/>
              <w:rPr>
                <w:sz w:val="24"/>
                <w:szCs w:val="24"/>
                <w:color w:val="auto"/>
              </w:rPr>
            </w:pPr>
          </w:p>
        </w:tc>
        <w:tc>
          <w:tcPr>
            <w:tcW w:w="3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940" w:type="dxa"/>
            <w:vAlign w:val="bottom"/>
            <w:gridSpan w:val="2"/>
            <w:shd w:val="clear" w:color="auto" w:fill="EEEEEE"/>
          </w:tcPr>
          <w:p>
            <w:pPr>
              <w:ind w:left="780"/>
              <w:spacing w:after="0"/>
              <w:rPr>
                <w:sz w:val="20"/>
                <w:szCs w:val="20"/>
                <w:color w:val="auto"/>
              </w:rPr>
            </w:pPr>
            <w:r>
              <w:rPr>
                <w:rFonts w:ascii="Arial" w:cs="Arial" w:eastAsia="Arial" w:hAnsi="Arial"/>
                <w:sz w:val="18"/>
                <w:szCs w:val="18"/>
                <w:b w:val="1"/>
                <w:bCs w:val="1"/>
                <w:color w:val="auto"/>
              </w:rPr>
              <w:t>Banc of America Securities LLC</w:t>
            </w:r>
          </w:p>
        </w:tc>
        <w:tc>
          <w:tcPr>
            <w:tcW w:w="4180" w:type="dxa"/>
            <w:vAlign w:val="bottom"/>
            <w:gridSpan w:val="2"/>
            <w:shd w:val="clear" w:color="auto" w:fill="EEEEEE"/>
          </w:tcPr>
          <w:p>
            <w:pPr>
              <w:ind w:left="1440"/>
              <w:spacing w:after="0"/>
              <w:rPr>
                <w:sz w:val="20"/>
                <w:szCs w:val="20"/>
                <w:color w:val="auto"/>
              </w:rPr>
            </w:pPr>
            <w:r>
              <w:rPr>
                <w:rFonts w:ascii="Arial" w:cs="Arial" w:eastAsia="Arial" w:hAnsi="Arial"/>
                <w:sz w:val="18"/>
                <w:szCs w:val="18"/>
                <w:b w:val="1"/>
                <w:bCs w:val="1"/>
                <w:color w:val="auto"/>
              </w:rPr>
              <w:t>Barclays Capital</w:t>
            </w:r>
          </w:p>
        </w:tc>
        <w:tc>
          <w:tcPr>
            <w:tcW w:w="3300" w:type="dxa"/>
            <w:vAlign w:val="bottom"/>
            <w:shd w:val="clear" w:color="auto" w:fill="EEEEEE"/>
          </w:tcPr>
          <w:p>
            <w:pPr>
              <w:ind w:left="640"/>
              <w:spacing w:after="0"/>
              <w:rPr>
                <w:sz w:val="20"/>
                <w:szCs w:val="20"/>
                <w:color w:val="auto"/>
              </w:rPr>
            </w:pPr>
            <w:r>
              <w:rPr>
                <w:rFonts w:ascii="Arial" w:cs="Arial" w:eastAsia="Arial" w:hAnsi="Arial"/>
                <w:sz w:val="18"/>
                <w:szCs w:val="18"/>
                <w:b w:val="1"/>
                <w:bCs w:val="1"/>
                <w:color w:val="auto"/>
              </w:rPr>
              <w:t>Deutsche Bank Securities</w:t>
            </w:r>
          </w:p>
        </w:tc>
        <w:tc>
          <w:tcPr>
            <w:tcW w:w="20" w:type="dxa"/>
            <w:vAlign w:val="bottom"/>
          </w:tcPr>
          <w:p>
            <w:pPr>
              <w:spacing w:after="0"/>
              <w:rPr>
                <w:sz w:val="18"/>
                <w:szCs w:val="18"/>
                <w:color w:val="auto"/>
              </w:rPr>
            </w:pPr>
          </w:p>
        </w:tc>
      </w:tr>
      <w:tr>
        <w:trPr>
          <w:trHeight w:val="216"/>
        </w:trPr>
        <w:tc>
          <w:tcPr>
            <w:tcW w:w="3940" w:type="dxa"/>
            <w:vAlign w:val="bottom"/>
            <w:gridSpan w:val="2"/>
          </w:tcPr>
          <w:p>
            <w:pPr>
              <w:spacing w:after="0"/>
              <w:rPr>
                <w:sz w:val="18"/>
                <w:szCs w:val="18"/>
                <w:color w:val="auto"/>
              </w:rPr>
            </w:pPr>
          </w:p>
        </w:tc>
        <w:tc>
          <w:tcPr>
            <w:tcW w:w="3540" w:type="dxa"/>
            <w:vAlign w:val="bottom"/>
            <w:tcBorders>
              <w:bottom w:val="single" w:sz="8" w:color="808080"/>
            </w:tcBorders>
          </w:tcPr>
          <w:p>
            <w:pPr>
              <w:spacing w:after="0"/>
              <w:rPr>
                <w:sz w:val="18"/>
                <w:szCs w:val="18"/>
                <w:color w:val="auto"/>
              </w:rPr>
            </w:pPr>
          </w:p>
        </w:tc>
        <w:tc>
          <w:tcPr>
            <w:tcW w:w="6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32"/>
        </w:trPr>
        <w:tc>
          <w:tcPr>
            <w:tcW w:w="3940" w:type="dxa"/>
            <w:vAlign w:val="bottom"/>
            <w:gridSpan w:val="2"/>
          </w:tcPr>
          <w:p>
            <w:pPr>
              <w:jc w:val="center"/>
              <w:ind w:left="232"/>
              <w:spacing w:after="0"/>
              <w:rPr>
                <w:sz w:val="20"/>
                <w:szCs w:val="20"/>
                <w:color w:val="auto"/>
              </w:rPr>
            </w:pPr>
            <w:r>
              <w:rPr>
                <w:rFonts w:ascii="Arial" w:cs="Arial" w:eastAsia="Arial" w:hAnsi="Arial"/>
                <w:sz w:val="18"/>
                <w:szCs w:val="18"/>
                <w:b w:val="1"/>
                <w:bCs w:val="1"/>
                <w:color w:val="auto"/>
                <w:w w:val="90"/>
              </w:rPr>
              <w:t>Banc One Capital Markets Inc.</w:t>
            </w:r>
          </w:p>
        </w:tc>
        <w:tc>
          <w:tcPr>
            <w:tcW w:w="4180" w:type="dxa"/>
            <w:vAlign w:val="bottom"/>
            <w:gridSpan w:val="2"/>
          </w:tcPr>
          <w:p>
            <w:pPr>
              <w:ind w:left="1580"/>
              <w:spacing w:after="0"/>
              <w:rPr>
                <w:sz w:val="20"/>
                <w:szCs w:val="20"/>
                <w:color w:val="auto"/>
              </w:rPr>
            </w:pPr>
            <w:r>
              <w:rPr>
                <w:rFonts w:ascii="Arial" w:cs="Arial" w:eastAsia="Arial" w:hAnsi="Arial"/>
                <w:sz w:val="18"/>
                <w:szCs w:val="18"/>
                <w:b w:val="1"/>
                <w:bCs w:val="1"/>
                <w:color w:val="auto"/>
              </w:rPr>
              <w:t>Citigroup</w:t>
            </w:r>
          </w:p>
        </w:tc>
        <w:tc>
          <w:tcPr>
            <w:tcW w:w="3300" w:type="dxa"/>
            <w:vAlign w:val="bottom"/>
          </w:tcPr>
          <w:p>
            <w:pPr>
              <w:ind w:left="360"/>
              <w:spacing w:after="0"/>
              <w:rPr>
                <w:sz w:val="20"/>
                <w:szCs w:val="20"/>
                <w:color w:val="auto"/>
              </w:rPr>
            </w:pPr>
            <w:r>
              <w:rPr>
                <w:rFonts w:ascii="Arial" w:cs="Arial" w:eastAsia="Arial" w:hAnsi="Arial"/>
                <w:sz w:val="18"/>
                <w:szCs w:val="18"/>
                <w:b w:val="1"/>
                <w:bCs w:val="1"/>
                <w:color w:val="auto"/>
              </w:rPr>
              <w:t>Credit Suisse First Boston</w:t>
            </w:r>
          </w:p>
        </w:tc>
        <w:tc>
          <w:tcPr>
            <w:tcW w:w="20" w:type="dxa"/>
            <w:vAlign w:val="bottom"/>
          </w:tcPr>
          <w:p>
            <w:pPr>
              <w:spacing w:after="0"/>
              <w:rPr>
                <w:sz w:val="24"/>
                <w:szCs w:val="24"/>
                <w:color w:val="auto"/>
              </w:rPr>
            </w:pPr>
          </w:p>
        </w:tc>
      </w:tr>
      <w:tr>
        <w:trPr>
          <w:trHeight w:val="432"/>
        </w:trPr>
        <w:tc>
          <w:tcPr>
            <w:tcW w:w="3940" w:type="dxa"/>
            <w:vAlign w:val="bottom"/>
            <w:gridSpan w:val="2"/>
          </w:tcPr>
          <w:p>
            <w:pPr>
              <w:jc w:val="center"/>
              <w:ind w:left="232"/>
              <w:spacing w:after="0"/>
              <w:rPr>
                <w:sz w:val="20"/>
                <w:szCs w:val="20"/>
                <w:color w:val="auto"/>
              </w:rPr>
            </w:pPr>
            <w:r>
              <w:rPr>
                <w:rFonts w:ascii="Arial" w:cs="Arial" w:eastAsia="Arial" w:hAnsi="Arial"/>
                <w:sz w:val="18"/>
                <w:szCs w:val="18"/>
                <w:b w:val="1"/>
                <w:bCs w:val="1"/>
                <w:color w:val="auto"/>
                <w:w w:val="88"/>
              </w:rPr>
              <w:t>Dresdner Kleinwort Wasserstein</w:t>
            </w:r>
          </w:p>
        </w:tc>
        <w:tc>
          <w:tcPr>
            <w:tcW w:w="3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00" w:type="dxa"/>
            <w:vAlign w:val="bottom"/>
          </w:tcPr>
          <w:p>
            <w:pPr>
              <w:ind w:left="1400"/>
              <w:spacing w:after="0"/>
              <w:rPr>
                <w:sz w:val="20"/>
                <w:szCs w:val="20"/>
                <w:color w:val="auto"/>
              </w:rPr>
            </w:pPr>
            <w:r>
              <w:rPr>
                <w:rFonts w:ascii="Arial" w:cs="Arial" w:eastAsia="Arial" w:hAnsi="Arial"/>
                <w:sz w:val="18"/>
                <w:szCs w:val="18"/>
                <w:b w:val="1"/>
                <w:bCs w:val="1"/>
                <w:color w:val="auto"/>
              </w:rPr>
              <w:t>Lehman Brothers</w:t>
            </w:r>
          </w:p>
        </w:tc>
        <w:tc>
          <w:tcPr>
            <w:tcW w:w="20" w:type="dxa"/>
            <w:vAlign w:val="bottom"/>
          </w:tcPr>
          <w:p>
            <w:pPr>
              <w:spacing w:after="0"/>
              <w:rPr>
                <w:sz w:val="24"/>
                <w:szCs w:val="24"/>
                <w:color w:val="auto"/>
              </w:rPr>
            </w:pPr>
          </w:p>
        </w:tc>
      </w:tr>
      <w:tr>
        <w:trPr>
          <w:trHeight w:val="648"/>
        </w:trPr>
        <w:tc>
          <w:tcPr>
            <w:tcW w:w="3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ABN AMRO Incorporated</w:t>
            </w:r>
          </w:p>
        </w:tc>
        <w:tc>
          <w:tcPr>
            <w:tcW w:w="4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BNP PARIBAS</w:t>
            </w:r>
          </w:p>
        </w:tc>
        <w:tc>
          <w:tcPr>
            <w:tcW w:w="330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Fleet Securities, Inc.</w:t>
            </w:r>
          </w:p>
        </w:tc>
        <w:tc>
          <w:tcPr>
            <w:tcW w:w="20" w:type="dxa"/>
            <w:vAlign w:val="bottom"/>
          </w:tcPr>
          <w:p>
            <w:pPr>
              <w:spacing w:after="0"/>
              <w:rPr>
                <w:sz w:val="24"/>
                <w:szCs w:val="24"/>
                <w:color w:val="auto"/>
              </w:rPr>
            </w:pPr>
          </w:p>
        </w:tc>
      </w:tr>
      <w:tr>
        <w:trPr>
          <w:trHeight w:val="432"/>
        </w:trPr>
        <w:tc>
          <w:tcPr>
            <w:tcW w:w="3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Scotia Capital</w:t>
            </w:r>
          </w:p>
        </w:tc>
        <w:tc>
          <w:tcPr>
            <w:tcW w:w="4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Societe Generale</w:t>
            </w:r>
          </w:p>
        </w:tc>
        <w:tc>
          <w:tcPr>
            <w:tcW w:w="330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SunTrust Robinson Humphrey</w:t>
            </w:r>
          </w:p>
        </w:tc>
        <w:tc>
          <w:tcPr>
            <w:tcW w:w="20" w:type="dxa"/>
            <w:vAlign w:val="bottom"/>
          </w:tcPr>
          <w:p>
            <w:pPr>
              <w:spacing w:after="0"/>
              <w:rPr>
                <w:sz w:val="24"/>
                <w:szCs w:val="24"/>
                <w:color w:val="auto"/>
              </w:rPr>
            </w:pPr>
          </w:p>
        </w:tc>
      </w:tr>
      <w:tr>
        <w:trPr>
          <w:trHeight w:val="432"/>
        </w:trPr>
        <w:tc>
          <w:tcPr>
            <w:tcW w:w="3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The Royal Bank of Scotland</w:t>
            </w:r>
          </w:p>
        </w:tc>
        <w:tc>
          <w:tcPr>
            <w:tcW w:w="418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94"/>
              </w:rPr>
              <w:t>UBS Warburg LLC</w:t>
            </w:r>
          </w:p>
        </w:tc>
        <w:tc>
          <w:tcPr>
            <w:tcW w:w="3300" w:type="dxa"/>
            <w:vAlign w:val="bottom"/>
          </w:tcPr>
          <w:p>
            <w:pPr>
              <w:jc w:val="center"/>
              <w:ind w:left="12"/>
              <w:spacing w:after="0"/>
              <w:rPr>
                <w:sz w:val="20"/>
                <w:szCs w:val="20"/>
                <w:color w:val="auto"/>
              </w:rPr>
            </w:pPr>
            <w:r>
              <w:rPr>
                <w:rFonts w:ascii="Arial" w:cs="Arial" w:eastAsia="Arial" w:hAnsi="Arial"/>
                <w:sz w:val="18"/>
                <w:szCs w:val="18"/>
                <w:b w:val="1"/>
                <w:bCs w:val="1"/>
                <w:color w:val="auto"/>
                <w:w w:val="86"/>
              </w:rPr>
              <w:t>Wachovia Securities</w:t>
            </w:r>
          </w:p>
        </w:tc>
        <w:tc>
          <w:tcPr>
            <w:tcW w:w="20" w:type="dxa"/>
            <w:vAlign w:val="bottom"/>
          </w:tcPr>
          <w:p>
            <w:pPr>
              <w:spacing w:after="0"/>
              <w:rPr>
                <w:sz w:val="24"/>
                <w:szCs w:val="24"/>
                <w:color w:val="auto"/>
              </w:rPr>
            </w:pPr>
          </w:p>
        </w:tc>
      </w:tr>
      <w:tr>
        <w:trPr>
          <w:trHeight w:val="432"/>
        </w:trPr>
        <w:tc>
          <w:tcPr>
            <w:tcW w:w="3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80" w:type="dxa"/>
            <w:vAlign w:val="bottom"/>
            <w:gridSpan w:val="2"/>
          </w:tcPr>
          <w:p>
            <w:pPr>
              <w:jc w:val="center"/>
              <w:ind w:right="640"/>
              <w:spacing w:after="0"/>
              <w:rPr>
                <w:sz w:val="20"/>
                <w:szCs w:val="20"/>
                <w:color w:val="auto"/>
              </w:rPr>
            </w:pPr>
            <w:r>
              <w:rPr>
                <w:rFonts w:ascii="Arial" w:cs="Arial" w:eastAsia="Arial" w:hAnsi="Arial"/>
                <w:sz w:val="18"/>
                <w:szCs w:val="18"/>
                <w:color w:val="auto"/>
                <w:w w:val="89"/>
              </w:rPr>
              <w:t>May 12, 2003</w:t>
            </w: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8"/>
        </w:trPr>
        <w:tc>
          <w:tcPr>
            <w:tcW w:w="33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354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33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r>
        <w:trPr>
          <w:trHeight w:val="102"/>
        </w:trPr>
        <w:tc>
          <w:tcPr>
            <w:tcW w:w="33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5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30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440"/>
      </w:cols>
      <w:pgMar w:left="240" w:top="144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lvl w:ilvl="1">
      <w:lvlJc w:val="left"/>
      <w:lvlText w:val="•"/>
      <w:numFmt w:val="bullet"/>
      <w:start w:val="1"/>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lowerLetter"/>
      <w:start w:val="2"/>
    </w:lvl>
  </w:abstractNum>
  <w:abstractNum w:abstractNumId="15">
    <w:nsid w:val="440BADFC"/>
    <w:multiLevelType w:val="hybridMultilevel"/>
    <w:lvl w:ilvl="0">
      <w:lvlJc w:val="left"/>
      <w:lvlText w:val="(%1)"/>
      <w:numFmt w:val="lowerLetter"/>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o"/>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o"/>
      <w:numFmt w:val="bullet"/>
      <w:start w:val="1"/>
    </w:lvl>
  </w:abstractNum>
  <w:abstractNum w:abstractNumId="25">
    <w:nsid w:val="580BD78F"/>
    <w:multiLevelType w:val="hybridMultilevel"/>
    <w:lvl w:ilvl="0">
      <w:lvlJc w:val="left"/>
      <w:lvlText w:val="•"/>
      <w:numFmt w:val="bullet"/>
      <w:start w:val="1"/>
    </w:lvl>
    <w:lvl w:ilvl="1">
      <w:lvlJc w:val="left"/>
      <w:lvlText w:val="o"/>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1"/>
    </w:lvl>
    <w:lvl w:ilvl="1">
      <w:lvlJc w:val="left"/>
      <w:lvlText w:val="•"/>
      <w:numFmt w:val="bullet"/>
      <w:start w:val="1"/>
    </w:lvl>
  </w:abstractNum>
  <w:abstractNum w:abstractNumId="30">
    <w:nsid w:val="2A487CB0"/>
    <w:multiLevelType w:val="hybridMultilevel"/>
    <w:lvl w:ilvl="0">
      <w:lvlJc w:val="left"/>
      <w:lvlText w:val="(%1)"/>
      <w:numFmt w:val="decimal"/>
      <w:start w:val="6"/>
    </w:lvl>
    <w:lvl w:ilvl="1">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o"/>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lvl w:ilvl="1">
      <w:lvlJc w:val="left"/>
      <w:lvlText w:val="o"/>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2"/>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2019-12-16T07:43:32Z</dcterms:created>
  <dcterms:modified xsi:type="dcterms:W3CDTF">2019-12-16T07:43:32Z</dcterms:modified>
</cp:coreProperties>
</file>