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421"/>
        </w:trPr>
        <w:tc>
          <w:tcPr>
            <w:tcW w:w="2420" w:type="dxa"/>
            <w:vAlign w:val="bottom"/>
          </w:tcPr>
          <w:p>
            <w:pPr>
              <w:spacing w:after="0"/>
              <w:rPr>
                <w:sz w:val="24"/>
                <w:szCs w:val="24"/>
                <w:color w:val="auto"/>
              </w:rPr>
            </w:pPr>
          </w:p>
        </w:tc>
        <w:tc>
          <w:tcPr>
            <w:tcW w:w="7360" w:type="dxa"/>
            <w:vAlign w:val="bottom"/>
          </w:tcPr>
          <w:p>
            <w:pPr>
              <w:jc w:val="center"/>
              <w:ind w:right="2259"/>
              <w:spacing w:after="0"/>
              <w:rPr>
                <w:sz w:val="20"/>
                <w:szCs w:val="20"/>
                <w:color w:val="auto"/>
              </w:rPr>
            </w:pPr>
            <w:r>
              <w:rPr>
                <w:rFonts w:ascii="Arial" w:cs="Arial" w:eastAsia="Arial" w:hAnsi="Arial"/>
                <w:sz w:val="32"/>
                <w:szCs w:val="32"/>
                <w:b w:val="1"/>
                <w:bCs w:val="1"/>
                <w:color w:val="auto"/>
              </w:rPr>
              <w:t>FORM 8-K</w:t>
            </w:r>
          </w:p>
        </w:tc>
      </w:tr>
      <w:tr>
        <w:trPr>
          <w:trHeight w:val="363"/>
        </w:trPr>
        <w:tc>
          <w:tcPr>
            <w:tcW w:w="2420" w:type="dxa"/>
            <w:vAlign w:val="bottom"/>
          </w:tcPr>
          <w:p>
            <w:pPr>
              <w:spacing w:after="0"/>
              <w:rPr>
                <w:sz w:val="24"/>
                <w:szCs w:val="24"/>
                <w:color w:val="auto"/>
              </w:rPr>
            </w:pPr>
          </w:p>
        </w:tc>
        <w:tc>
          <w:tcPr>
            <w:tcW w:w="7360" w:type="dxa"/>
            <w:vAlign w:val="bottom"/>
          </w:tcPr>
          <w:p>
            <w:pPr>
              <w:jc w:val="center"/>
              <w:ind w:right="2279"/>
              <w:spacing w:after="0"/>
              <w:rPr>
                <w:sz w:val="20"/>
                <w:szCs w:val="20"/>
                <w:color w:val="auto"/>
              </w:rPr>
            </w:pPr>
            <w:r>
              <w:rPr>
                <w:rFonts w:ascii="Arial" w:cs="Arial" w:eastAsia="Arial" w:hAnsi="Arial"/>
                <w:sz w:val="22"/>
                <w:szCs w:val="22"/>
                <w:b w:val="1"/>
                <w:bCs w:val="1"/>
                <w:color w:val="auto"/>
                <w:w w:val="98"/>
              </w:rPr>
              <w:t>CURRENT REPORT</w:t>
            </w:r>
          </w:p>
        </w:tc>
      </w:tr>
      <w:tr>
        <w:trPr>
          <w:trHeight w:val="243"/>
        </w:trPr>
        <w:tc>
          <w:tcPr>
            <w:tcW w:w="2420" w:type="dxa"/>
            <w:vAlign w:val="bottom"/>
          </w:tcPr>
          <w:p>
            <w:pPr>
              <w:spacing w:after="0"/>
              <w:rPr>
                <w:sz w:val="21"/>
                <w:szCs w:val="21"/>
                <w:color w:val="auto"/>
              </w:rPr>
            </w:pPr>
          </w:p>
        </w:tc>
        <w:tc>
          <w:tcPr>
            <w:tcW w:w="7360" w:type="dxa"/>
            <w:vAlign w:val="bottom"/>
          </w:tcPr>
          <w:p>
            <w:pPr>
              <w:jc w:val="center"/>
              <w:ind w:right="2279"/>
              <w:spacing w:after="0" w:line="243" w:lineRule="exact"/>
              <w:rPr>
                <w:sz w:val="20"/>
                <w:szCs w:val="20"/>
                <w:color w:val="auto"/>
              </w:rPr>
            </w:pPr>
            <w:r>
              <w:rPr>
                <w:rFonts w:ascii="Arial" w:cs="Arial" w:eastAsia="Arial" w:hAnsi="Arial"/>
                <w:sz w:val="22"/>
                <w:szCs w:val="22"/>
                <w:b w:val="1"/>
                <w:bCs w:val="1"/>
                <w:color w:val="auto"/>
                <w:w w:val="88"/>
              </w:rPr>
              <w:t>Pursuant to Section 13 or 15(d) of</w:t>
            </w:r>
          </w:p>
        </w:tc>
      </w:tr>
      <w:tr>
        <w:trPr>
          <w:trHeight w:val="281"/>
        </w:trPr>
        <w:tc>
          <w:tcPr>
            <w:tcW w:w="2420" w:type="dxa"/>
            <w:vAlign w:val="bottom"/>
          </w:tcPr>
          <w:p>
            <w:pPr>
              <w:spacing w:after="0"/>
              <w:rPr>
                <w:sz w:val="24"/>
                <w:szCs w:val="24"/>
                <w:color w:val="auto"/>
              </w:rPr>
            </w:pPr>
          </w:p>
        </w:tc>
        <w:tc>
          <w:tcPr>
            <w:tcW w:w="7360" w:type="dxa"/>
            <w:vAlign w:val="bottom"/>
          </w:tcPr>
          <w:p>
            <w:pPr>
              <w:jc w:val="center"/>
              <w:ind w:right="2259"/>
              <w:spacing w:after="0"/>
              <w:rPr>
                <w:sz w:val="20"/>
                <w:szCs w:val="20"/>
                <w:color w:val="auto"/>
              </w:rPr>
            </w:pPr>
            <w:r>
              <w:rPr>
                <w:rFonts w:ascii="Arial" w:cs="Arial" w:eastAsia="Arial" w:hAnsi="Arial"/>
                <w:sz w:val="22"/>
                <w:szCs w:val="22"/>
                <w:b w:val="1"/>
                <w:bCs w:val="1"/>
                <w:color w:val="auto"/>
                <w:w w:val="87"/>
              </w:rPr>
              <w:t>The Securities Exchange Act of 1934</w:t>
            </w:r>
          </w:p>
        </w:tc>
      </w:tr>
      <w:tr>
        <w:trPr>
          <w:trHeight w:val="366"/>
        </w:trPr>
        <w:tc>
          <w:tcPr>
            <w:tcW w:w="2420" w:type="dxa"/>
            <w:vAlign w:val="bottom"/>
          </w:tcPr>
          <w:p>
            <w:pPr>
              <w:spacing w:after="0"/>
              <w:rPr>
                <w:sz w:val="24"/>
                <w:szCs w:val="24"/>
                <w:color w:val="auto"/>
              </w:rPr>
            </w:pPr>
          </w:p>
        </w:tc>
        <w:tc>
          <w:tcPr>
            <w:tcW w:w="7360" w:type="dxa"/>
            <w:vAlign w:val="bottom"/>
          </w:tcPr>
          <w:p>
            <w:pPr>
              <w:jc w:val="center"/>
              <w:ind w:right="2279"/>
              <w:spacing w:after="0"/>
              <w:rPr>
                <w:sz w:val="20"/>
                <w:szCs w:val="20"/>
                <w:color w:val="auto"/>
              </w:rPr>
            </w:pPr>
            <w:r>
              <w:rPr>
                <w:rFonts w:ascii="Arial" w:cs="Arial" w:eastAsia="Arial" w:hAnsi="Arial"/>
                <w:sz w:val="18"/>
                <w:szCs w:val="18"/>
                <w:color w:val="auto"/>
                <w:w w:val="89"/>
              </w:rPr>
              <w:t>Date of report (Date of earliest event reported): May 2, 2008</w:t>
            </w:r>
          </w:p>
        </w:tc>
      </w:tr>
      <w:tr>
        <w:trPr>
          <w:trHeight w:val="651"/>
        </w:trPr>
        <w:tc>
          <w:tcPr>
            <w:tcW w:w="2420" w:type="dxa"/>
            <w:vAlign w:val="bottom"/>
          </w:tcPr>
          <w:p>
            <w:pPr>
              <w:spacing w:after="0"/>
              <w:rPr>
                <w:sz w:val="24"/>
                <w:szCs w:val="24"/>
                <w:color w:val="auto"/>
              </w:rPr>
            </w:pPr>
          </w:p>
        </w:tc>
        <w:tc>
          <w:tcPr>
            <w:tcW w:w="7360" w:type="dxa"/>
            <w:vAlign w:val="bottom"/>
          </w:tcPr>
          <w:p>
            <w:pPr>
              <w:jc w:val="center"/>
              <w:ind w:right="2279"/>
              <w:spacing w:after="0"/>
              <w:rPr>
                <w:sz w:val="20"/>
                <w:szCs w:val="20"/>
                <w:color w:val="auto"/>
              </w:rPr>
            </w:pPr>
            <w:r>
              <w:rPr>
                <w:rFonts w:ascii="Arial" w:cs="Arial" w:eastAsia="Arial" w:hAnsi="Arial"/>
                <w:sz w:val="43"/>
                <w:szCs w:val="43"/>
                <w:b w:val="1"/>
                <w:bCs w:val="1"/>
                <w:color w:val="auto"/>
                <w:w w:val="91"/>
              </w:rPr>
              <w:t>Comcast Corporation</w:t>
            </w:r>
          </w:p>
        </w:tc>
      </w:tr>
      <w:tr>
        <w:trPr>
          <w:trHeight w:val="174"/>
        </w:trPr>
        <w:tc>
          <w:tcPr>
            <w:tcW w:w="2420" w:type="dxa"/>
            <w:vAlign w:val="bottom"/>
          </w:tcPr>
          <w:p>
            <w:pPr>
              <w:spacing w:after="0"/>
              <w:rPr>
                <w:sz w:val="15"/>
                <w:szCs w:val="15"/>
                <w:color w:val="auto"/>
              </w:rPr>
            </w:pPr>
          </w:p>
        </w:tc>
        <w:tc>
          <w:tcPr>
            <w:tcW w:w="7360" w:type="dxa"/>
            <w:vAlign w:val="bottom"/>
          </w:tcPr>
          <w:p>
            <w:pPr>
              <w:jc w:val="center"/>
              <w:ind w:right="2279"/>
              <w:spacing w:after="0"/>
              <w:rPr>
                <w:sz w:val="20"/>
                <w:szCs w:val="20"/>
                <w:color w:val="auto"/>
              </w:rPr>
            </w:pPr>
            <w:r>
              <w:rPr>
                <w:rFonts w:ascii="Arial" w:cs="Arial" w:eastAsia="Arial" w:hAnsi="Arial"/>
                <w:sz w:val="14"/>
                <w:szCs w:val="14"/>
                <w:b w:val="1"/>
                <w:bCs w:val="1"/>
                <w:color w:val="auto"/>
                <w:w w:val="87"/>
              </w:rPr>
              <w:t>(Exact Name of Registrant as Specified in Charter)</w:t>
            </w:r>
          </w:p>
        </w:tc>
      </w:tr>
      <w:tr>
        <w:trPr>
          <w:trHeight w:val="393"/>
        </w:trPr>
        <w:tc>
          <w:tcPr>
            <w:tcW w:w="2420" w:type="dxa"/>
            <w:vAlign w:val="bottom"/>
          </w:tcPr>
          <w:p>
            <w:pPr>
              <w:spacing w:after="0"/>
              <w:rPr>
                <w:sz w:val="24"/>
                <w:szCs w:val="24"/>
                <w:color w:val="auto"/>
              </w:rPr>
            </w:pPr>
          </w:p>
        </w:tc>
        <w:tc>
          <w:tcPr>
            <w:tcW w:w="7360" w:type="dxa"/>
            <w:vAlign w:val="bottom"/>
          </w:tcPr>
          <w:p>
            <w:pPr>
              <w:jc w:val="center"/>
              <w:ind w:right="2019"/>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420" w:type="dxa"/>
            <w:vAlign w:val="bottom"/>
          </w:tcPr>
          <w:p>
            <w:pPr>
              <w:spacing w:after="0"/>
              <w:rPr>
                <w:sz w:val="15"/>
                <w:szCs w:val="15"/>
                <w:color w:val="auto"/>
              </w:rPr>
            </w:pPr>
          </w:p>
        </w:tc>
        <w:tc>
          <w:tcPr>
            <w:tcW w:w="7360" w:type="dxa"/>
            <w:vAlign w:val="bottom"/>
          </w:tcPr>
          <w:p>
            <w:pPr>
              <w:jc w:val="center"/>
              <w:ind w:right="2019"/>
              <w:spacing w:after="0"/>
              <w:rPr>
                <w:sz w:val="20"/>
                <w:szCs w:val="20"/>
                <w:color w:val="auto"/>
              </w:rPr>
            </w:pPr>
            <w:r>
              <w:rPr>
                <w:rFonts w:ascii="Arial" w:cs="Arial" w:eastAsia="Arial" w:hAnsi="Arial"/>
                <w:sz w:val="14"/>
                <w:szCs w:val="14"/>
                <w:b w:val="1"/>
                <w:bCs w:val="1"/>
                <w:color w:val="auto"/>
                <w:w w:val="87"/>
              </w:rPr>
              <w:t>(State or other jurisdiction of incorporation)</w:t>
            </w:r>
          </w:p>
        </w:tc>
      </w:tr>
      <w:tr>
        <w:trPr>
          <w:trHeight w:val="406"/>
        </w:trPr>
        <w:tc>
          <w:tcPr>
            <w:tcW w:w="2420" w:type="dxa"/>
            <w:vAlign w:val="bottom"/>
          </w:tcPr>
          <w:p>
            <w:pPr>
              <w:jc w:val="center"/>
              <w:ind w:right="20"/>
              <w:spacing w:after="0"/>
              <w:rPr>
                <w:sz w:val="20"/>
                <w:szCs w:val="20"/>
                <w:color w:val="auto"/>
              </w:rPr>
            </w:pPr>
            <w:r>
              <w:rPr>
                <w:rFonts w:ascii="Arial" w:cs="Arial" w:eastAsia="Arial" w:hAnsi="Arial"/>
                <w:sz w:val="18"/>
                <w:szCs w:val="18"/>
                <w:b w:val="1"/>
                <w:bCs w:val="1"/>
                <w:color w:val="auto"/>
                <w:w w:val="88"/>
              </w:rPr>
              <w:t>001-32871</w:t>
            </w:r>
          </w:p>
        </w:tc>
        <w:tc>
          <w:tcPr>
            <w:tcW w:w="7360" w:type="dxa"/>
            <w:vAlign w:val="bottom"/>
          </w:tcPr>
          <w:p>
            <w:pPr>
              <w:jc w:val="center"/>
              <w:ind w:left="5299"/>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242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(Commission File Number)</w:t>
            </w:r>
          </w:p>
        </w:tc>
        <w:tc>
          <w:tcPr>
            <w:tcW w:w="7360" w:type="dxa"/>
            <w:vAlign w:val="bottom"/>
          </w:tcPr>
          <w:p>
            <w:pPr>
              <w:jc w:val="center"/>
              <w:ind w:left="5299"/>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2420" w:type="dxa"/>
            <w:vAlign w:val="bottom"/>
          </w:tcPr>
          <w:p>
            <w:pPr>
              <w:jc w:val="center"/>
              <w:ind w:right="40"/>
              <w:spacing w:after="0"/>
              <w:rPr>
                <w:sz w:val="20"/>
                <w:szCs w:val="20"/>
                <w:color w:val="auto"/>
              </w:rPr>
            </w:pPr>
            <w:r>
              <w:rPr>
                <w:rFonts w:ascii="Arial" w:cs="Arial" w:eastAsia="Arial" w:hAnsi="Arial"/>
                <w:sz w:val="18"/>
                <w:szCs w:val="18"/>
                <w:b w:val="1"/>
                <w:bCs w:val="1"/>
                <w:color w:val="auto"/>
                <w:w w:val="88"/>
              </w:rPr>
              <w:t>One Comcast Center</w:t>
            </w:r>
          </w:p>
        </w:tc>
        <w:tc>
          <w:tcPr>
            <w:tcW w:w="7360" w:type="dxa"/>
            <w:vAlign w:val="bottom"/>
          </w:tcPr>
          <w:p>
            <w:pPr>
              <w:spacing w:after="0"/>
              <w:rPr>
                <w:sz w:val="24"/>
                <w:szCs w:val="24"/>
                <w:color w:val="auto"/>
              </w:rPr>
            </w:pPr>
          </w:p>
        </w:tc>
      </w:tr>
      <w:tr>
        <w:trPr>
          <w:trHeight w:val="231"/>
        </w:trPr>
        <w:tc>
          <w:tcPr>
            <w:tcW w:w="2420" w:type="dxa"/>
            <w:vAlign w:val="bottom"/>
          </w:tcPr>
          <w:p>
            <w:pPr>
              <w:jc w:val="center"/>
              <w:ind w:right="40"/>
              <w:spacing w:after="0"/>
              <w:rPr>
                <w:sz w:val="20"/>
                <w:szCs w:val="20"/>
                <w:color w:val="auto"/>
              </w:rPr>
            </w:pPr>
            <w:r>
              <w:rPr>
                <w:rFonts w:ascii="Arial" w:cs="Arial" w:eastAsia="Arial" w:hAnsi="Arial"/>
                <w:sz w:val="18"/>
                <w:szCs w:val="18"/>
                <w:b w:val="1"/>
                <w:bCs w:val="1"/>
                <w:color w:val="auto"/>
                <w:w w:val="89"/>
              </w:rPr>
              <w:t>Philadelphia, PA</w:t>
            </w:r>
          </w:p>
        </w:tc>
        <w:tc>
          <w:tcPr>
            <w:tcW w:w="7360" w:type="dxa"/>
            <w:vAlign w:val="bottom"/>
          </w:tcPr>
          <w:p>
            <w:pPr>
              <w:jc w:val="center"/>
              <w:ind w:left="5299"/>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42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7360" w:type="dxa"/>
            <w:vAlign w:val="bottom"/>
          </w:tcPr>
          <w:p>
            <w:pPr>
              <w:jc w:val="center"/>
              <w:ind w:left="5279"/>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2420" w:type="dxa"/>
            <w:vAlign w:val="bottom"/>
          </w:tcPr>
          <w:p>
            <w:pPr>
              <w:spacing w:after="0"/>
              <w:rPr>
                <w:sz w:val="24"/>
                <w:szCs w:val="24"/>
                <w:color w:val="auto"/>
              </w:rPr>
            </w:pPr>
          </w:p>
        </w:tc>
        <w:tc>
          <w:tcPr>
            <w:tcW w:w="7360" w:type="dxa"/>
            <w:vAlign w:val="bottom"/>
          </w:tcPr>
          <w:p>
            <w:pPr>
              <w:jc w:val="center"/>
              <w:ind w:right="2279"/>
              <w:spacing w:after="0"/>
              <w:rPr>
                <w:sz w:val="20"/>
                <w:szCs w:val="20"/>
                <w:color w:val="auto"/>
              </w:rPr>
            </w:pPr>
            <w:r>
              <w:rPr>
                <w:rFonts w:ascii="Arial" w:cs="Arial" w:eastAsia="Arial" w:hAnsi="Arial"/>
                <w:sz w:val="18"/>
                <w:szCs w:val="18"/>
                <w:color w:val="auto"/>
                <w:w w:val="87"/>
              </w:rPr>
              <w:t>Registrant’s telephone number, including area code: (215) 286-1700</w:t>
            </w:r>
          </w:p>
        </w:tc>
      </w:tr>
    </w:tbl>
    <w:p>
      <w:pPr>
        <w:spacing w:after="0" w:line="394"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May 7, 2008, Comcast Corporation (“Comcast”) expects to consummate the issuance and sale of $1,000,000,000 principal amount of its 5.70% Notes due 2018 and $1,000,000,000 principal amount of its 6.40% Notes due 2038 (collectively, the “Notes”), pursuant to an underwriting agreement dated May 2, 2008 among Comcast, the Cable Guarantors (defined below) and Citigroup Global Markets Inc., Deutsche Bank Securities Inc., Merrill Lynch, Pierce, Fenner &amp; Smith Incorporated and UBS Securities LLC, as representatives of the several underwriters named therein. The Notes will be issued pursuant to an Indenture dated as of January 7, 2003 (the “Indenture”) among Comcast, the Cable Guarantors (other than Comcast MO of Delaware, LLC) and The Bank of New York, as trustee (the “Trustee”), as amended by the First Supplemental Indenture dated as of March 25, 2003 by and among the Company, the Cable Guarantors and the Trustee, and an officers’ certificate issued pursuant thereto. The Notes are guaranteed on an unsecured and unsubordinated basis by Comcast Cable Communications, LLC, Comcast Cable Communications Holdings, Inc., Comcast Cable Holdings, LLC, Comcast MO Group, Inc. and Comcast MO of Delaware, LLC (the “Cable Guarantors”).</w:t>
      </w:r>
    </w:p>
    <w:p>
      <w:pPr>
        <w:spacing w:after="0" w:line="120" w:lineRule="exact"/>
        <w:rPr>
          <w:sz w:val="20"/>
          <w:szCs w:val="20"/>
          <w:color w:val="auto"/>
        </w:rPr>
      </w:pPr>
    </w:p>
    <w:p>
      <w:pPr>
        <w:ind w:right="2680" w:firstLine="456"/>
        <w:spacing w:after="0" w:line="370" w:lineRule="auto"/>
        <w:rPr>
          <w:sz w:val="20"/>
          <w:szCs w:val="20"/>
          <w:color w:val="auto"/>
        </w:rPr>
      </w:pPr>
      <w:r>
        <w:rPr>
          <w:rFonts w:ascii="Arial" w:cs="Arial" w:eastAsia="Arial" w:hAnsi="Arial"/>
          <w:sz w:val="15"/>
          <w:szCs w:val="15"/>
          <w:color w:val="auto"/>
        </w:rPr>
        <w:t>The Notes are being offered pursuant to Comcast’s Registration Statement on Form S-3 filed on March 27, 2006 (Reg. No. 333-132750), including the prospectus contained therein, and a related prospectus supplement dated May 2, 2008.</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Indenture filed as Exhibit 4.5 and the First Supplemental Indenture filed as Exhibit 4.6 to Comcast’s Annual Report on Form 10-K for the year ended December 31, 2007.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Item 9.01(d)</w:t>
            </w:r>
          </w:p>
        </w:tc>
        <w:tc>
          <w:tcPr>
            <w:tcW w:w="1034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tcPr>
          <w:p>
            <w:pPr>
              <w:jc w:val="right"/>
              <w:ind w:right="26"/>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Underwriting Agreement Standard Provisions dated as of May 2, 2008</w:t>
            </w:r>
          </w:p>
        </w:tc>
        <w:tc>
          <w:tcPr>
            <w:tcW w:w="0" w:type="dxa"/>
            <w:vAlign w:val="bottom"/>
          </w:tcPr>
          <w:p>
            <w:pPr>
              <w:spacing w:after="0"/>
              <w:rPr>
                <w:sz w:val="1"/>
                <w:szCs w:val="1"/>
                <w:color w:val="auto"/>
              </w:rPr>
            </w:pPr>
          </w:p>
        </w:tc>
      </w:tr>
      <w:tr>
        <w:trPr>
          <w:trHeight w:val="316"/>
        </w:trPr>
        <w:tc>
          <w:tcPr>
            <w:tcW w:w="520" w:type="dxa"/>
            <w:vAlign w:val="bottom"/>
            <w:gridSpan w:val="2"/>
          </w:tcPr>
          <w:p>
            <w:pPr>
              <w:jc w:val="right"/>
              <w:ind w:right="26"/>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6"/>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6"/>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Davis Polk &amp; Wardwell</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6"/>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Arthur R. Block, Esq. (contained in Exhibit 5.01)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26"/>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Davis Polk &amp; Wardwell (contained in Exhibit 5.02)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2"/>
          </w:tcPr>
          <w:p>
            <w:pPr>
              <w:ind w:left="2340"/>
              <w:spacing w:after="0"/>
              <w:rPr>
                <w:sz w:val="20"/>
                <w:szCs w:val="20"/>
                <w:color w:val="auto"/>
              </w:rPr>
            </w:pPr>
            <w:r>
              <w:rPr>
                <w:rFonts w:ascii="Arial" w:cs="Arial" w:eastAsia="Arial" w:hAnsi="Arial"/>
                <w:sz w:val="18"/>
                <w:szCs w:val="18"/>
                <w:b w:val="1"/>
                <w:bCs w:val="1"/>
                <w:color w:val="auto"/>
              </w:rPr>
              <w:t>COMCAST CORPORATION</w:t>
            </w:r>
          </w:p>
        </w:tc>
      </w:tr>
      <w:tr>
        <w:trPr>
          <w:trHeight w:val="433"/>
        </w:trPr>
        <w:tc>
          <w:tcPr>
            <w:tcW w:w="3660" w:type="dxa"/>
            <w:vAlign w:val="bottom"/>
          </w:tcPr>
          <w:p>
            <w:pPr>
              <w:spacing w:after="0"/>
              <w:rPr>
                <w:sz w:val="20"/>
                <w:szCs w:val="20"/>
                <w:color w:val="auto"/>
              </w:rPr>
            </w:pPr>
            <w:r>
              <w:rPr>
                <w:rFonts w:ascii="Arial" w:cs="Arial" w:eastAsia="Arial" w:hAnsi="Arial"/>
                <w:sz w:val="18"/>
                <w:szCs w:val="18"/>
                <w:color w:val="auto"/>
              </w:rPr>
              <w:t>Date: May 6, 2008</w:t>
            </w:r>
          </w:p>
        </w:tc>
        <w:tc>
          <w:tcPr>
            <w:tcW w:w="7760" w:type="dxa"/>
            <w:vAlign w:val="bottom"/>
            <w:gridSpan w:val="2"/>
          </w:tcPr>
          <w:p>
            <w:pPr>
              <w:ind w:left="2340"/>
              <w:spacing w:after="0"/>
              <w:rPr>
                <w:sz w:val="20"/>
                <w:szCs w:val="20"/>
                <w:color w:val="auto"/>
              </w:rPr>
            </w:pPr>
            <w:r>
              <w:rPr>
                <w:rFonts w:ascii="Arial" w:cs="Arial" w:eastAsia="Arial" w:hAnsi="Arial"/>
                <w:sz w:val="18"/>
                <w:szCs w:val="18"/>
                <w:color w:val="auto"/>
              </w:rPr>
              <w:t>By:  /s/ Arthur R. Block</w:t>
            </w:r>
          </w:p>
        </w:tc>
      </w:tr>
      <w:tr>
        <w:trPr>
          <w:trHeight w:val="202"/>
        </w:trPr>
        <w:tc>
          <w:tcPr>
            <w:tcW w:w="36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Arthur R. Block</w:t>
            </w:r>
          </w:p>
        </w:tc>
      </w:tr>
      <w:tr>
        <w:trPr>
          <w:trHeight w:val="216"/>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Title:  Senior Vice President, General Counsel</w:t>
            </w:r>
          </w:p>
        </w:tc>
      </w:tr>
      <w:tr>
        <w:trPr>
          <w:trHeight w:val="222"/>
        </w:trPr>
        <w:tc>
          <w:tcPr>
            <w:tcW w:w="3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120" w:type="dxa"/>
            <w:vAlign w:val="bottom"/>
          </w:tcPr>
          <w:p>
            <w:pPr>
              <w:ind w:left="760"/>
              <w:spacing w:after="0"/>
              <w:rPr>
                <w:sz w:val="20"/>
                <w:szCs w:val="20"/>
                <w:color w:val="auto"/>
              </w:rPr>
            </w:pPr>
            <w:r>
              <w:rPr>
                <w:rFonts w:ascii="Arial" w:cs="Arial" w:eastAsia="Arial" w:hAnsi="Arial"/>
                <w:sz w:val="18"/>
                <w:szCs w:val="18"/>
                <w:color w:val="auto"/>
              </w:rPr>
              <w:t>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 WARRANTS, PURCHASE CONTRACTS, UNITS AND GUARANTEES)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 2008</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Comcast Corporation, a Pennsylvania corporation (the “Company”), may, alone or together with Comcast Cable Communications, LLC, Comcast Cable Communications Holdings, Inc., Comcast Cable Holdings, LLC, Comcast MO Group, Inc. and Comcast MO of Delaware, LLC (formerly known as Comcast MO of Delaware, Inc.) (collectively, the “Cable Guarantors”),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 proposes to issue from time to time (a) its senior debt securities (“Senior Debt Securities”), (b) its subordinated debt securities (“Subordinated Debt Securities” and with the Senior Debt Securities, the “Debt Securities”), (c) warrants (“Warrants”) and (d)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 The Debt Securities are to be guaranteed (the “Cable Guarantees”) on an unsecured basis by the Cable Guarantors. The Warrants, Purchase Contracts and Units may be guaranteed on an unsecured basis by the Cable Guarantors to the extent described in the Prospectus (as defined below) pursuant to a Guarantee Agreement to be dated as of a date specified in the Underwriting Agreement and executed and delivered by the Cable Guarantors and a trustee to be named in the relevant prospectus supplement, as trustee (the “Guarantee Trustee”) for the benefit of the holders from time to time of the Offered Company Securities (the “Additional Guarantee”).</w:t>
      </w:r>
    </w:p>
    <w:p>
      <w:pPr>
        <w:sectPr>
          <w:pgSz w:w="11900" w:h="16838" w:orient="portrait"/>
          <w:cols w:equalWidth="0" w:num="1">
            <w:col w:w="11420"/>
          </w:cols>
          <w:pgMar w:left="240" w:top="125" w:right="239" w:bottom="1440" w:gutter="0" w:footer="0" w:header="0"/>
        </w:sectPr>
      </w:pPr>
    </w:p>
    <w:bookmarkStart w:id="4" w:name="page5"/>
    <w:bookmarkEnd w:id="4"/>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and the Cable Guarantors have filed with the Securities and Exchange Commission (the “Commission”) a registration statement including a prospectus relating to the Debt Securities, Warrants, Purchase Contracts, Units, Cable Guarantees and Additional Guarantees (collectively, the “Securities”) and have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Company Securities” and the “Offered Guarantees,” if any, and, together, the “Offered Securities”). The term Registration Statement means the registration statement as amended to the date of the Underwriting Agreement including any additional registration statement filed by the Company pursuant to Rule 462(b). The term Base Prospectus means the prospectus included in the Registration Statement. The term Prospectus means the Base Prospectus together with the Prospectus Supplement. The term preliminary prospectus means a preliminary prospectus supplement specifically relating to the Offered Securities, together with the Base Prospectus. The term free writing prospectus has the meaning set forth in Rule 405 under the Securities Act. The term issuer free writing prospectus has the meaning set forth in Rule 433 under the Securities Act. The term Time of Sale Prospectus means the Base Prospectus and preliminary prospectus, if any, together with any additional documents or other information identified in Schedule I to the Underwriting Agreement. As used herein, the terms “Base Prospectus,” “Prospectus”, “preliminary prospectus” and “Time of Sale Prospectus” shall include in each case the documents, if any, incorporated by reference therein. As used herein, the term “Applicable Time” means the time and date at which the Underwriting Agreement is deemed to be executed or such other 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“Exchange Act”). For purposes of this Agreement, “Issuers” means the Company and includes the Cable Guarantors if Cable Guarantees or an Additional Guarantee are offered pursuant to this Agreement.</w:t>
      </w:r>
    </w:p>
    <w:p>
      <w:pPr>
        <w:spacing w:after="0" w:line="133"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Representations and Warranties. The Issuers, jointly and severally, represent and warrant to each of the Underwriters as of the Applicable Time that:</w:t>
      </w:r>
    </w:p>
    <w:p>
      <w:pPr>
        <w:spacing w:after="0" w:line="113" w:lineRule="exact"/>
        <w:rPr>
          <w:rFonts w:ascii="Arial" w:cs="Arial" w:eastAsia="Arial" w:hAnsi="Arial"/>
          <w:sz w:val="16"/>
          <w:szCs w:val="16"/>
          <w:color w:val="auto"/>
        </w:rPr>
      </w:pPr>
    </w:p>
    <w:p>
      <w:pPr>
        <w:ind w:left="920" w:right="140" w:firstLine="421"/>
        <w:spacing w:after="0" w:line="268" w:lineRule="auto"/>
        <w:tabs>
          <w:tab w:leader="none" w:pos="1549"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50" w:lineRule="exact"/>
        <w:rPr>
          <w:rFonts w:ascii="Arial" w:cs="Arial" w:eastAsia="Arial" w:hAnsi="Arial"/>
          <w:sz w:val="18"/>
          <w:szCs w:val="18"/>
          <w:color w:val="auto"/>
        </w:rPr>
      </w:pPr>
    </w:p>
    <w:p>
      <w:pPr>
        <w:ind w:left="920" w:right="260" w:firstLine="421"/>
        <w:spacing w:after="0" w:line="259" w:lineRule="auto"/>
        <w:tabs>
          <w:tab w:leader="none" w:pos="1598" w:val="left"/>
        </w:tabs>
        <w:numPr>
          <w:ilvl w:val="1"/>
          <w:numId w:val="2"/>
        </w:numPr>
        <w:rPr>
          <w:rFonts w:ascii="Arial" w:cs="Arial" w:eastAsia="Arial" w:hAnsi="Arial"/>
          <w:sz w:val="18"/>
          <w:szCs w:val="18"/>
          <w:color w:val="auto"/>
        </w:rPr>
      </w:pPr>
      <w:r>
        <w:rPr>
          <w:rFonts w:ascii="Arial" w:cs="Arial" w:eastAsia="Arial" w:hAnsi="Arial"/>
          <w:sz w:val="18"/>
          <w:szCs w:val="18"/>
          <w:color w:val="auto"/>
        </w:rPr>
        <w:t>Each document filed or to be filed pursuant to the Exchange Act and incorporated by reference in the Time of Sale Prospectus or the Prospectus complied or will comply when so filed in all material respects with the Exchange Act and the rules and regulations of the Commission thereunder.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280" w:firstLine="421"/>
        <w:spacing w:after="0" w:line="291" w:lineRule="auto"/>
        <w:tabs>
          <w:tab w:leader="none" w:pos="447"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Registration Statement, the Time of Sale Prospectus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or (b) statements or omissions in the Registration Statement, the Time of Sale Prospectus or the Prospectus or any amendment or supplement thereto based upon information furnished to the Issuers in writing by any Underwriter through the Managers expressly for use therein.</w:t>
      </w:r>
    </w:p>
    <w:p>
      <w:pPr>
        <w:spacing w:after="0" w:line="39" w:lineRule="exact"/>
        <w:rPr>
          <w:rFonts w:ascii="Arial" w:cs="Arial" w:eastAsia="Arial" w:hAnsi="Arial"/>
          <w:sz w:val="16"/>
          <w:szCs w:val="16"/>
          <w:color w:val="auto"/>
        </w:rPr>
      </w:pPr>
    </w:p>
    <w:p>
      <w:pPr>
        <w:ind w:left="-280" w:right="120" w:firstLine="421"/>
        <w:spacing w:after="0" w:line="290" w:lineRule="auto"/>
        <w:tabs>
          <w:tab w:leader="none" w:pos="43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(a) any written communications furnished in advance to the Managers; (b) an electronic road show, if any, furnished to the Managers before first use; or (c) free writing prospectuses identified on Schedule I to the Underwriting Agreement, including the term sheet as set forth in Schedule II to the Underwriting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37" w:lineRule="exact"/>
        <w:rPr>
          <w:rFonts w:ascii="Arial" w:cs="Arial" w:eastAsia="Arial" w:hAnsi="Arial"/>
          <w:sz w:val="16"/>
          <w:szCs w:val="16"/>
          <w:color w:val="auto"/>
        </w:rPr>
      </w:pPr>
    </w:p>
    <w:p>
      <w:pPr>
        <w:ind w:left="-280" w:right="160" w:firstLine="421"/>
        <w:spacing w:after="0" w:line="335" w:lineRule="auto"/>
        <w:tabs>
          <w:tab w:leader="none" w:pos="388"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the Senior Debt Indenture, the Subordinated Debt Indenture, the Offered Securities, any Warrants, any Purchase Contracts and any Units will not contravene any provision of applicable law or the articles of incorporation or by-laws of the Company or any agreement or other instrument binding upon the</w:t>
      </w:r>
    </w:p>
    <w:p>
      <w:pPr>
        <w:spacing w:after="0" w:line="7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280" w:right="239" w:bottom="1440" w:gutter="0" w:footer="0" w:header="0"/>
        </w:sectPr>
      </w:pPr>
    </w:p>
    <w:bookmarkStart w:id="6" w:name="page7"/>
    <w:bookmarkEnd w:id="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the Company of its obligations under this Agreement, the Senior Debt Indenture, the Subordinated Debt Indenture, the Offered Securities or any Warrants, except such as may be required by the securities or blue sky laws of the various states in connection with the offer and sale of the Offered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representation is made as to whether the purchase of the Offered Securities constitutes a “prohibited transaction” under Section 406</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Employee Retirement Income Security Act of 1974, as amended, or Section 4975 of the Internal Revenue Code of 1986, as amended.</w:t>
      </w:r>
    </w:p>
    <w:p>
      <w:pPr>
        <w:spacing w:after="0" w:line="37" w:lineRule="exact"/>
        <w:rPr>
          <w:sz w:val="20"/>
          <w:szCs w:val="20"/>
          <w:color w:val="auto"/>
        </w:rPr>
      </w:pPr>
    </w:p>
    <w:p>
      <w:pPr>
        <w:ind w:firstLine="421"/>
        <w:spacing w:after="0" w:line="259" w:lineRule="auto"/>
        <w:tabs>
          <w:tab w:leader="none" w:pos="71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in violation of its articles of incorporation or by-laws (or similar organizational documents) or (b) in default in the performance or observance of any obligation, covenant or condition contained in any contract, except to the extent such default would not have a material adverse effect.</w:t>
      </w:r>
    </w:p>
    <w:p>
      <w:pPr>
        <w:spacing w:after="0" w:line="59" w:lineRule="exact"/>
        <w:rPr>
          <w:rFonts w:ascii="Arial" w:cs="Arial" w:eastAsia="Arial" w:hAnsi="Arial"/>
          <w:sz w:val="18"/>
          <w:szCs w:val="18"/>
          <w:color w:val="auto"/>
        </w:rPr>
      </w:pPr>
    </w:p>
    <w:p>
      <w:pPr>
        <w:ind w:right="80" w:firstLine="421"/>
        <w:spacing w:after="0" w:line="306" w:lineRule="auto"/>
        <w:tabs>
          <w:tab w:leader="none" w:pos="76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(exclusive of any amendments or supplements thereto effected subsequent to the date of the Agreement).</w:t>
      </w:r>
    </w:p>
    <w:p>
      <w:pPr>
        <w:spacing w:after="0" w:line="25" w:lineRule="exact"/>
        <w:rPr>
          <w:rFonts w:ascii="Arial" w:cs="Arial" w:eastAsia="Arial" w:hAnsi="Arial"/>
          <w:sz w:val="16"/>
          <w:szCs w:val="16"/>
          <w:color w:val="auto"/>
        </w:rPr>
      </w:pPr>
    </w:p>
    <w:p>
      <w:pPr>
        <w:ind w:right="140" w:firstLine="421"/>
        <w:spacing w:after="0" w:line="294" w:lineRule="auto"/>
        <w:tabs>
          <w:tab w:leader="none" w:pos="81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Time of Sale Prospectus and are not so described or any statutes, regulations, contracts or other documents that are required to be described in the Registration Statement or the Time of Sale Prospectus or to be filed or incorporated by reference as exhibits to the Registration Statement that are not described, filed or incorporated as required.</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60" w:top="280" w:right="239" w:bottom="1440" w:gutter="0" w:footer="0" w:header="0"/>
        </w:sectPr>
      </w:pPr>
    </w:p>
    <w:bookmarkStart w:id="7" w:name="page8"/>
    <w:bookmarkEnd w:id="7"/>
    <w:p>
      <w:pPr>
        <w:ind w:left="820" w:right="220" w:firstLine="421"/>
        <w:spacing w:after="0" w:line="294" w:lineRule="auto"/>
        <w:tabs>
          <w:tab w:leader="none" w:pos="1537" w:val="left"/>
        </w:tabs>
        <w:numPr>
          <w:ilvl w:val="2"/>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Time of Sale Prospectus, except to the extent that the failure to obtain or file would not have a material adverse effect on the Company and its consolidated subsidiaries, taken as a whole.</w:t>
      </w:r>
    </w:p>
    <w:p>
      <w:pPr>
        <w:spacing w:after="0" w:line="115" w:lineRule="exact"/>
        <w:rPr>
          <w:rFonts w:ascii="Arial" w:cs="Arial" w:eastAsia="Arial" w:hAnsi="Arial"/>
          <w:sz w:val="16"/>
          <w:szCs w:val="16"/>
          <w:color w:val="auto"/>
        </w:rPr>
      </w:pPr>
    </w:p>
    <w:p>
      <w:pPr>
        <w:ind w:left="-100" w:right="80" w:firstLine="464"/>
        <w:spacing w:after="0" w:line="259" w:lineRule="auto"/>
        <w:tabs>
          <w:tab w:leader="none" w:pos="532"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Offering. The Issuers are advised by the Managers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Time of Sale Prospectus and the Prospectus.</w:t>
      </w:r>
    </w:p>
    <w:p>
      <w:pPr>
        <w:spacing w:after="0" w:line="140" w:lineRule="exact"/>
        <w:rPr>
          <w:rFonts w:ascii="Arial" w:cs="Arial" w:eastAsia="Arial" w:hAnsi="Arial"/>
          <w:sz w:val="18"/>
          <w:szCs w:val="18"/>
          <w:color w:val="auto"/>
        </w:rPr>
      </w:pPr>
    </w:p>
    <w:p>
      <w:pPr>
        <w:ind w:left="-100" w:firstLine="464"/>
        <w:spacing w:after="0" w:line="255" w:lineRule="auto"/>
        <w:tabs>
          <w:tab w:leader="none" w:pos="532"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142" w:lineRule="exact"/>
        <w:rPr>
          <w:rFonts w:ascii="Arial" w:cs="Arial" w:eastAsia="Arial" w:hAnsi="Arial"/>
          <w:sz w:val="18"/>
          <w:szCs w:val="18"/>
          <w:color w:val="auto"/>
        </w:rPr>
      </w:pPr>
    </w:p>
    <w:p>
      <w:pPr>
        <w:ind w:left="540" w:hanging="17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to Closing. The several obligations of the Underwriters hereunder are subject to the following conditions:</w:t>
      </w:r>
    </w:p>
    <w:p>
      <w:pPr>
        <w:spacing w:after="0" w:line="90" w:lineRule="exact"/>
        <w:rPr>
          <w:rFonts w:ascii="Arial" w:cs="Arial" w:eastAsia="Arial" w:hAnsi="Arial"/>
          <w:sz w:val="18"/>
          <w:szCs w:val="18"/>
          <w:color w:val="auto"/>
        </w:rPr>
      </w:pPr>
    </w:p>
    <w:p>
      <w:pPr>
        <w:ind w:left="360" w:right="20" w:firstLine="443"/>
        <w:spacing w:after="0" w:line="256" w:lineRule="auto"/>
        <w:tabs>
          <w:tab w:leader="none" w:pos="1037"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Rule 436(g)(2) under the Securities Act.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280" w:right="339" w:bottom="1440" w:gutter="0" w:footer="0" w:header="0"/>
        </w:sectPr>
      </w:pPr>
    </w:p>
    <w:bookmarkStart w:id="8" w:name="page9"/>
    <w:bookmarkEnd w:id="8"/>
    <w:p>
      <w:pPr>
        <w:ind w:firstLine="443"/>
        <w:spacing w:after="0" w:line="289"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Time of Sale Prospectus, that, in the judgment of the Managers, is material and adverse and that makes it, in the judgment of the Managers, impracticable to market the Offered Securities on the terms and in the manner contemplated in the Time of Sale Prospectus; and the Managers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37" w:lineRule="exact"/>
        <w:rPr>
          <w:rFonts w:ascii="Arial" w:cs="Arial" w:eastAsia="Arial" w:hAnsi="Arial"/>
          <w:sz w:val="16"/>
          <w:szCs w:val="16"/>
          <w:color w:val="auto"/>
        </w:rPr>
      </w:pPr>
    </w:p>
    <w:p>
      <w:pPr>
        <w:ind w:right="480" w:firstLine="443"/>
        <w:spacing w:after="0" w:line="259"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Arthur R. Block, Esquire, Senior Vice President, General Counsel and Secretary of the Company (or another lawyer of the Company reasonably satisfactory to the Underwriters), dated the Closing Date, to the effect (as applicable) that:</w:t>
      </w:r>
    </w:p>
    <w:p>
      <w:pPr>
        <w:spacing w:after="0" w:line="59" w:lineRule="exact"/>
        <w:rPr>
          <w:rFonts w:ascii="Arial" w:cs="Arial" w:eastAsia="Arial" w:hAnsi="Arial"/>
          <w:sz w:val="18"/>
          <w:szCs w:val="18"/>
          <w:color w:val="auto"/>
        </w:rPr>
      </w:pPr>
    </w:p>
    <w:p>
      <w:pPr>
        <w:ind w:left="460" w:right="40" w:firstLine="421"/>
        <w:spacing w:after="0" w:line="256" w:lineRule="auto"/>
        <w:tabs>
          <w:tab w:leader="none" w:pos="108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62" w:lineRule="exact"/>
        <w:rPr>
          <w:rFonts w:ascii="Arial" w:cs="Arial" w:eastAsia="Arial" w:hAnsi="Arial"/>
          <w:sz w:val="18"/>
          <w:szCs w:val="18"/>
          <w:color w:val="auto"/>
        </w:rPr>
      </w:pPr>
    </w:p>
    <w:p>
      <w:pPr>
        <w:ind w:left="460" w:right="120" w:firstLine="421"/>
        <w:spacing w:after="0" w:line="318" w:lineRule="auto"/>
        <w:tabs>
          <w:tab w:leader="none" w:pos="1138" w:val="left"/>
        </w:tabs>
        <w:numPr>
          <w:ilvl w:val="1"/>
          <w:numId w:val="7"/>
        </w:numPr>
        <w:rPr>
          <w:rFonts w:ascii="Arial" w:cs="Arial" w:eastAsia="Arial" w:hAnsi="Arial"/>
          <w:sz w:val="15"/>
          <w:szCs w:val="15"/>
          <w:color w:val="auto"/>
        </w:rPr>
      </w:pPr>
      <w:r>
        <w:rPr>
          <w:rFonts w:ascii="Arial" w:cs="Arial" w:eastAsia="Arial" w:hAnsi="Arial"/>
          <w:sz w:val="15"/>
          <w:szCs w:val="15"/>
          <w:color w:val="auto"/>
        </w:rPr>
        <w:t>all of the issued shares of capital stock of each Cable Guarantor have been duly and validly authorized and issued, are fully paid and non-assessable, and (except for directors’ qualifying shares and except as otherwise set forth in the Time of Sale Prospectus) are owned directly and indirectly by the Company, free and clear of all liens, encumbrances, equities or claims (such counsel being entitled to rely in respect of the opinion in this clause upon opinions of local counsel and in respect of matters of fact upon certificates of officers of the Company or its subsidiaries, provided that such counsel shall state that he believes that both the Managers and he are justified in relying upon such opinions and certificates);</w:t>
      </w:r>
    </w:p>
    <w:p>
      <w:pPr>
        <w:spacing w:after="0" w:line="8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ind w:left="-280" w:right="20" w:firstLine="421"/>
        <w:spacing w:after="0" w:line="268" w:lineRule="auto"/>
        <w:tabs>
          <w:tab w:leader="none" w:pos="447"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an authorized capitalization as set forth in the Time of Sale Prospectus, and all of the issued shares of capital stock of the Company have been duly and validly authorized and issued and are fully paid and non-assessable;</w:t>
      </w:r>
    </w:p>
    <w:p>
      <w:pPr>
        <w:spacing w:after="0" w:line="50" w:lineRule="exact"/>
        <w:rPr>
          <w:rFonts w:ascii="Arial" w:cs="Arial" w:eastAsia="Arial" w:hAnsi="Arial"/>
          <w:sz w:val="18"/>
          <w:szCs w:val="18"/>
          <w:color w:val="auto"/>
        </w:rPr>
      </w:pPr>
    </w:p>
    <w:p>
      <w:pPr>
        <w:ind w:left="-280" w:firstLine="421"/>
        <w:spacing w:after="0" w:line="294" w:lineRule="auto"/>
        <w:tabs>
          <w:tab w:leader="none" w:pos="437"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of the Senior Indenture dated as of January 7, 2003 among the Company, the Cable Guarantors (other than Comcast MO of Delaware, LLC) and The Bank of New York, as trustee (the “Trustee”), as amended by the First Supplemental Indenture dated as of March 25, 2003 among the Company, the Cable Guarantors and the Trustee (the “Senior Indenture”), and the Subordinated Indenture to be dated as of a date indicated in a relevant prospectus supplement (the “Subordinated Indenture”) among the Company and the Cable Guarantors and The Bank of New York, as trustee, has been duly authorized, executed and delivered by the Company;</w:t>
      </w:r>
    </w:p>
    <w:p>
      <w:pPr>
        <w:spacing w:after="0" w:line="34" w:lineRule="exact"/>
        <w:rPr>
          <w:rFonts w:ascii="Arial" w:cs="Arial" w:eastAsia="Arial" w:hAnsi="Arial"/>
          <w:sz w:val="16"/>
          <w:szCs w:val="16"/>
          <w:color w:val="auto"/>
        </w:rPr>
      </w:pPr>
    </w:p>
    <w:p>
      <w:pPr>
        <w:ind w:left="380" w:hanging="239"/>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Warrant Agreement, if any, has been duly authorized, executed and delivered by the Company;</w:t>
      </w:r>
    </w:p>
    <w:p>
      <w:pPr>
        <w:spacing w:after="0" w:line="90" w:lineRule="exact"/>
        <w:rPr>
          <w:rFonts w:ascii="Arial" w:cs="Arial" w:eastAsia="Arial" w:hAnsi="Arial"/>
          <w:sz w:val="18"/>
          <w:szCs w:val="18"/>
          <w:color w:val="auto"/>
        </w:rPr>
      </w:pPr>
    </w:p>
    <w:p>
      <w:pPr>
        <w:ind w:left="440" w:hanging="299"/>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Unit Agreement, if any, has been duly authorized, executed and delivered by the Company;</w:t>
      </w:r>
    </w:p>
    <w:p>
      <w:pPr>
        <w:spacing w:after="0" w:line="90" w:lineRule="exact"/>
        <w:rPr>
          <w:rFonts w:ascii="Arial" w:cs="Arial" w:eastAsia="Arial" w:hAnsi="Arial"/>
          <w:sz w:val="18"/>
          <w:szCs w:val="18"/>
          <w:color w:val="auto"/>
        </w:rPr>
      </w:pPr>
    </w:p>
    <w:p>
      <w:pPr>
        <w:ind w:left="480" w:hanging="339"/>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Offered Company Securities have been duly authorized by the Company;</w:t>
      </w:r>
    </w:p>
    <w:p>
      <w:pPr>
        <w:spacing w:after="0" w:line="90" w:lineRule="exact"/>
        <w:rPr>
          <w:rFonts w:ascii="Arial" w:cs="Arial" w:eastAsia="Arial" w:hAnsi="Arial"/>
          <w:sz w:val="18"/>
          <w:szCs w:val="18"/>
          <w:color w:val="auto"/>
        </w:rPr>
      </w:pPr>
    </w:p>
    <w:p>
      <w:pPr>
        <w:ind w:left="540" w:hanging="399"/>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280" w:firstLine="421"/>
        <w:spacing w:after="0" w:line="294" w:lineRule="auto"/>
        <w:tabs>
          <w:tab w:leader="none" w:pos="437"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Pennsylvania, or, to the best knowledge of</w:t>
      </w:r>
    </w:p>
    <w:p>
      <w:pPr>
        <w:spacing w:after="0" w:line="1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280" w:right="239" w:bottom="1440" w:gutter="0" w:footer="0" w:header="0"/>
        </w:sectPr>
      </w:pPr>
    </w:p>
    <w:bookmarkStart w:id="10" w:name="page11"/>
    <w:bookmarkEnd w:id="1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counsel, of any other state or jurisdiction of the United States, or the articles of incorporation or by-laws (or similar organizational document) of any Issuer or, to the best knowledge of such counsel, any material agreement or other material instrument binding upon such Issuer, and, except for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by any Issuer of its obligations under this Agreement, the Senior Indenture, the Subordinated Indenture, the Offered Securities, the Warrant Agreement, the Unit Agreement and the Additional Guarantee, if any;</w:t>
      </w:r>
    </w:p>
    <w:p>
      <w:pPr>
        <w:spacing w:after="0" w:line="37" w:lineRule="exact"/>
        <w:rPr>
          <w:sz w:val="20"/>
          <w:szCs w:val="20"/>
          <w:color w:val="auto"/>
        </w:rPr>
      </w:pPr>
    </w:p>
    <w:p>
      <w:pPr>
        <w:ind w:right="40" w:firstLine="421"/>
        <w:spacing w:after="0" w:line="290" w:lineRule="auto"/>
        <w:tabs>
          <w:tab w:leader="none" w:pos="668"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 to such qualification as may be set forth in the Time of Sale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Time of Sale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Time of Sale Prospectus, which restrictions would have a material adverse effect on the business or financial condition of the Company and its subsidiaries, as a whole;</w:t>
      </w:r>
    </w:p>
    <w:p>
      <w:pPr>
        <w:spacing w:after="0" w:line="37" w:lineRule="exact"/>
        <w:rPr>
          <w:rFonts w:ascii="Arial" w:cs="Arial" w:eastAsia="Arial" w:hAnsi="Arial"/>
          <w:sz w:val="16"/>
          <w:szCs w:val="16"/>
          <w:color w:val="auto"/>
        </w:rPr>
      </w:pPr>
    </w:p>
    <w:p>
      <w:pPr>
        <w:ind w:right="80" w:firstLine="421"/>
        <w:spacing w:after="0" w:line="306" w:lineRule="auto"/>
        <w:tabs>
          <w:tab w:leader="none" w:pos="71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statements (A) in Item 3 of the Company’s most recent Annual Report on Form 10-K incorporated by reference in the Time of Sale Prospectus, (B) in Part II, Item 1 under the caption “Legal Proceedings” of the Company’s most recent Quarterly Report on Form 10-Q incorporated by reference in the Time of Sale Prospectus and (C) in the Registration Statement in Item 15, insofar as</w:t>
      </w:r>
    </w:p>
    <w:p>
      <w:pPr>
        <w:spacing w:after="0" w:line="9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1160" w:top="280" w:right="239" w:bottom="1440" w:gutter="0" w:footer="0" w:header="0"/>
        </w:sectPr>
      </w:pPr>
    </w:p>
    <w:bookmarkStart w:id="11" w:name="page12"/>
    <w:bookmarkEnd w:id="11"/>
    <w:p>
      <w:pPr>
        <w:ind w:left="92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statements constitute a summary of the legal matters, documents or proceedings referred to therein, fairly present the information called for with respect to such legal matters, documents and proceedings;</w:t>
      </w:r>
    </w:p>
    <w:p>
      <w:pPr>
        <w:spacing w:after="0" w:line="51" w:lineRule="exact"/>
        <w:rPr>
          <w:sz w:val="20"/>
          <w:szCs w:val="20"/>
          <w:color w:val="auto"/>
        </w:rPr>
      </w:pPr>
    </w:p>
    <w:p>
      <w:pPr>
        <w:ind w:left="920" w:firstLine="421"/>
        <w:spacing w:after="0" w:line="255" w:lineRule="auto"/>
        <w:tabs>
          <w:tab w:leader="none" w:pos="16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Time of Sale Prospectus and is not so described or of any contract or other document which is required to be described in the Registration Statement or the Time of Sale Prospectus or to be filed as an exhibit to the Registration Statement which is not described or filed as required;</w:t>
      </w:r>
    </w:p>
    <w:p>
      <w:pPr>
        <w:spacing w:after="0" w:line="61" w:lineRule="exact"/>
        <w:rPr>
          <w:rFonts w:ascii="Arial" w:cs="Arial" w:eastAsia="Arial" w:hAnsi="Arial"/>
          <w:sz w:val="18"/>
          <w:szCs w:val="18"/>
          <w:color w:val="auto"/>
        </w:rPr>
      </w:pPr>
    </w:p>
    <w:p>
      <w:pPr>
        <w:ind w:left="920" w:right="100" w:firstLine="421"/>
        <w:spacing w:after="0" w:line="332" w:lineRule="auto"/>
        <w:tabs>
          <w:tab w:leader="none" w:pos="17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securities into which the Offered Company Securities are convertible, initially reserved for issuance upon conversion of the Offered Company Securities (the “Underlying Securities”), have been duly authorized and reserved for issuance; and</w:t>
      </w:r>
    </w:p>
    <w:p>
      <w:pPr>
        <w:spacing w:after="0" w:line="4" w:lineRule="exact"/>
        <w:rPr>
          <w:rFonts w:ascii="Arial" w:cs="Arial" w:eastAsia="Arial" w:hAnsi="Arial"/>
          <w:sz w:val="16"/>
          <w:szCs w:val="16"/>
          <w:color w:val="auto"/>
        </w:rPr>
      </w:pPr>
    </w:p>
    <w:p>
      <w:pPr>
        <w:ind w:left="920" w:right="460" w:firstLine="421"/>
        <w:spacing w:after="0" w:line="259" w:lineRule="auto"/>
        <w:tabs>
          <w:tab w:leader="none" w:pos="17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Company Securities in accordance with the terms of the Offered Company Securities, such Underlying Securities will be validly issued, fully paid and non-assessable and will not be subject to any preemptive or other right to subscribe for or purchase such Underlying Securities.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at the date such Registration Statement or any amendment (or any part thereof) is considered to have become effective as to the Underwriters pursuant to Section 11(d) of the Securities Act and Rule 430B(f) promulgated thereunder, contained an untrue statement of a material fact or omitted to state a material fact required to be stated therein or necessary to make the statements therein not misleading; (2) that the Time of Sale Prospectus (except for the financial statements and other financial or statistical data included or incorporated by reference therein or omitted therefrom, as to which such counsel is not called upon to express any belief), at the Applicable Time, contained an untrue statement of a material fact or omitted to state a material fact necessary in order to make the statements therein, in the light of the circumstances under which they are made, not misleading; (3) that the Prospectus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2" w:name="page13"/>
    <w:bookmarkEnd w:id="1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for the financial statements and other financial or statistical data included or incorporated by reference therein or omitted therefrom, as to which such counsel is not called upon to express any belief), at the date of the Underwriting Agreement or as amended or supplemented, if applicable, at the Closing Date, contained or contains an untrue statement of a material fact or omitted or omits to state a material fact necessary in order to make statements therein, in the light of the circumstances under which they are made, not misleading; or (4)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With respect to the preceding paragraph, such counsel may state that his opinion and belief is based upon his participation in the preparation of the Registration Statement, Time of Sale Prospectus, Prospectus (as amended or supplemented) and the documents incorporated therein by reference and review and discussion of the contents thereof, but is without independent check or verification except as specified.</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59" w:lineRule="exact"/>
        <w:rPr>
          <w:sz w:val="20"/>
          <w:szCs w:val="20"/>
          <w:color w:val="auto"/>
        </w:rPr>
      </w:pPr>
    </w:p>
    <w:p>
      <w:pPr>
        <w:ind w:left="460" w:firstLine="443"/>
        <w:spacing w:after="0" w:line="268"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Davis Polk &amp; Wardwell, special counsel for the Company, dated the Closing Date, to the effect that:</w:t>
      </w:r>
    </w:p>
    <w:p>
      <w:pPr>
        <w:spacing w:after="0" w:line="50" w:lineRule="exact"/>
        <w:rPr>
          <w:rFonts w:ascii="Arial" w:cs="Arial" w:eastAsia="Arial" w:hAnsi="Arial"/>
          <w:sz w:val="18"/>
          <w:szCs w:val="18"/>
          <w:color w:val="auto"/>
        </w:rPr>
      </w:pPr>
    </w:p>
    <w:p>
      <w:pPr>
        <w:ind w:left="920" w:right="540" w:firstLine="421"/>
        <w:spacing w:after="0" w:line="268" w:lineRule="auto"/>
        <w:tabs>
          <w:tab w:leader="none" w:pos="154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Cable Guarantor is a corporation or limited liability company duly incorporated or duly organized, validly existing and in good standing under the laws of the jurisdiction of its incorporation or formation;</w:t>
      </w:r>
    </w:p>
    <w:p>
      <w:pPr>
        <w:spacing w:after="0" w:line="50" w:lineRule="exact"/>
        <w:rPr>
          <w:rFonts w:ascii="Arial" w:cs="Arial" w:eastAsia="Arial" w:hAnsi="Arial"/>
          <w:sz w:val="18"/>
          <w:szCs w:val="18"/>
          <w:color w:val="auto"/>
        </w:rPr>
      </w:pPr>
    </w:p>
    <w:p>
      <w:pPr>
        <w:jc w:val="both"/>
        <w:ind w:left="920" w:right="200" w:firstLine="421"/>
        <w:spacing w:after="0" w:line="306" w:lineRule="auto"/>
        <w:tabs>
          <w:tab w:leader="none" w:pos="159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each of the Senior Indenture and the Subordinated Indenture has been duly authorized, executed and delivered by each Cable Guarantor and assuming each of the Senior Indenture and the Subordinated Indenture has been duly authorized, executed and delivered by the Company and duly executed and delivered by the respective trustee thereto, each of the Senior Indenture and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Indenture is a valid and binding agreement of each Issuer, enforceable against each Issuer in accordance with its terms (subject, as to enforcement of remedies, to applicable bankruptcy, reorganization, insolvency, fraudulent transfer, moratorium or other similar laws affecting creditors’ rights generally from time to time in effect and to general equity principles);</w:t>
      </w:r>
    </w:p>
    <w:p>
      <w:pPr>
        <w:spacing w:after="0" w:line="59" w:lineRule="exact"/>
        <w:rPr>
          <w:sz w:val="20"/>
          <w:szCs w:val="20"/>
          <w:color w:val="auto"/>
        </w:rPr>
      </w:pPr>
    </w:p>
    <w:p>
      <w:pPr>
        <w:ind w:firstLine="421"/>
        <w:spacing w:after="0" w:line="298" w:lineRule="auto"/>
        <w:tabs>
          <w:tab w:leader="none" w:pos="7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31" w:lineRule="exact"/>
        <w:rPr>
          <w:rFonts w:ascii="Arial" w:cs="Arial" w:eastAsia="Arial" w:hAnsi="Arial"/>
          <w:sz w:val="16"/>
          <w:szCs w:val="16"/>
          <w:color w:val="auto"/>
        </w:rPr>
      </w:pPr>
    </w:p>
    <w:p>
      <w:pPr>
        <w:jc w:val="both"/>
        <w:ind w:right="20" w:firstLine="421"/>
        <w:spacing w:after="0" w:line="256" w:lineRule="auto"/>
        <w:tabs>
          <w:tab w:leader="none" w:pos="7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62" w:lineRule="exact"/>
        <w:rPr>
          <w:rFonts w:ascii="Arial" w:cs="Arial" w:eastAsia="Arial" w:hAnsi="Arial"/>
          <w:sz w:val="18"/>
          <w:szCs w:val="18"/>
          <w:color w:val="auto"/>
        </w:rPr>
      </w:pPr>
    </w:p>
    <w:p>
      <w:pPr>
        <w:jc w:val="both"/>
        <w:ind w:right="80" w:firstLine="421"/>
        <w:spacing w:after="0" w:line="256" w:lineRule="auto"/>
        <w:tabs>
          <w:tab w:leader="none" w:pos="6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Additional Guarantee, if any, has been duly authorized, executed and delivered by each Cable Guarantor and is a valid and binding agreement of each Cable Guarantor, enforceable in accordance with its terms (subject, as to enforcement of remedies, to applicable bankruptcy, reorganization, insolvency, fraudulent transfer, moratorium or other similar laws affecting creditors’ rights generally from time to time in effect and to general equity principles);</w:t>
      </w:r>
    </w:p>
    <w:p>
      <w:pPr>
        <w:spacing w:after="0" w:line="62" w:lineRule="exact"/>
        <w:rPr>
          <w:rFonts w:ascii="Arial" w:cs="Arial" w:eastAsia="Arial" w:hAnsi="Arial"/>
          <w:sz w:val="18"/>
          <w:szCs w:val="18"/>
          <w:color w:val="auto"/>
        </w:rPr>
      </w:pPr>
    </w:p>
    <w:p>
      <w:pPr>
        <w:ind w:right="20" w:firstLine="421"/>
        <w:spacing w:after="0" w:line="298" w:lineRule="auto"/>
        <w:tabs>
          <w:tab w:leader="none" w:pos="7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Offered Company Securities have been authorized by the Company, when the Offered Company Securities have been duly executed and authenticated in accordance with the provisions of the relevant Senior Indenture or Subordinated Indenture, the Offered Securities and the Debt Securities will be valid and binding obligations of the Issuers, enforceable against them in accordance with their terms (subject, as to enforcement or remedies, to applicable</w:t>
      </w:r>
    </w:p>
    <w:p>
      <w:pPr>
        <w:spacing w:after="0" w:line="9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40"/>
          </w:cols>
          <w:pgMar w:left="1160" w:top="280" w:right="299" w:bottom="1440" w:gutter="0" w:footer="0" w:header="0"/>
        </w:sectPr>
      </w:pPr>
    </w:p>
    <w:bookmarkStart w:id="14" w:name="page15"/>
    <w:bookmarkEnd w:id="14"/>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bankruptcy, reorganization, insolvency, fraudulent transfer, moratorium or other similar laws affecting creditors’ rights generally from time to time in effect and to general equity principles), and will be entitled to the benefits of the relevant Senior Indenture or Subordinated Indenture.</w:t>
      </w:r>
    </w:p>
    <w:p>
      <w:pPr>
        <w:spacing w:after="0" w:line="4" w:lineRule="exact"/>
        <w:rPr>
          <w:sz w:val="20"/>
          <w:szCs w:val="20"/>
          <w:color w:val="auto"/>
        </w:rPr>
      </w:pPr>
    </w:p>
    <w:p>
      <w:pPr>
        <w:ind w:left="760" w:hanging="339"/>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Cable Guarantor party hereto;</w:t>
      </w:r>
    </w:p>
    <w:p>
      <w:pPr>
        <w:spacing w:after="0" w:line="90" w:lineRule="exact"/>
        <w:rPr>
          <w:rFonts w:ascii="Arial" w:cs="Arial" w:eastAsia="Arial" w:hAnsi="Arial"/>
          <w:sz w:val="18"/>
          <w:szCs w:val="18"/>
          <w:color w:val="auto"/>
        </w:rPr>
      </w:pPr>
    </w:p>
    <w:p>
      <w:pPr>
        <w:ind w:right="140" w:firstLine="421"/>
        <w:spacing w:after="0" w:line="268"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Senior Indenture and the Subordinated Indenture has been duly qualified under the Trust Indenture Act of 1939, as amended (the “Trust Indenture Act”);</w:t>
      </w:r>
    </w:p>
    <w:p>
      <w:pPr>
        <w:spacing w:after="0" w:line="50" w:lineRule="exact"/>
        <w:rPr>
          <w:rFonts w:ascii="Arial" w:cs="Arial" w:eastAsia="Arial" w:hAnsi="Arial"/>
          <w:sz w:val="18"/>
          <w:szCs w:val="18"/>
          <w:color w:val="auto"/>
        </w:rPr>
      </w:pPr>
    </w:p>
    <w:p>
      <w:pPr>
        <w:ind w:firstLine="421"/>
        <w:spacing w:after="0" w:line="286" w:lineRule="auto"/>
        <w:tabs>
          <w:tab w:leader="none" w:pos="7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or New York, or the certificate of incorporation or bylaws or equivalent organizational documents of any Cable Guarantor and, except for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any Issuer of its obligations under this Agreement, the Senior Indenture, the Subordinated Indenture, the Offered Securities, the Warrant Agreement, the Unit Agreement and the Additional Guarantee, if any, and</w:t>
      </w:r>
    </w:p>
    <w:p>
      <w:pPr>
        <w:spacing w:after="0" w:line="46" w:lineRule="exact"/>
        <w:rPr>
          <w:rFonts w:ascii="Arial" w:cs="Arial" w:eastAsia="Arial" w:hAnsi="Arial"/>
          <w:sz w:val="16"/>
          <w:szCs w:val="16"/>
          <w:color w:val="auto"/>
        </w:rPr>
      </w:pPr>
    </w:p>
    <w:p>
      <w:pPr>
        <w:ind w:right="80" w:firstLine="421"/>
        <w:spacing w:after="0" w:line="268" w:lineRule="auto"/>
        <w:tabs>
          <w:tab w:leader="none" w:pos="6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statements in the Prospectus Supplement under “Description of the Notes,” “Certain U.S. Tax Considerations” and “Underwriting” and in the Base Prospectus under “Description of Debt Securities and Cable Guarantees” and “Plan of Distribution,”</w:t>
      </w:r>
    </w:p>
    <w:p>
      <w:pPr>
        <w:spacing w:after="0" w:line="11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1160" w:top="280" w:right="239" w:bottom="1440" w:gutter="0" w:footer="0" w:header="0"/>
        </w:sectPr>
      </w:pPr>
    </w:p>
    <w:bookmarkStart w:id="15" w:name="page16"/>
    <w:bookmarkEnd w:id="15"/>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insofar as such statements constitute a summary of the legal matters or documents referred to therein, fairly present the information called for with respect to such legal matters and documents.</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Such counsel shall also state that (a) in its opinion,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Securities, (1)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such Registration Statement or any amendment (or any part thereof) is considered to have become effective as to the Underwriters pursuant to Section 11(d) of the Securities Act and Rule 430B(f) promulgated thereunder, contained an untrue statement of a material fact or omitted to state a material fact required to be stated therein or necessary to make the statements therein not misleading;</w:t>
      </w:r>
    </w:p>
    <w:p>
      <w:pPr>
        <w:spacing w:after="0" w:line="5" w:lineRule="exact"/>
        <w:rPr>
          <w:sz w:val="20"/>
          <w:szCs w:val="20"/>
          <w:color w:val="auto"/>
        </w:rPr>
      </w:pPr>
    </w:p>
    <w:p>
      <w:pPr>
        <w:jc w:val="center"/>
        <w:ind w:right="120" w:firstLine="8"/>
        <w:spacing w:after="0" w:line="300" w:lineRule="auto"/>
        <w:tabs>
          <w:tab w:leader="none" w:pos="2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that the Time of Sale Prospectus (except for the financial statements and other financial or statistical data included or incorporated by reference therein or omitted therefrom, as to which such counsel is not called upon to express any belief), at the Applicable Time, contained an untrue statement of a material fact or omitted to state a material fact necessary in order to make the statements therein, in the light of the circumstances under which they are made, not misleading; or</w:t>
      </w:r>
    </w:p>
    <w:p>
      <w:pPr>
        <w:spacing w:after="0" w:line="1" w:lineRule="exact"/>
        <w:rPr>
          <w:rFonts w:ascii="Arial" w:cs="Arial" w:eastAsia="Arial" w:hAnsi="Arial"/>
          <w:sz w:val="15"/>
          <w:szCs w:val="15"/>
          <w:color w:val="auto"/>
        </w:rPr>
      </w:pPr>
    </w:p>
    <w:p>
      <w:pPr>
        <w:ind w:right="60" w:firstLine="8"/>
        <w:spacing w:after="0" w:line="295"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the Prospectus (except for the financial statements and other financial or statistical data included or incorporated by reference therein or omitted therefrom, as to which such counsel is not called upon to express any belief), at the date of the Underwriting Agreement or as amended or supplemented, if applicable, at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respect to the preceding paragraph, Davis Polk &amp; Wardwell may state that their opinion and belief is based upon their participation in the preparation of the Registration Statement, Time of Sale Prospectus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 The Managers shall have received on the Closing Date an opinion of regulatory counsel for the Company, dated the Closing Date, to the effect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w:t>
      </w:r>
    </w:p>
    <w:p>
      <w:pPr>
        <w:spacing w:after="0" w:line="84" w:lineRule="exact"/>
        <w:rPr>
          <w:sz w:val="20"/>
          <w:szCs w:val="20"/>
          <w:color w:val="auto"/>
        </w:rPr>
      </w:pPr>
    </w:p>
    <w:p>
      <w:pPr>
        <w:ind w:left="920" w:right="220" w:firstLine="421"/>
        <w:spacing w:after="0" w:line="268" w:lineRule="auto"/>
        <w:tabs>
          <w:tab w:leader="none" w:pos="15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left="-280" w:right="180" w:firstLine="421"/>
        <w:spacing w:after="0" w:line="290" w:lineRule="auto"/>
        <w:tabs>
          <w:tab w:leader="none" w:pos="398"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execution and delivery of this Agreement, the Senior Indenture, the Subordinated Indenture, the Warrant Agreement, the Unit Agreement and the Additional Guarantee, if any,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Time of Sale Prospectus)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37" w:lineRule="exact"/>
        <w:rPr>
          <w:rFonts w:ascii="Arial" w:cs="Arial" w:eastAsia="Arial" w:hAnsi="Arial"/>
          <w:sz w:val="16"/>
          <w:szCs w:val="16"/>
          <w:color w:val="auto"/>
        </w:rPr>
      </w:pPr>
    </w:p>
    <w:p>
      <w:pPr>
        <w:ind w:left="-280" w:firstLine="421"/>
        <w:spacing w:after="0" w:line="294" w:lineRule="auto"/>
        <w:tabs>
          <w:tab w:leader="none" w:pos="4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statements in the Company’s most recent Annual Report on Form 10-K incorporated by reference in the Registration Statement, the Time of Sale Prospectus and Prospectus relating to cable regulatory matters, as updated by the Company’s most recent Quarterly Reports on Form 10-Q incorporated in the Registration Statement, the Time of Sale Prospectus and the Prospectus and as updated by the Time of Sale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34" w:lineRule="exact"/>
        <w:rPr>
          <w:rFonts w:ascii="Arial" w:cs="Arial" w:eastAsia="Arial" w:hAnsi="Arial"/>
          <w:sz w:val="16"/>
          <w:szCs w:val="16"/>
          <w:color w:val="auto"/>
        </w:rPr>
      </w:pPr>
    </w:p>
    <w:p>
      <w:pPr>
        <w:ind w:left="-280" w:right="140" w:firstLine="421"/>
        <w:spacing w:after="0" w:line="256" w:lineRule="auto"/>
        <w:tabs>
          <w:tab w:leader="none" w:pos="4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Time of Sale Prospectus pursuant to Regulation S-K promulgated under the Securities Act, which is not described as required.</w:t>
      </w:r>
    </w:p>
    <w:p>
      <w:pPr>
        <w:spacing w:after="0" w:line="13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0"/>
          </w:cols>
          <w:pgMar w:left="1440" w:top="280" w:right="239" w:bottom="1440" w:gutter="0" w:footer="0" w:header="0"/>
        </w:sectPr>
      </w:pPr>
    </w:p>
    <w:bookmarkStart w:id="17" w:name="page18"/>
    <w:bookmarkEnd w:id="17"/>
    <w:p>
      <w:pPr>
        <w:ind w:right="520" w:firstLine="443"/>
        <w:spacing w:after="0" w:line="332" w:lineRule="auto"/>
        <w:tabs>
          <w:tab w:leader="none" w:pos="657"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Managers shall have received on the Closing Date an opinion of Cahill Gordon &amp; Reindel </w:t>
      </w:r>
      <w:r>
        <w:rPr>
          <w:rFonts w:ascii="Arial" w:cs="Arial" w:eastAsia="Arial" w:hAnsi="Arial"/>
          <w:sz w:val="13"/>
          <w:szCs w:val="13"/>
          <w:color w:val="auto"/>
        </w:rPr>
        <w:t>LLP</w:t>
      </w:r>
      <w:r>
        <w:rPr>
          <w:rFonts w:ascii="Arial" w:cs="Arial" w:eastAsia="Arial" w:hAnsi="Arial"/>
          <w:sz w:val="16"/>
          <w:szCs w:val="16"/>
          <w:color w:val="auto"/>
        </w:rPr>
        <w:t>, counsel for the Underwriters, dated the Closing Date, covering the matters requested by and in form and substance reasonably satisfactory to the Managers.</w:t>
      </w:r>
    </w:p>
    <w:p>
      <w:pPr>
        <w:spacing w:after="0" w:line="4" w:lineRule="exact"/>
        <w:rPr>
          <w:rFonts w:ascii="Arial" w:cs="Arial" w:eastAsia="Arial" w:hAnsi="Arial"/>
          <w:sz w:val="16"/>
          <w:szCs w:val="16"/>
          <w:color w:val="auto"/>
        </w:rPr>
      </w:pPr>
    </w:p>
    <w:p>
      <w:pPr>
        <w:ind w:firstLine="443"/>
        <w:spacing w:after="0" w:line="290" w:lineRule="auto"/>
        <w:tabs>
          <w:tab w:leader="none" w:pos="687"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Time of Sale Prospectus and the Prospectus and each other firm of independent accountants, if any, who audited or reviewed financial statements contained in or incorporated by reference in the Registration Statement, the Time of Sale Prospectus and the Prospectus, containing statements and information of the type ordinarily included in accountants’ “comfort letters” to underwriters with respect to such financial statements and financial information.</w:t>
      </w:r>
    </w:p>
    <w:p>
      <w:pPr>
        <w:spacing w:after="0" w:line="37" w:lineRule="exact"/>
        <w:rPr>
          <w:rFonts w:ascii="Arial" w:cs="Arial" w:eastAsia="Arial" w:hAnsi="Arial"/>
          <w:sz w:val="16"/>
          <w:szCs w:val="16"/>
          <w:color w:val="auto"/>
        </w:rPr>
      </w:pPr>
    </w:p>
    <w:p>
      <w:pPr>
        <w:ind w:right="40" w:firstLine="443"/>
        <w:spacing w:after="0" w:line="268" w:lineRule="auto"/>
        <w:tabs>
          <w:tab w:leader="none" w:pos="6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Covenants of the Company. In further consideration of the agreements of the Underwriters herein contained, the Issuers covenant as follows:</w:t>
      </w:r>
    </w:p>
    <w:p>
      <w:pPr>
        <w:spacing w:after="0" w:line="113" w:lineRule="exact"/>
        <w:rPr>
          <w:rFonts w:ascii="Arial" w:cs="Arial" w:eastAsia="Arial" w:hAnsi="Arial"/>
          <w:sz w:val="16"/>
          <w:szCs w:val="16"/>
          <w:color w:val="auto"/>
        </w:rPr>
      </w:pPr>
    </w:p>
    <w:p>
      <w:pPr>
        <w:ind w:right="20" w:firstLine="443"/>
        <w:spacing w:after="0" w:line="256" w:lineRule="auto"/>
        <w:tabs>
          <w:tab w:leader="none" w:pos="67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Time of Sale Prospectus, the Prospectus, any documents incorporated therein by reference and any supplements and amendments thereto as the Managers may reasonably request.</w:t>
      </w:r>
    </w:p>
    <w:p>
      <w:pPr>
        <w:spacing w:after="0" w:line="62" w:lineRule="exact"/>
        <w:rPr>
          <w:rFonts w:ascii="Arial" w:cs="Arial" w:eastAsia="Arial" w:hAnsi="Arial"/>
          <w:sz w:val="18"/>
          <w:szCs w:val="18"/>
          <w:color w:val="auto"/>
        </w:rPr>
      </w:pPr>
    </w:p>
    <w:p>
      <w:pPr>
        <w:ind w:right="120" w:firstLine="443"/>
        <w:spacing w:after="0" w:line="268" w:lineRule="auto"/>
        <w:tabs>
          <w:tab w:leader="none" w:pos="687"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the Managers a copy of each such proposed amendment or supplement.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8" w:name="page19"/>
    <w:bookmarkEnd w:id="18"/>
    <w:p>
      <w:pPr>
        <w:ind w:right="60" w:firstLine="443"/>
        <w:spacing w:after="0" w:line="268"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Before filing, using or referring to any free writing prospectus relating to the Offered Securities, to furnish the Managers a copy of each such free writing prospectus.</w:t>
      </w:r>
    </w:p>
    <w:p>
      <w:pPr>
        <w:spacing w:after="0" w:line="50" w:lineRule="exact"/>
        <w:rPr>
          <w:rFonts w:ascii="Arial" w:cs="Arial" w:eastAsia="Arial" w:hAnsi="Arial"/>
          <w:sz w:val="18"/>
          <w:szCs w:val="18"/>
          <w:color w:val="auto"/>
        </w:rPr>
      </w:pPr>
    </w:p>
    <w:p>
      <w:pPr>
        <w:ind w:right="260" w:firstLine="443"/>
        <w:spacing w:after="0" w:line="259"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59" w:lineRule="exact"/>
        <w:rPr>
          <w:rFonts w:ascii="Arial" w:cs="Arial" w:eastAsia="Arial" w:hAnsi="Arial"/>
          <w:sz w:val="18"/>
          <w:szCs w:val="18"/>
          <w:color w:val="auto"/>
        </w:rPr>
      </w:pPr>
    </w:p>
    <w:p>
      <w:pPr>
        <w:ind w:firstLine="443"/>
        <w:spacing w:after="0" w:line="289" w:lineRule="auto"/>
        <w:tabs>
          <w:tab w:leader="none" w:pos="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w:t>
      </w:r>
    </w:p>
    <w:p>
      <w:pPr>
        <w:spacing w:after="0" w:line="37" w:lineRule="exact"/>
        <w:rPr>
          <w:rFonts w:ascii="Arial" w:cs="Arial" w:eastAsia="Arial" w:hAnsi="Arial"/>
          <w:sz w:val="16"/>
          <w:szCs w:val="16"/>
          <w:color w:val="auto"/>
        </w:rPr>
      </w:pPr>
    </w:p>
    <w:p>
      <w:pPr>
        <w:ind w:firstLine="443"/>
        <w:spacing w:after="0" w:line="290" w:lineRule="auto"/>
        <w:tabs>
          <w:tab w:leader="none" w:pos="65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19" w:name="page20"/>
    <w:bookmarkEnd w:id="19"/>
    <w:p>
      <w:pPr>
        <w:ind w:left="460" w:right="160" w:firstLine="443"/>
        <w:spacing w:after="0" w:line="268" w:lineRule="auto"/>
        <w:tabs>
          <w:tab w:leader="none" w:pos="1147"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endeavor to qualify the Offered Securities for offer and sale under the securities or Blue Sky laws of such U.S. jurisdictions as the Managers shall reasonably request.</w:t>
      </w:r>
    </w:p>
    <w:p>
      <w:pPr>
        <w:spacing w:after="0" w:line="50"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Covenants of the Underwriters. In further consideration of the agreements of the Issuers herein contained, each Underwriter severally covenants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83" w:lineRule="exact"/>
        <w:rPr>
          <w:rFonts w:ascii="Arial" w:cs="Arial" w:eastAsia="Arial" w:hAnsi="Arial"/>
          <w:sz w:val="16"/>
          <w:szCs w:val="16"/>
          <w:color w:val="auto"/>
        </w:rPr>
      </w:pPr>
    </w:p>
    <w:p>
      <w:pPr>
        <w:ind w:left="460" w:right="140" w:firstLine="443"/>
        <w:spacing w:after="0" w:line="259" w:lineRule="auto"/>
        <w:tabs>
          <w:tab w:leader="none" w:pos="11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49" w:val="left"/>
        </w:tabs>
        <w:numPr>
          <w:ilvl w:val="2"/>
          <w:numId w:val="21"/>
        </w:numPr>
        <w:rPr>
          <w:rFonts w:ascii="Arial" w:cs="Arial" w:eastAsia="Arial" w:hAnsi="Arial"/>
          <w:sz w:val="18"/>
          <w:szCs w:val="18"/>
          <w:color w:val="auto"/>
        </w:rPr>
      </w:pPr>
      <w:r>
        <w:rPr>
          <w:rFonts w:ascii="Arial" w:cs="Arial" w:eastAsia="Arial" w:hAnsi="Arial"/>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the Underwriting Agreement or otherwise permitted under Rule 134 of the Securities Act;</w:t>
      </w:r>
    </w:p>
    <w:p>
      <w:pPr>
        <w:spacing w:after="0" w:line="59" w:lineRule="exact"/>
        <w:rPr>
          <w:rFonts w:ascii="Arial" w:cs="Arial" w:eastAsia="Arial" w:hAnsi="Arial"/>
          <w:sz w:val="18"/>
          <w:szCs w:val="18"/>
          <w:color w:val="auto"/>
        </w:rPr>
      </w:pPr>
    </w:p>
    <w:p>
      <w:pPr>
        <w:ind w:left="920" w:firstLine="421"/>
        <w:spacing w:after="0" w:line="332" w:lineRule="auto"/>
        <w:tabs>
          <w:tab w:leader="none" w:pos="1598" w:val="left"/>
        </w:tabs>
        <w:numPr>
          <w:ilvl w:val="2"/>
          <w:numId w:val="21"/>
        </w:numPr>
        <w:rPr>
          <w:rFonts w:ascii="Arial" w:cs="Arial" w:eastAsia="Arial" w:hAnsi="Arial"/>
          <w:sz w:val="16"/>
          <w:szCs w:val="16"/>
          <w:color w:val="auto"/>
        </w:rPr>
      </w:pPr>
      <w:r>
        <w:rPr>
          <w:rFonts w:ascii="Arial" w:cs="Arial" w:eastAsia="Arial" w:hAnsi="Arial"/>
          <w:sz w:val="16"/>
          <w:szCs w:val="16"/>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2"/>
          <w:numId w:val="21"/>
        </w:numPr>
        <w:rPr>
          <w:rFonts w:ascii="Arial" w:cs="Arial" w:eastAsia="Arial" w:hAnsi="Arial"/>
          <w:sz w:val="16"/>
          <w:szCs w:val="16"/>
          <w:color w:val="auto"/>
        </w:rPr>
      </w:pPr>
      <w:r>
        <w:rPr>
          <w:rFonts w:ascii="Arial" w:cs="Arial" w:eastAsia="Arial" w:hAnsi="Arial"/>
          <w:sz w:val="16"/>
          <w:szCs w:val="16"/>
          <w:color w:val="auto"/>
        </w:rPr>
        <w:t>a free writing prospectus identified in Schedule I to the Underwriting Agreement as forming part of the Time of Sale Prospectus.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ind w:firstLine="464"/>
        <w:spacing w:after="0" w:line="284"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and Contribution. The Issuers, jointly and severally, agree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Time of Sale Prospectus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Time of Sale Prospectus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Time of Sale Prospectus contains an untrue statement of a material fact or an omission to state a material fact necessary to make the statements therein not misleading, (b) the Issuers provided a copy of any such preliminary prospectus, issuer free writing prospectus or Time of Sale Prospectus (as then amended or supplemented if the Company shall have furnished any amendments or supplements thereto) or a separate free writing prospectus correcting such material misstatement or omission to the contact of the Managers indicated in the notice provision contained in the Underwriting Agreement sufficiently in advance of first entering into a contract of sale of Offered Securities with such person (the “</w:t>
      </w:r>
      <w:r>
        <w:rPr>
          <w:rFonts w:ascii="Arial" w:cs="Arial" w:eastAsia="Arial" w:hAnsi="Arial"/>
          <w:sz w:val="16"/>
          <w:szCs w:val="16"/>
          <w:b w:val="1"/>
          <w:bCs w:val="1"/>
          <w:color w:val="auto"/>
        </w:rPr>
        <w:t>Time of Sale</w:t>
      </w:r>
      <w:r>
        <w:rPr>
          <w:rFonts w:ascii="Arial" w:cs="Arial" w:eastAsia="Arial" w:hAnsi="Arial"/>
          <w:sz w:val="16"/>
          <w:szCs w:val="16"/>
          <w:color w:val="auto"/>
        </w:rPr>
        <w:t>”) so that such preliminary prospectus, issuer free writing prospectus or Time of Sale Prospectus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Time of Sale Prospectus or separate free writing prospectus was not conveyed by or on behalf of such Underwriter to such person, if required by law so to have been conveyed, at or prior to the Time of Sale, and if such corrected preliminary prospectus, issuer free writing prospectus, or Time of Sale Prospectus (as so amended or supplemented but without reference to documents incorporated by reference therein) or separate free writing prospectus would have cured the defect giving rise to such loss, claim, damage or liability.</w:t>
      </w:r>
    </w:p>
    <w:p>
      <w:pPr>
        <w:spacing w:after="0" w:line="12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Each Underwriter severally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furnished to any Issuer in writing by such Underwriter through the Managers expressly for use in the Registration Statement, any preliminary prospectus, the Time of Sale Prospectus, any issuer free writing prospectus, the Prospectus or any amendment or supplement thereto.</w:t>
      </w:r>
    </w:p>
    <w:p>
      <w:pPr>
        <w:spacing w:after="0" w:line="8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3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2" w:name="page23"/>
    <w:bookmarkEnd w:id="22"/>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2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0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left="640" w:hanging="176"/>
        <w:spacing w:after="0"/>
        <w:tabs>
          <w:tab w:leader="none" w:pos="640"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This Agreement shall be subject to termination in the absolute discretion of the Managers by notice given by the Managers to the Issuers, if</w:t>
      </w:r>
    </w:p>
    <w:p>
      <w:pPr>
        <w:spacing w:after="0" w:line="38" w:lineRule="exact"/>
        <w:rPr>
          <w:rFonts w:ascii="Arial" w:cs="Arial" w:eastAsia="Arial" w:hAnsi="Arial"/>
          <w:sz w:val="16"/>
          <w:szCs w:val="16"/>
          <w:color w:val="auto"/>
        </w:rPr>
      </w:pPr>
    </w:p>
    <w:p>
      <w:pPr>
        <w:ind w:right="100" w:firstLine="8"/>
        <w:spacing w:after="0" w:line="288" w:lineRule="auto"/>
        <w:tabs>
          <w:tab w:leader="none" w:pos="23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after the Applicable Time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Time of Sale Prospectus.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Issuers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the Time of Sale Prospectus, any free writing prospectus and the Prospectus and any amendments or supplements thereto, and the cost of furnishing copies thereto to the Underwriters, (b) the preparation, printing and distribution of this Agreement, the Senior Indenture, the Subordinated Indenture, the Warrant Agreement, the Unit Agreement and the Additional Guarantee, if any, and Blue Sky Memorandum, (c) the delivery of the Offered Securities to the Underwriters, (d) the reasonable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(g) any fees charged by rating agencies for rating the Offered Securities and (h) the fees and expenses of the Trustee, including the fees and disbursements of counsel for the Trustee, in connection 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113" w:lineRule="exact"/>
        <w:rPr>
          <w:sz w:val="20"/>
          <w:szCs w:val="20"/>
          <w:color w:val="auto"/>
        </w:rPr>
      </w:pPr>
    </w:p>
    <w:p>
      <w:pPr>
        <w:ind w:firstLine="464"/>
        <w:spacing w:after="0" w:line="306" w:lineRule="auto"/>
        <w:tabs>
          <w:tab w:leader="none" w:pos="632"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08" w:lineRule="exact"/>
        <w:rPr>
          <w:rFonts w:ascii="Arial" w:cs="Arial" w:eastAsia="Arial" w:hAnsi="Arial"/>
          <w:sz w:val="15"/>
          <w:szCs w:val="15"/>
          <w:color w:val="auto"/>
        </w:rPr>
      </w:pPr>
    </w:p>
    <w:p>
      <w:pPr>
        <w:ind w:right="100" w:firstLine="464"/>
        <w:spacing w:after="0" w:line="26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Counterparts. The Underwriting Agreement may be signed in any number of counterparts, each of which shall be an original, with the same effect as if the signatures thereto and hereto were upon the same instrument.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Applicable Law. This Agreement shall be governed by and construed in accordance with the internal laws of the State of New York.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ind w:left="-200" w:firstLine="464"/>
        <w:spacing w:after="0" w:line="268"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Headings. The headings of the sections of this Agreement have been inserted for convenience of reference only and shall not be deemed a part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80"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Cable Guarantors (as defined below) (other than Comcast MO of Delaware, LLC) and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Company, the Cable Guarantors and the Trustee, and guaranteed on an unsecured and unsubordinated basis by Comcast Cable Communications, LLC (formerly known as Comcast Cable Communications, Inc.), Comcast Cable Communications Holdings, Inc., Comcast Cable Holdings, LLC, Comcast MO Group, Inc., and Comcast MO of Delaware, LLC (formerly known as Comcast MO of Delaware, Inc.) (the “</w:t>
      </w:r>
      <w:r>
        <w:rPr>
          <w:rFonts w:ascii="Arial" w:cs="Arial" w:eastAsia="Arial" w:hAnsi="Arial"/>
          <w:sz w:val="16"/>
          <w:szCs w:val="16"/>
          <w:b w:val="1"/>
          <w:bCs w:val="1"/>
          <w:color w:val="auto"/>
        </w:rPr>
        <w:t>Cable Guarantors</w:t>
      </w:r>
      <w:r>
        <w:rPr>
          <w:rFonts w:ascii="Arial" w:cs="Arial" w:eastAsia="Arial" w:hAnsi="Arial"/>
          <w:sz w:val="16"/>
          <w:szCs w:val="16"/>
          <w:color w:val="auto"/>
        </w:rPr>
        <w:t>”), the undersigned officers of the Company do hereby certify, in connection with the issuance of the Company’s $1,000,000,000 aggregate principal amount of 5.70% Notes Due 2018 (the “</w:t>
      </w:r>
      <w:r>
        <w:rPr>
          <w:rFonts w:ascii="Arial" w:cs="Arial" w:eastAsia="Arial" w:hAnsi="Arial"/>
          <w:sz w:val="16"/>
          <w:szCs w:val="16"/>
          <w:b w:val="1"/>
          <w:bCs w:val="1"/>
          <w:color w:val="auto"/>
        </w:rPr>
        <w:t>2018 Notes</w:t>
      </w:r>
      <w:r>
        <w:rPr>
          <w:rFonts w:ascii="Arial" w:cs="Arial" w:eastAsia="Arial" w:hAnsi="Arial"/>
          <w:sz w:val="16"/>
          <w:szCs w:val="16"/>
          <w:color w:val="auto"/>
        </w:rPr>
        <w:t>”) and $1,000,000,000 aggregate principal amount of 6.40% Notes Due 2038 (the “</w:t>
      </w:r>
      <w:r>
        <w:rPr>
          <w:rFonts w:ascii="Arial" w:cs="Arial" w:eastAsia="Arial" w:hAnsi="Arial"/>
          <w:sz w:val="16"/>
          <w:szCs w:val="16"/>
          <w:b w:val="1"/>
          <w:bCs w:val="1"/>
          <w:color w:val="auto"/>
        </w:rPr>
        <w:t>2038</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together with the 2018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5.</w:t>
            </w:r>
            <w:r>
              <w:rPr>
                <w:rFonts w:ascii="Arial" w:cs="Arial" w:eastAsia="Arial" w:hAnsi="Arial"/>
                <w:sz w:val="18"/>
                <w:szCs w:val="18"/>
                <w:b w:val="1"/>
                <w:bCs w:val="1"/>
                <w:u w:val="single" w:color="auto"/>
                <w:color w:val="auto"/>
                <w:w w:val="87"/>
              </w:rPr>
              <w:t>70%</w:t>
            </w:r>
            <w:r>
              <w:rPr>
                <w:rFonts w:ascii="Arial" w:cs="Arial" w:eastAsia="Arial" w:hAnsi="Arial"/>
                <w:sz w:val="18"/>
                <w:szCs w:val="18"/>
                <w:b w:val="1"/>
                <w:bCs w:val="1"/>
                <w:color w:val="auto"/>
                <w:w w:val="87"/>
              </w:rPr>
              <w:t xml:space="preserve"> Notes Due 2018</w:t>
            </w:r>
          </w:p>
        </w:tc>
        <w:tc>
          <w:tcPr>
            <w:tcW w:w="4820" w:type="dxa"/>
            <w:vAlign w:val="bottom"/>
          </w:tcPr>
          <w:p>
            <w:pPr>
              <w:spacing w:after="0"/>
              <w:rPr>
                <w:sz w:val="17"/>
                <w:szCs w:val="17"/>
                <w:color w:val="auto"/>
              </w:rPr>
            </w:pPr>
          </w:p>
        </w:tc>
      </w:tr>
      <w:tr>
        <w:trPr>
          <w:trHeight w:val="437"/>
        </w:trPr>
        <w:tc>
          <w:tcPr>
            <w:tcW w:w="24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920" w:type="dxa"/>
            <w:vAlign w:val="bottom"/>
            <w:gridSpan w:val="3"/>
          </w:tcPr>
          <w:p>
            <w:pPr>
              <w:ind w:left="420"/>
              <w:spacing w:after="0"/>
              <w:rPr>
                <w:sz w:val="20"/>
                <w:szCs w:val="20"/>
                <w:color w:val="auto"/>
              </w:rPr>
            </w:pPr>
            <w:r>
              <w:rPr>
                <w:rFonts w:ascii="Arial" w:cs="Arial" w:eastAsia="Arial" w:hAnsi="Arial"/>
                <w:sz w:val="18"/>
                <w:szCs w:val="18"/>
                <w:color w:val="auto"/>
              </w:rPr>
              <w:t>5.70% Notes Due 2018</w:t>
            </w:r>
          </w:p>
        </w:tc>
      </w:tr>
      <w:tr>
        <w:trPr>
          <w:trHeight w:val="318"/>
        </w:trPr>
        <w:tc>
          <w:tcPr>
            <w:tcW w:w="2460" w:type="dxa"/>
            <w:vAlign w:val="bottom"/>
          </w:tcPr>
          <w:p>
            <w:pPr>
              <w:spacing w:after="0"/>
              <w:rPr>
                <w:sz w:val="20"/>
                <w:szCs w:val="20"/>
                <w:color w:val="auto"/>
              </w:rPr>
            </w:pPr>
            <w:r>
              <w:rPr>
                <w:rFonts w:ascii="Arial" w:cs="Arial" w:eastAsia="Arial" w:hAnsi="Arial"/>
                <w:sz w:val="18"/>
                <w:szCs w:val="18"/>
                <w:i w:val="1"/>
                <w:iCs w:val="1"/>
                <w:color w:val="auto"/>
              </w:rPr>
              <w:t>Aggregate Principal Amount</w:t>
            </w:r>
          </w:p>
        </w:tc>
        <w:tc>
          <w:tcPr>
            <w:tcW w:w="2420" w:type="dxa"/>
            <w:vAlign w:val="bottom"/>
          </w:tcPr>
          <w:p>
            <w:pPr>
              <w:ind w:left="420"/>
              <w:spacing w:after="0"/>
              <w:rPr>
                <w:sz w:val="20"/>
                <w:szCs w:val="20"/>
                <w:color w:val="auto"/>
              </w:rPr>
            </w:pPr>
            <w:r>
              <w:rPr>
                <w:rFonts w:ascii="Arial" w:cs="Arial" w:eastAsia="Arial" w:hAnsi="Arial"/>
                <w:sz w:val="18"/>
                <w:szCs w:val="18"/>
                <w:color w:val="auto"/>
              </w:rPr>
              <w:t>$1,000,000,000</w:t>
            </w:r>
          </w:p>
        </w:tc>
        <w:tc>
          <w:tcPr>
            <w:tcW w:w="16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i w:val="1"/>
                <w:iCs w:val="1"/>
                <w:color w:val="auto"/>
              </w:rPr>
              <w:t>at Maturity:</w:t>
            </w:r>
          </w:p>
        </w:tc>
        <w:tc>
          <w:tcPr>
            <w:tcW w:w="2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920" w:type="dxa"/>
            <w:vAlign w:val="bottom"/>
            <w:gridSpan w:val="3"/>
          </w:tcPr>
          <w:p>
            <w:pPr>
              <w:ind w:left="420"/>
              <w:spacing w:after="0"/>
              <w:rPr>
                <w:sz w:val="20"/>
                <w:szCs w:val="20"/>
                <w:color w:val="auto"/>
              </w:rPr>
            </w:pPr>
            <w:r>
              <w:rPr>
                <w:rFonts w:ascii="Arial" w:cs="Arial" w:eastAsia="Arial" w:hAnsi="Arial"/>
                <w:sz w:val="18"/>
                <w:szCs w:val="18"/>
                <w:color w:val="auto"/>
              </w:rPr>
              <w:t>May 15, 2018</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420" w:type="dxa"/>
            <w:vAlign w:val="bottom"/>
          </w:tcPr>
          <w:p>
            <w:pPr>
              <w:ind w:left="420"/>
              <w:spacing w:after="0"/>
              <w:rPr>
                <w:sz w:val="20"/>
                <w:szCs w:val="20"/>
                <w:color w:val="auto"/>
              </w:rPr>
            </w:pPr>
            <w:r>
              <w:rPr>
                <w:rFonts w:ascii="Arial" w:cs="Arial" w:eastAsia="Arial" w:hAnsi="Arial"/>
                <w:sz w:val="18"/>
                <w:szCs w:val="18"/>
                <w:color w:val="auto"/>
              </w:rPr>
              <w:t>5.70%</w:t>
            </w:r>
          </w:p>
        </w:tc>
        <w:tc>
          <w:tcPr>
            <w:tcW w:w="168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8"/>
        </w:trPr>
        <w:tc>
          <w:tcPr>
            <w:tcW w:w="24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920" w:type="dxa"/>
            <w:vAlign w:val="bottom"/>
            <w:gridSpan w:val="3"/>
          </w:tcPr>
          <w:p>
            <w:pPr>
              <w:ind w:left="420"/>
              <w:spacing w:after="0"/>
              <w:rPr>
                <w:sz w:val="20"/>
                <w:szCs w:val="20"/>
                <w:color w:val="auto"/>
              </w:rPr>
            </w:pPr>
            <w:r>
              <w:rPr>
                <w:rFonts w:ascii="Arial" w:cs="Arial" w:eastAsia="Arial" w:hAnsi="Arial"/>
                <w:sz w:val="18"/>
                <w:szCs w:val="18"/>
                <w:color w:val="auto"/>
                <w:w w:val="89"/>
              </w:rPr>
              <w:t>The Company may at its option redeem the 2018 Notes in whole or in part, at any time or from time to time prior to their</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420"/>
              <w:spacing w:after="0"/>
              <w:rPr>
                <w:sz w:val="20"/>
                <w:szCs w:val="20"/>
                <w:color w:val="auto"/>
              </w:rPr>
            </w:pPr>
            <w:r>
              <w:rPr>
                <w:rFonts w:ascii="Arial" w:cs="Arial" w:eastAsia="Arial" w:hAnsi="Arial"/>
                <w:sz w:val="18"/>
                <w:szCs w:val="18"/>
                <w:color w:val="auto"/>
                <w:w w:val="89"/>
              </w:rPr>
              <w:t>maturity, on at least 30 days, but not more than 60 days, prior notice mailed to the registered address of each holder of</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420"/>
              <w:spacing w:after="0"/>
              <w:rPr>
                <w:sz w:val="20"/>
                <w:szCs w:val="20"/>
                <w:color w:val="auto"/>
              </w:rPr>
            </w:pPr>
            <w:r>
              <w:rPr>
                <w:rFonts w:ascii="Arial" w:cs="Arial" w:eastAsia="Arial" w:hAnsi="Arial"/>
                <w:sz w:val="18"/>
                <w:szCs w:val="18"/>
                <w:color w:val="auto"/>
                <w:w w:val="89"/>
              </w:rPr>
              <w:t>the 2018 Notes, at a redemption price equal to the greater of (i) 100% of the principal amount of the 2018 Notes and (ii)</w:t>
            </w:r>
          </w:p>
        </w:tc>
      </w:tr>
      <w:tr>
        <w:trPr>
          <w:trHeight w:val="216"/>
        </w:trPr>
        <w:tc>
          <w:tcPr>
            <w:tcW w:w="2460" w:type="dxa"/>
            <w:vAlign w:val="bottom"/>
          </w:tcPr>
          <w:p>
            <w:pPr>
              <w:spacing w:after="0"/>
              <w:rPr>
                <w:sz w:val="18"/>
                <w:szCs w:val="18"/>
                <w:color w:val="auto"/>
              </w:rPr>
            </w:pPr>
          </w:p>
        </w:tc>
        <w:tc>
          <w:tcPr>
            <w:tcW w:w="8920" w:type="dxa"/>
            <w:vAlign w:val="bottom"/>
            <w:gridSpan w:val="3"/>
          </w:tcPr>
          <w:p>
            <w:pPr>
              <w:ind w:left="420"/>
              <w:spacing w:after="0"/>
              <w:rPr>
                <w:sz w:val="20"/>
                <w:szCs w:val="20"/>
                <w:color w:val="auto"/>
              </w:rPr>
            </w:pPr>
            <w:r>
              <w:rPr>
                <w:rFonts w:ascii="Arial" w:cs="Arial" w:eastAsia="Arial" w:hAnsi="Arial"/>
                <w:sz w:val="18"/>
                <w:szCs w:val="18"/>
                <w:color w:val="auto"/>
                <w:w w:val="87"/>
              </w:rPr>
              <w:t>the sum of the present values of the remaining scheduled payments of principal and interest thereon (exclusive of interest</w:t>
            </w:r>
          </w:p>
        </w:tc>
      </w:tr>
      <w:tr>
        <w:trPr>
          <w:trHeight w:val="222"/>
        </w:trPr>
        <w:tc>
          <w:tcPr>
            <w:tcW w:w="2460" w:type="dxa"/>
            <w:vAlign w:val="bottom"/>
          </w:tcPr>
          <w:p>
            <w:pPr>
              <w:spacing w:after="0"/>
              <w:rPr>
                <w:sz w:val="19"/>
                <w:szCs w:val="19"/>
                <w:color w:val="auto"/>
              </w:rPr>
            </w:pPr>
          </w:p>
        </w:tc>
        <w:tc>
          <w:tcPr>
            <w:tcW w:w="8920" w:type="dxa"/>
            <w:vAlign w:val="bottom"/>
            <w:gridSpan w:val="3"/>
          </w:tcPr>
          <w:p>
            <w:pPr>
              <w:ind w:left="420"/>
              <w:spacing w:after="0"/>
              <w:rPr>
                <w:sz w:val="20"/>
                <w:szCs w:val="20"/>
                <w:color w:val="auto"/>
              </w:rPr>
            </w:pPr>
            <w:r>
              <w:rPr>
                <w:rFonts w:ascii="Arial" w:cs="Arial" w:eastAsia="Arial" w:hAnsi="Arial"/>
                <w:sz w:val="18"/>
                <w:szCs w:val="18"/>
                <w:color w:val="auto"/>
              </w:rPr>
              <w:t>accrued to the date of</w:t>
            </w: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redemption) discounted to the redemption date on a semiannual basis (assuming a 360-day year</w:t>
            </w:r>
          </w:p>
        </w:tc>
      </w:tr>
      <w:tr>
        <w:trPr>
          <w:trHeight w:val="216"/>
        </w:trPr>
        <w:tc>
          <w:tcPr>
            <w:tcW w:w="2460" w:type="dxa"/>
            <w:vAlign w:val="bottom"/>
          </w:tcPr>
          <w:p>
            <w:pPr>
              <w:spacing w:after="0"/>
              <w:rPr>
                <w:sz w:val="18"/>
                <w:szCs w:val="18"/>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consisting of twelve 30-day months) at the Treasury Rate (as defined in the 2018 Notes) plus 30</w:t>
            </w:r>
          </w:p>
        </w:tc>
      </w:tr>
      <w:tr>
        <w:trPr>
          <w:trHeight w:val="216"/>
        </w:trPr>
        <w:tc>
          <w:tcPr>
            <w:tcW w:w="2460" w:type="dxa"/>
            <w:vAlign w:val="bottom"/>
          </w:tcPr>
          <w:p>
            <w:pPr>
              <w:spacing w:after="0"/>
              <w:rPr>
                <w:sz w:val="18"/>
                <w:szCs w:val="18"/>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basis points, plus, in each case, accrued and unpaid interest thereon to the date of redemption, and</w:t>
            </w:r>
          </w:p>
        </w:tc>
      </w:tr>
      <w:tr>
        <w:trPr>
          <w:trHeight w:val="222"/>
        </w:trPr>
        <w:tc>
          <w:tcPr>
            <w:tcW w:w="2460" w:type="dxa"/>
            <w:vAlign w:val="bottom"/>
          </w:tcPr>
          <w:p>
            <w:pPr>
              <w:spacing w:after="0"/>
              <w:rPr>
                <w:sz w:val="19"/>
                <w:szCs w:val="19"/>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as further described in the Prospectus Supplement dated May 2, 2008.</w:t>
            </w:r>
          </w:p>
        </w:tc>
      </w:tr>
      <w:tr>
        <w:trPr>
          <w:trHeight w:val="318"/>
        </w:trPr>
        <w:tc>
          <w:tcPr>
            <w:tcW w:w="24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w w:val="90"/>
              </w:rPr>
              <w:t>The 2018 Notes need not be issued at the same time and the series may be reopened for issuance of an unlimited</w:t>
            </w:r>
          </w:p>
        </w:tc>
      </w:tr>
      <w:tr>
        <w:trPr>
          <w:trHeight w:val="216"/>
        </w:trPr>
        <w:tc>
          <w:tcPr>
            <w:tcW w:w="2460" w:type="dxa"/>
            <w:vAlign w:val="bottom"/>
          </w:tcPr>
          <w:p>
            <w:pPr>
              <w:spacing w:after="0"/>
              <w:rPr>
                <w:sz w:val="18"/>
                <w:szCs w:val="18"/>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w w:val="89"/>
              </w:rPr>
              <w:t>principal amount of additional 2018 Notes under this series. Additional 2018 Notes of this series will be consolidated</w:t>
            </w:r>
          </w:p>
        </w:tc>
      </w:tr>
      <w:tr>
        <w:trPr>
          <w:trHeight w:val="216"/>
        </w:trPr>
        <w:tc>
          <w:tcPr>
            <w:tcW w:w="2460" w:type="dxa"/>
            <w:vAlign w:val="bottom"/>
          </w:tcPr>
          <w:p>
            <w:pPr>
              <w:spacing w:after="0"/>
              <w:rPr>
                <w:sz w:val="18"/>
                <w:szCs w:val="18"/>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w w:val="89"/>
              </w:rPr>
              <w:t>with, and form a single series with, 2018 Notes then outstanding, including for purposes of determining whether the</w:t>
            </w:r>
          </w:p>
        </w:tc>
      </w:tr>
      <w:tr>
        <w:trPr>
          <w:trHeight w:val="216"/>
        </w:trPr>
        <w:tc>
          <w:tcPr>
            <w:tcW w:w="2460" w:type="dxa"/>
            <w:vAlign w:val="bottom"/>
          </w:tcPr>
          <w:p>
            <w:pPr>
              <w:spacing w:after="0"/>
              <w:rPr>
                <w:sz w:val="18"/>
                <w:szCs w:val="18"/>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w w:val="90"/>
              </w:rPr>
              <w:t>required percentage of the holders of record has given approval or consent to an amendment or waiver or joined in</w:t>
            </w:r>
          </w:p>
        </w:tc>
      </w:tr>
      <w:tr>
        <w:trPr>
          <w:trHeight w:val="222"/>
        </w:trPr>
        <w:tc>
          <w:tcPr>
            <w:tcW w:w="2460" w:type="dxa"/>
            <w:vAlign w:val="bottom"/>
          </w:tcPr>
          <w:p>
            <w:pPr>
              <w:spacing w:after="0"/>
              <w:rPr>
                <w:sz w:val="19"/>
                <w:szCs w:val="19"/>
                <w:color w:val="auto"/>
              </w:rPr>
            </w:pP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directing the Trustee to take certain actions on behalf of all holders.</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None</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None</w:t>
            </w:r>
          </w:p>
        </w:tc>
      </w:tr>
      <w:tr>
        <w:trPr>
          <w:trHeight w:val="312"/>
        </w:trPr>
        <w:tc>
          <w:tcPr>
            <w:tcW w:w="24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w w:val="89"/>
              </w:rPr>
              <w:t>The terms of the 2018 Notes shall include such other terms as are set forth in the Form of Notes Due 2018 attached</w:t>
            </w:r>
          </w:p>
        </w:tc>
      </w:tr>
      <w:tr>
        <w:trPr>
          <w:trHeight w:val="190"/>
        </w:trPr>
        <w:tc>
          <w:tcPr>
            <w:tcW w:w="2460" w:type="dxa"/>
            <w:vAlign w:val="bottom"/>
          </w:tcPr>
          <w:p>
            <w:pPr>
              <w:spacing w:after="0"/>
              <w:rPr>
                <w:sz w:val="16"/>
                <w:szCs w:val="16"/>
                <w:color w:val="auto"/>
              </w:rPr>
            </w:pPr>
          </w:p>
        </w:tc>
        <w:tc>
          <w:tcPr>
            <w:tcW w:w="8660" w:type="dxa"/>
            <w:vAlign w:val="bottom"/>
            <w:gridSpan w:val="5"/>
          </w:tcPr>
          <w:p>
            <w:pPr>
              <w:ind w:left="42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439"/>
        </w:trPr>
        <w:tc>
          <w:tcPr>
            <w:tcW w:w="2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6.</w:t>
            </w:r>
            <w:r>
              <w:rPr>
                <w:rFonts w:ascii="Arial" w:cs="Arial" w:eastAsia="Arial" w:hAnsi="Arial"/>
                <w:sz w:val="18"/>
                <w:szCs w:val="18"/>
                <w:b w:val="1"/>
                <w:bCs w:val="1"/>
                <w:u w:val="single" w:color="auto"/>
                <w:color w:val="auto"/>
                <w:w w:val="87"/>
              </w:rPr>
              <w:t>40%</w:t>
            </w:r>
            <w:r>
              <w:rPr>
                <w:rFonts w:ascii="Arial" w:cs="Arial" w:eastAsia="Arial" w:hAnsi="Arial"/>
                <w:sz w:val="18"/>
                <w:szCs w:val="18"/>
                <w:b w:val="1"/>
                <w:bCs w:val="1"/>
                <w:color w:val="auto"/>
                <w:w w:val="87"/>
              </w:rPr>
              <w:t xml:space="preserve"> Notes Due 2038</w:t>
            </w:r>
          </w:p>
        </w:tc>
        <w:tc>
          <w:tcPr>
            <w:tcW w:w="4560" w:type="dxa"/>
            <w:vAlign w:val="bottom"/>
          </w:tcPr>
          <w:p>
            <w:pPr>
              <w:spacing w:after="0"/>
              <w:rPr>
                <w:sz w:val="24"/>
                <w:szCs w:val="24"/>
                <w:color w:val="auto"/>
              </w:rPr>
            </w:pPr>
          </w:p>
        </w:tc>
      </w:tr>
      <w:tr>
        <w:trPr>
          <w:trHeight w:val="437"/>
        </w:trPr>
        <w:tc>
          <w:tcPr>
            <w:tcW w:w="24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6.40% Notes Due 2038</w:t>
            </w:r>
          </w:p>
        </w:tc>
      </w:tr>
      <w:tr>
        <w:trPr>
          <w:trHeight w:val="318"/>
        </w:trPr>
        <w:tc>
          <w:tcPr>
            <w:tcW w:w="2460" w:type="dxa"/>
            <w:vAlign w:val="bottom"/>
          </w:tcPr>
          <w:p>
            <w:pPr>
              <w:spacing w:after="0"/>
              <w:rPr>
                <w:sz w:val="20"/>
                <w:szCs w:val="20"/>
                <w:color w:val="auto"/>
              </w:rPr>
            </w:pPr>
            <w:r>
              <w:rPr>
                <w:rFonts w:ascii="Arial" w:cs="Arial" w:eastAsia="Arial" w:hAnsi="Arial"/>
                <w:sz w:val="18"/>
                <w:szCs w:val="18"/>
                <w:i w:val="1"/>
                <w:iCs w:val="1"/>
                <w:color w:val="auto"/>
              </w:rPr>
              <w:t>Aggregate Principal Amount</w:t>
            </w:r>
          </w:p>
        </w:tc>
        <w:tc>
          <w:tcPr>
            <w:tcW w:w="1820" w:type="dxa"/>
            <w:vAlign w:val="bottom"/>
            <w:gridSpan w:val="2"/>
          </w:tcPr>
          <w:p>
            <w:pPr>
              <w:ind w:left="420"/>
              <w:spacing w:after="0"/>
              <w:rPr>
                <w:sz w:val="20"/>
                <w:szCs w:val="20"/>
                <w:color w:val="auto"/>
              </w:rPr>
            </w:pPr>
            <w:r>
              <w:rPr>
                <w:rFonts w:ascii="Arial" w:cs="Arial" w:eastAsia="Arial" w:hAnsi="Arial"/>
                <w:sz w:val="18"/>
                <w:szCs w:val="18"/>
                <w:color w:val="auto"/>
              </w:rPr>
              <w:t>$1,000,000,000</w:t>
            </w: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i w:val="1"/>
                <w:iCs w:val="1"/>
                <w:color w:val="auto"/>
              </w:rPr>
              <w:t>at Maturity:</w:t>
            </w: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660" w:type="dxa"/>
            <w:vAlign w:val="bottom"/>
            <w:gridSpan w:val="5"/>
          </w:tcPr>
          <w:p>
            <w:pPr>
              <w:ind w:left="420"/>
              <w:spacing w:after="0"/>
              <w:rPr>
                <w:sz w:val="20"/>
                <w:szCs w:val="20"/>
                <w:color w:val="auto"/>
              </w:rPr>
            </w:pPr>
            <w:r>
              <w:rPr>
                <w:rFonts w:ascii="Arial" w:cs="Arial" w:eastAsia="Arial" w:hAnsi="Arial"/>
                <w:sz w:val="18"/>
                <w:szCs w:val="18"/>
                <w:color w:val="auto"/>
              </w:rPr>
              <w:t>May 15, 2038</w:t>
            </w:r>
          </w:p>
        </w:tc>
      </w:tr>
      <w:tr>
        <w:trPr>
          <w:trHeight w:val="324"/>
        </w:trPr>
        <w:tc>
          <w:tcPr>
            <w:tcW w:w="24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080" w:type="dxa"/>
            <w:vAlign w:val="bottom"/>
          </w:tcPr>
          <w:p>
            <w:pPr>
              <w:ind w:left="420"/>
              <w:spacing w:after="0"/>
              <w:rPr>
                <w:sz w:val="20"/>
                <w:szCs w:val="20"/>
                <w:color w:val="auto"/>
              </w:rPr>
            </w:pPr>
            <w:r>
              <w:rPr>
                <w:rFonts w:ascii="Arial" w:cs="Arial" w:eastAsia="Arial" w:hAnsi="Arial"/>
                <w:sz w:val="18"/>
                <w:szCs w:val="18"/>
                <w:color w:val="auto"/>
              </w:rPr>
              <w:t>6.40%</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365"/>
        </w:trPr>
        <w:tc>
          <w:tcPr>
            <w:tcW w:w="2460" w:type="dxa"/>
            <w:vAlign w:val="bottom"/>
          </w:tcPr>
          <w:p>
            <w:pPr>
              <w:spacing w:after="0"/>
              <w:rPr>
                <w:sz w:val="24"/>
                <w:szCs w:val="24"/>
                <w:color w:val="auto"/>
              </w:rPr>
            </w:pPr>
          </w:p>
        </w:tc>
        <w:tc>
          <w:tcPr>
            <w:tcW w:w="4100" w:type="dxa"/>
            <w:vAlign w:val="bottom"/>
            <w:gridSpan w:val="4"/>
          </w:tcPr>
          <w:p>
            <w:pPr>
              <w:ind w:left="3220"/>
              <w:spacing w:after="0"/>
              <w:rPr>
                <w:sz w:val="20"/>
                <w:szCs w:val="20"/>
                <w:color w:val="auto"/>
              </w:rPr>
            </w:pPr>
            <w:r>
              <w:rPr>
                <w:rFonts w:ascii="Arial" w:cs="Arial" w:eastAsia="Arial" w:hAnsi="Arial"/>
                <w:sz w:val="18"/>
                <w:szCs w:val="18"/>
                <w:color w:val="auto"/>
              </w:rPr>
              <w:t>2</w:t>
            </w:r>
          </w:p>
        </w:tc>
        <w:tc>
          <w:tcPr>
            <w:tcW w:w="4560" w:type="dxa"/>
            <w:vAlign w:val="bottom"/>
          </w:tcPr>
          <w:p>
            <w:pPr>
              <w:spacing w:after="0"/>
              <w:rPr>
                <w:sz w:val="24"/>
                <w:szCs w:val="24"/>
                <w:color w:val="auto"/>
              </w:rPr>
            </w:pPr>
          </w:p>
        </w:tc>
      </w:tr>
    </w:tbl>
    <w:p>
      <w:pPr>
        <w:sectPr>
          <w:pgSz w:w="11900" w:h="16838" w:orient="portrait"/>
          <w:cols w:equalWidth="0" w:num="1">
            <w:col w:w="11120"/>
          </w:cols>
          <w:pgMar w:left="240" w:top="280" w:right="5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89"/>
              </w:rPr>
              <w:t>The Company may at its option redeem the 2038 Notes in whole or in part, at any time or from time to time prior to their</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89"/>
              </w:rPr>
              <w:t>maturity, on at least 30 days, but not more than 60 days, prior notice mailed to the registered address of each holder of</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89"/>
              </w:rPr>
              <w:t>the 2038 Notes, at a redemption price equal to the greater of (i) 100% of the principal amount of the 2038 Notes and (ii)</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87"/>
              </w:rPr>
              <w:t>the sum of the present values of the remaining scheduled payments of principal and interest thereon (exclusive of interest</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89"/>
              </w:rPr>
              <w:t>accrued to the date of redemption) discounted to the redemption date on a semiannual basis (assuming a 360-day year</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91"/>
              </w:rPr>
              <w:t>consisting of twelve 30-day months) at the Treasury Rate (as defined in the 2038 Notes) plus 30 basis points, plus, in</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90"/>
              </w:rPr>
              <w:t>each case, accrued and unpaid interest thereon to the date of redemption, and as further described in the Prospectus</w:t>
            </w:r>
          </w:p>
        </w:tc>
      </w:tr>
      <w:tr>
        <w:trPr>
          <w:trHeight w:val="222"/>
        </w:trPr>
        <w:tc>
          <w:tcPr>
            <w:tcW w:w="2200" w:type="dxa"/>
            <w:vAlign w:val="bottom"/>
          </w:tcPr>
          <w:p>
            <w:pPr>
              <w:spacing w:after="0"/>
              <w:rPr>
                <w:sz w:val="19"/>
                <w:szCs w:val="19"/>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rPr>
              <w:t>Supplement dated May 2, 2008.</w:t>
            </w:r>
          </w:p>
        </w:tc>
      </w:tr>
      <w:tr>
        <w:trPr>
          <w:trHeight w:val="318"/>
        </w:trPr>
        <w:tc>
          <w:tcPr>
            <w:tcW w:w="22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93"/>
              </w:rPr>
              <w:t>The 2038 Notes need not be issued at the same time and the series may be reopened for issuance of an unlimited</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92"/>
              </w:rPr>
              <w:t>principal amount of additional 2038 Notes under this series. Additional 2038 Notes of this series will be consolidated</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92"/>
              </w:rPr>
              <w:t>with, and form a single series with, 2038 Notes then outstanding, including for purposes of determining whether the</w:t>
            </w:r>
          </w:p>
        </w:tc>
      </w:tr>
      <w:tr>
        <w:trPr>
          <w:trHeight w:val="216"/>
        </w:trPr>
        <w:tc>
          <w:tcPr>
            <w:tcW w:w="2200" w:type="dxa"/>
            <w:vAlign w:val="bottom"/>
          </w:tcPr>
          <w:p>
            <w:pPr>
              <w:spacing w:after="0"/>
              <w:rPr>
                <w:sz w:val="18"/>
                <w:szCs w:val="18"/>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92"/>
              </w:rPr>
              <w:t>required percentage of the holders of record has given approval or consent to an amendment or waiver or joined in</w:t>
            </w:r>
          </w:p>
        </w:tc>
      </w:tr>
      <w:tr>
        <w:trPr>
          <w:trHeight w:val="222"/>
        </w:trPr>
        <w:tc>
          <w:tcPr>
            <w:tcW w:w="2200" w:type="dxa"/>
            <w:vAlign w:val="bottom"/>
          </w:tcPr>
          <w:p>
            <w:pPr>
              <w:spacing w:after="0"/>
              <w:rPr>
                <w:sz w:val="19"/>
                <w:szCs w:val="19"/>
                <w:color w:val="auto"/>
              </w:rPr>
            </w:pP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rPr>
              <w:t>directing the Trustee to take certain actions on behalf of all holders.</w:t>
            </w:r>
          </w:p>
        </w:tc>
      </w:tr>
      <w:tr>
        <w:trPr>
          <w:trHeight w:val="324"/>
        </w:trPr>
        <w:tc>
          <w:tcPr>
            <w:tcW w:w="22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rPr>
              <w:t>None</w:t>
            </w:r>
          </w:p>
        </w:tc>
      </w:tr>
      <w:tr>
        <w:trPr>
          <w:trHeight w:val="324"/>
        </w:trPr>
        <w:tc>
          <w:tcPr>
            <w:tcW w:w="22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rPr>
              <w:t>None</w:t>
            </w:r>
          </w:p>
        </w:tc>
      </w:tr>
      <w:tr>
        <w:trPr>
          <w:trHeight w:val="312"/>
        </w:trPr>
        <w:tc>
          <w:tcPr>
            <w:tcW w:w="22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180" w:type="dxa"/>
            <w:vAlign w:val="bottom"/>
            <w:gridSpan w:val="3"/>
          </w:tcPr>
          <w:p>
            <w:pPr>
              <w:ind w:left="680"/>
              <w:spacing w:after="0"/>
              <w:rPr>
                <w:sz w:val="20"/>
                <w:szCs w:val="20"/>
                <w:color w:val="auto"/>
              </w:rPr>
            </w:pPr>
            <w:r>
              <w:rPr>
                <w:rFonts w:ascii="Arial" w:cs="Arial" w:eastAsia="Arial" w:hAnsi="Arial"/>
                <w:sz w:val="18"/>
                <w:szCs w:val="18"/>
                <w:color w:val="auto"/>
                <w:w w:val="92"/>
              </w:rPr>
              <w:t>The terms of the 2038 Notes shall include such other terms as are set forth in the Form of Notes Due 2038 attached</w:t>
            </w:r>
          </w:p>
        </w:tc>
      </w:tr>
      <w:tr>
        <w:trPr>
          <w:trHeight w:val="190"/>
        </w:trPr>
        <w:tc>
          <w:tcPr>
            <w:tcW w:w="2200" w:type="dxa"/>
            <w:vAlign w:val="bottom"/>
          </w:tcPr>
          <w:p>
            <w:pPr>
              <w:spacing w:after="0"/>
              <w:rPr>
                <w:sz w:val="16"/>
                <w:szCs w:val="16"/>
                <w:color w:val="auto"/>
              </w:rPr>
            </w:pPr>
          </w:p>
        </w:tc>
        <w:tc>
          <w:tcPr>
            <w:tcW w:w="9180" w:type="dxa"/>
            <w:vAlign w:val="bottom"/>
            <w:gridSpan w:val="3"/>
          </w:tcPr>
          <w:p>
            <w:pPr>
              <w:ind w:left="68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2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9" w:name="page30"/>
    <w:bookmarkEnd w:id="29"/>
    <w:p>
      <w:pPr>
        <w:spacing w:after="0"/>
        <w:tabs>
          <w:tab w:leader="none" w:pos="8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officers of the Company have duly executed this certificate as of May</w:t>
      </w:r>
      <w:r>
        <w:rPr>
          <w:sz w:val="20"/>
          <w:szCs w:val="20"/>
          <w:color w:val="auto"/>
        </w:rPr>
        <w:tab/>
      </w:r>
      <w:r>
        <w:rPr>
          <w:rFonts w:ascii="Arial" w:cs="Arial" w:eastAsia="Arial" w:hAnsi="Arial"/>
          <w:sz w:val="15"/>
          <w:szCs w:val="15"/>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0</wp:posOffset>
            </wp:positionV>
            <wp:extent cx="1117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2540</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Name: Kenneth Mikalauskas</w:t>
      </w:r>
    </w:p>
    <w:p>
      <w:pPr>
        <w:spacing w:after="0" w:line="9"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18"/>
          <w:szCs w:val="18"/>
          <w:color w:val="auto"/>
        </w:rPr>
        <w:t>Title:</w:t>
        <w:tab/>
        <w:t>Treasurer</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2540</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jc w:val="both"/>
        <w:ind w:left="6780"/>
        <w:spacing w:after="0"/>
        <w:tabs>
          <w:tab w:leader="none" w:pos="734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Counsel and Secretary</w:t>
      </w:r>
    </w:p>
    <w:p>
      <w:pPr>
        <w:spacing w:after="0" w:line="16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59"/>
          </w:cols>
          <w:pgMar w:left="700" w:top="280"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2018]</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5.70% Note Due 2018</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AW1</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 AW11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140" w:space="720"/>
            <w:col w:w="202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May 15, 2018.</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31" w:name="page32"/>
    <w:bookmarkEnd w:id="3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 Kenneth Mikalauskas</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w:t>
      </w:r>
    </w:p>
    <w:p>
      <w:pPr>
        <w:spacing w:after="0" w:line="3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5.70% Note Due 2018</w:t>
      </w:r>
    </w:p>
    <w:p>
      <w:pPr>
        <w:spacing w:after="0" w:line="21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7, 2008. The Issuer will pay interest semi-annually in arrears on each Interest Payment Date, commencing November 15, 2008. Interest will be computed on the basis of a 360-day year of twelve 30-day months.</w:t>
      </w:r>
    </w:p>
    <w:p>
      <w:pPr>
        <w:spacing w:after="0" w:line="14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84" w:lineRule="exact"/>
        <w:rPr>
          <w:sz w:val="20"/>
          <w:szCs w:val="20"/>
          <w:color w:val="auto"/>
        </w:rPr>
      </w:pPr>
    </w:p>
    <w:p>
      <w:pPr>
        <w:jc w:val="center"/>
        <w:ind w:right="120"/>
        <w:spacing w:after="0" w:line="447" w:lineRule="auto"/>
        <w:rPr>
          <w:sz w:val="20"/>
          <w:szCs w:val="20"/>
          <w:color w:val="auto"/>
        </w:rPr>
      </w:pPr>
      <w:r>
        <w:rPr>
          <w:rFonts w:ascii="Arial" w:cs="Arial" w:eastAsia="Arial" w:hAnsi="Arial"/>
          <w:sz w:val="18"/>
          <w:szCs w:val="18"/>
          <w:color w:val="auto"/>
        </w:rPr>
        <w:t>Initially, The Bank of New York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4</w:t>
      </w:r>
    </w:p>
    <w:p>
      <w:pPr>
        <w:sectPr>
          <w:pgSz w:w="11900" w:h="16838" w:orient="portrait"/>
          <w:cols w:equalWidth="0" w:num="1">
            <w:col w:w="11360"/>
          </w:cols>
          <w:pgMar w:left="240" w:top="280" w:right="299" w:bottom="1440" w:gutter="0" w:footer="0" w:header="0"/>
        </w:sectPr>
      </w:pPr>
    </w:p>
    <w:bookmarkStart w:id="34" w:name="page35"/>
    <w:bookmarkEnd w:id="34"/>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other than Comcast MO of Delaware, LLC and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Issuer, the Cable Guarantors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5" w:name="page36"/>
    <w:bookmarkEnd w:id="35"/>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Defeasance and Covenant Defeasance.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30 basis points plus accrued interest thereon to the date of redemption.</w:t>
      </w:r>
    </w:p>
    <w:p>
      <w:pPr>
        <w:spacing w:after="0" w:line="11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6" w:name="page37"/>
    <w:bookmarkEnd w:id="36"/>
    <w:p>
      <w:pPr>
        <w:jc w:val="both"/>
        <w:ind w:firstLine="456"/>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3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Deutsche Bank Securities Inc., Merrill Lynch, Pierce, Fenner &amp; Smith Incorporated and UBS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37" w:name="page38"/>
    <w:bookmarkEnd w:id="37"/>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38" w:name="page39"/>
    <w:bookmarkEnd w:id="38"/>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65"/>
          </w:cols>
          <w:pgMar w:left="694" w:top="280" w:right="1440" w:bottom="1440" w:gutter="0" w:footer="0" w:header="0"/>
        </w:sectPr>
      </w:pPr>
    </w:p>
    <w:bookmarkStart w:id="39" w:name="page40"/>
    <w:bookmarkEnd w:id="39"/>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w w:val="91"/>
              </w:rPr>
              <w:t>and irrevocably appoint</w:t>
            </w:r>
          </w:p>
        </w:tc>
        <w:tc>
          <w:tcPr>
            <w:tcW w:w="3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580" w:type="dxa"/>
            <w:vAlign w:val="bottom"/>
          </w:tcPr>
          <w:p>
            <w:pPr>
              <w:ind w:left="40"/>
              <w:spacing w:after="0"/>
              <w:rPr>
                <w:sz w:val="20"/>
                <w:szCs w:val="20"/>
                <w:color w:val="auto"/>
              </w:rPr>
            </w:pPr>
            <w:r>
              <w:rPr>
                <w:rFonts w:ascii="Arial" w:cs="Arial" w:eastAsia="Arial" w:hAnsi="Arial"/>
                <w:sz w:val="18"/>
                <w:szCs w:val="18"/>
                <w:color w:val="auto"/>
                <w:w w:val="87"/>
              </w:rPr>
              <w:t>agent to transfer this Security on the</w:t>
            </w:r>
          </w:p>
        </w:tc>
      </w:tr>
      <w:tr>
        <w:trPr>
          <w:trHeight w:val="235"/>
        </w:trPr>
        <w:tc>
          <w:tcPr>
            <w:tcW w:w="5200" w:type="dxa"/>
            <w:vAlign w:val="bottom"/>
            <w:gridSpan w:val="2"/>
          </w:tcPr>
          <w:p>
            <w:pPr>
              <w:spacing w:after="0"/>
              <w:rPr>
                <w:sz w:val="20"/>
                <w:szCs w:val="20"/>
                <w:color w:val="auto"/>
              </w:rPr>
            </w:pPr>
            <w:r>
              <w:rPr>
                <w:rFonts w:ascii="Arial" w:cs="Arial" w:eastAsia="Arial" w:hAnsi="Arial"/>
                <w:sz w:val="18"/>
                <w:szCs w:val="18"/>
                <w:color w:val="auto"/>
                <w:w w:val="95"/>
              </w:rPr>
              <w:t>books of the Issuer. The agent may substitute another to act for him.</w:t>
            </w: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28"/>
        </w:trPr>
        <w:tc>
          <w:tcPr>
            <w:tcW w:w="5200" w:type="dxa"/>
            <w:vAlign w:val="bottom"/>
            <w:gridSpan w:val="2"/>
          </w:tcPr>
          <w:p>
            <w:pPr>
              <w:spacing w:after="0"/>
              <w:rPr>
                <w:sz w:val="20"/>
                <w:szCs w:val="20"/>
                <w:color w:val="auto"/>
              </w:rPr>
            </w:pPr>
            <w:r>
              <w:rPr>
                <w:rFonts w:ascii="Arial" w:cs="Arial" w:eastAsia="Arial" w:hAnsi="Arial"/>
                <w:sz w:val="18"/>
                <w:szCs w:val="18"/>
                <w:color w:val="auto"/>
              </w:rPr>
              <w:t>Dated:   ____________________________</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Signed:</w:t>
            </w:r>
          </w:p>
        </w:tc>
        <w:tc>
          <w:tcPr>
            <w:tcW w:w="4540" w:type="dxa"/>
            <w:vAlign w:val="bottom"/>
            <w:gridSpan w:val="2"/>
          </w:tcPr>
          <w:p>
            <w:pPr>
              <w:spacing w:after="0"/>
              <w:rPr>
                <w:sz w:val="20"/>
                <w:szCs w:val="20"/>
                <w:color w:val="auto"/>
              </w:rPr>
            </w:pPr>
            <w:r>
              <w:rPr>
                <w:rFonts w:ascii="Arial" w:cs="Arial" w:eastAsia="Arial" w:hAnsi="Arial"/>
                <w:sz w:val="18"/>
                <w:szCs w:val="18"/>
                <w:color w:val="auto"/>
              </w:rPr>
              <w:t>___________________________</w:t>
            </w:r>
          </w:p>
        </w:tc>
      </w:tr>
      <w:tr>
        <w:trPr>
          <w:trHeight w:val="216"/>
        </w:trPr>
        <w:tc>
          <w:tcPr>
            <w:tcW w:w="1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(Signed exactly as name appears</w:t>
            </w:r>
          </w:p>
        </w:tc>
      </w:tr>
      <w:tr>
        <w:trPr>
          <w:trHeight w:val="222"/>
        </w:trPr>
        <w:tc>
          <w:tcPr>
            <w:tcW w:w="17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on the other side of this Security)</w:t>
            </w:r>
          </w:p>
        </w:tc>
      </w:tr>
      <w:tr>
        <w:trPr>
          <w:trHeight w:val="426"/>
        </w:trPr>
        <w:tc>
          <w:tcPr>
            <w:tcW w:w="1720" w:type="dxa"/>
            <w:vAlign w:val="bottom"/>
          </w:tcPr>
          <w:p>
            <w:pPr>
              <w:spacing w:after="0"/>
              <w:rPr>
                <w:sz w:val="20"/>
                <w:szCs w:val="20"/>
                <w:color w:val="auto"/>
              </w:rPr>
            </w:pPr>
            <w:r>
              <w:rPr>
                <w:rFonts w:ascii="Arial" w:cs="Arial" w:eastAsia="Arial" w:hAnsi="Arial"/>
                <w:sz w:val="18"/>
                <w:szCs w:val="18"/>
                <w:color w:val="auto"/>
                <w:w w:val="98"/>
              </w:rPr>
              <w:t>Signature Guarantee:</w:t>
            </w:r>
          </w:p>
        </w:tc>
        <w:tc>
          <w:tcPr>
            <w:tcW w:w="5020" w:type="dxa"/>
            <w:vAlign w:val="bottom"/>
            <w:gridSpan w:val="2"/>
          </w:tcPr>
          <w:p>
            <w:pPr>
              <w:ind w:left="1160"/>
              <w:spacing w:after="0"/>
              <w:rPr>
                <w:sz w:val="20"/>
                <w:szCs w:val="20"/>
                <w:color w:val="auto"/>
              </w:rPr>
            </w:pPr>
            <w:r>
              <w:rPr>
                <w:rFonts w:ascii="Arial" w:cs="Arial" w:eastAsia="Arial" w:hAnsi="Arial"/>
                <w:sz w:val="18"/>
                <w:szCs w:val="18"/>
                <w:color w:val="auto"/>
                <w:w w:val="87"/>
              </w:rPr>
              <w:t>____________________________________________</w:t>
            </w: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1160"/>
              <w:spacing w:after="0"/>
              <w:rPr>
                <w:sz w:val="20"/>
                <w:szCs w:val="20"/>
                <w:color w:val="auto"/>
              </w:rPr>
            </w:pPr>
            <w:r>
              <w:rPr>
                <w:rFonts w:ascii="Arial" w:cs="Arial" w:eastAsia="Arial" w:hAnsi="Arial"/>
                <w:sz w:val="18"/>
                <w:szCs w:val="18"/>
                <w:color w:val="auto"/>
                <w:w w:val="99"/>
              </w:rPr>
              <w:t>Participant in a recognized Signature Guarantee</w:t>
            </w:r>
          </w:p>
        </w:tc>
        <w:tc>
          <w:tcPr>
            <w:tcW w:w="19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1160"/>
              <w:spacing w:after="0"/>
              <w:rPr>
                <w:sz w:val="20"/>
                <w:szCs w:val="20"/>
                <w:color w:val="auto"/>
              </w:rPr>
            </w:pPr>
            <w:r>
              <w:rPr>
                <w:rFonts w:ascii="Arial" w:cs="Arial" w:eastAsia="Arial" w:hAnsi="Arial"/>
                <w:sz w:val="18"/>
                <w:szCs w:val="18"/>
                <w:color w:val="auto"/>
                <w:w w:val="99"/>
              </w:rPr>
              <w:t>Medallion Program (or other signature guarantor</w:t>
            </w:r>
          </w:p>
        </w:tc>
        <w:tc>
          <w:tcPr>
            <w:tcW w:w="19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5020" w:type="dxa"/>
            <w:vAlign w:val="bottom"/>
            <w:gridSpan w:val="2"/>
          </w:tcPr>
          <w:p>
            <w:pPr>
              <w:ind w:left="1160"/>
              <w:spacing w:after="0"/>
              <w:rPr>
                <w:sz w:val="20"/>
                <w:szCs w:val="20"/>
                <w:color w:val="auto"/>
              </w:rPr>
            </w:pPr>
            <w:r>
              <w:rPr>
                <w:rFonts w:ascii="Arial" w:cs="Arial" w:eastAsia="Arial" w:hAnsi="Arial"/>
                <w:sz w:val="18"/>
                <w:szCs w:val="18"/>
                <w:color w:val="auto"/>
              </w:rPr>
              <w:t>program reasonably acceptable to the Trustee)</w:t>
            </w:r>
          </w:p>
        </w:tc>
        <w:tc>
          <w:tcPr>
            <w:tcW w:w="19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378"/>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40" w:type="dxa"/>
            <w:vAlign w:val="bottom"/>
          </w:tcPr>
          <w:p>
            <w:pPr>
              <w:jc w:val="right"/>
              <w:ind w:right="852"/>
              <w:spacing w:after="0"/>
              <w:rPr>
                <w:sz w:val="20"/>
                <w:szCs w:val="20"/>
                <w:color w:val="auto"/>
              </w:rPr>
            </w:pPr>
            <w:r>
              <w:rPr>
                <w:rFonts w:ascii="Arial" w:cs="Arial" w:eastAsia="Arial" w:hAnsi="Arial"/>
                <w:sz w:val="18"/>
                <w:szCs w:val="18"/>
                <w:color w:val="auto"/>
              </w:rPr>
              <w:t>10</w:t>
            </w: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280"/>
          </w:cols>
          <w:pgMar w:left="240" w:top="280"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2038]</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6.40% Note Due 2038</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AX9</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ISN No.: US20030NAX93</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20" w:space="180"/>
            <w:col w:w="8300" w:space="720"/>
            <w:col w:w="190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May 15, 2038.</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41" w:name="page42"/>
    <w:bookmarkEnd w:id="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 Kenneth Mikalauskas</w:t>
      </w:r>
    </w:p>
    <w:p>
      <w:pPr>
        <w:spacing w:after="0" w:line="9"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6.40% Note Due 2038</w:t>
      </w:r>
    </w:p>
    <w:p>
      <w:pPr>
        <w:spacing w:after="0" w:line="21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7, 2008. The Issuer will pay interest semi-annually in arrears on each Interest Payment Date, commencing November 15, 2008. Interest will be computed on the basis of a 360-day year of twelve 30-day months.</w:t>
      </w:r>
    </w:p>
    <w:p>
      <w:pPr>
        <w:spacing w:after="0" w:line="14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84" w:lineRule="exact"/>
        <w:rPr>
          <w:sz w:val="20"/>
          <w:szCs w:val="20"/>
          <w:color w:val="auto"/>
        </w:rPr>
      </w:pPr>
    </w:p>
    <w:p>
      <w:pPr>
        <w:jc w:val="center"/>
        <w:ind w:right="120"/>
        <w:spacing w:after="0" w:line="447" w:lineRule="auto"/>
        <w:rPr>
          <w:sz w:val="20"/>
          <w:szCs w:val="20"/>
          <w:color w:val="auto"/>
        </w:rPr>
      </w:pPr>
      <w:r>
        <w:rPr>
          <w:rFonts w:ascii="Arial" w:cs="Arial" w:eastAsia="Arial" w:hAnsi="Arial"/>
          <w:sz w:val="18"/>
          <w:szCs w:val="18"/>
          <w:color w:val="auto"/>
        </w:rPr>
        <w:t>Initially, The Bank of New York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4</w:t>
      </w:r>
    </w:p>
    <w:p>
      <w:pPr>
        <w:sectPr>
          <w:pgSz w:w="11900" w:h="16838" w:orient="portrait"/>
          <w:cols w:equalWidth="0" w:num="1">
            <w:col w:w="11360"/>
          </w:cols>
          <w:pgMar w:left="240" w:top="280" w:right="299" w:bottom="1440" w:gutter="0" w:footer="0" w:header="0"/>
        </w:sectPr>
      </w:pPr>
    </w:p>
    <w:bookmarkStart w:id="44" w:name="page45"/>
    <w:bookmarkEnd w:id="44"/>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other than Comcast MO of Delaware, LLC and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Issuer, the Cable Guarantors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5" w:name="page46"/>
    <w:bookmarkEnd w:id="45"/>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Defeasance and Covenant Defeasance.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in each case, 30 basis points plus accrued interest thereon to the date of redemption.</w:t>
      </w:r>
    </w:p>
    <w:p>
      <w:pPr>
        <w:spacing w:after="0" w:line="11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6" w:name="page47"/>
    <w:bookmarkEnd w:id="46"/>
    <w:p>
      <w:pPr>
        <w:jc w:val="both"/>
        <w:ind w:firstLine="456"/>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Comparable Treasury Issue</w:t>
      </w:r>
      <w:r>
        <w:rPr>
          <w:rFonts w:ascii="Arial" w:cs="Arial" w:eastAsia="Arial" w:hAnsi="Arial"/>
          <w:sz w:val="15"/>
          <w:szCs w:val="15"/>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3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Citigroup Global Markets Inc., Deutsche Bank Securities Inc., Merrill Lynch, Pierce, Fenner &amp; Smith Incorporated and UBS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Dealer</w:t>
      </w:r>
      <w:r>
        <w:rPr>
          <w:rFonts w:ascii="Arial" w:cs="Arial" w:eastAsia="Arial" w:hAnsi="Arial"/>
          <w:sz w:val="18"/>
          <w:szCs w:val="18"/>
          <w:color w:val="auto"/>
        </w:rPr>
        <w:t>”), the Issuer will substitute therefor another Primary Treasury Dealer.</w:t>
      </w:r>
    </w:p>
    <w:p>
      <w:pPr>
        <w:spacing w:after="0" w:line="136"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47" w:name="page48"/>
    <w:bookmarkEnd w:id="47"/>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48" w:name="page49"/>
    <w:bookmarkEnd w:id="48"/>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pacing w:after="0" w:line="181"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65"/>
          </w:cols>
          <w:pgMar w:left="694" w:top="280" w:right="1440" w:bottom="1440" w:gutter="0" w:footer="0" w:header="0"/>
        </w:sectPr>
      </w:pPr>
    </w:p>
    <w:bookmarkStart w:id="49" w:name="page50"/>
    <w:bookmarkEnd w:id="49"/>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w w:val="91"/>
              </w:rPr>
              <w:t>and irrevocably appoint</w:t>
            </w:r>
          </w:p>
        </w:tc>
        <w:tc>
          <w:tcPr>
            <w:tcW w:w="37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580" w:type="dxa"/>
            <w:vAlign w:val="bottom"/>
          </w:tcPr>
          <w:p>
            <w:pPr>
              <w:ind w:left="40"/>
              <w:spacing w:after="0"/>
              <w:rPr>
                <w:sz w:val="20"/>
                <w:szCs w:val="20"/>
                <w:color w:val="auto"/>
              </w:rPr>
            </w:pPr>
            <w:r>
              <w:rPr>
                <w:rFonts w:ascii="Arial" w:cs="Arial" w:eastAsia="Arial" w:hAnsi="Arial"/>
                <w:sz w:val="18"/>
                <w:szCs w:val="18"/>
                <w:color w:val="auto"/>
                <w:w w:val="87"/>
              </w:rPr>
              <w:t>agent to transfer this Security on the</w:t>
            </w:r>
          </w:p>
        </w:tc>
      </w:tr>
      <w:tr>
        <w:trPr>
          <w:trHeight w:val="235"/>
        </w:trPr>
        <w:tc>
          <w:tcPr>
            <w:tcW w:w="5420" w:type="dxa"/>
            <w:vAlign w:val="bottom"/>
            <w:gridSpan w:val="2"/>
          </w:tcPr>
          <w:p>
            <w:pPr>
              <w:spacing w:after="0"/>
              <w:rPr>
                <w:sz w:val="20"/>
                <w:szCs w:val="20"/>
                <w:color w:val="auto"/>
              </w:rPr>
            </w:pPr>
            <w:r>
              <w:rPr>
                <w:rFonts w:ascii="Arial" w:cs="Arial" w:eastAsia="Arial" w:hAnsi="Arial"/>
                <w:sz w:val="18"/>
                <w:szCs w:val="18"/>
                <w:color w:val="auto"/>
                <w:w w:val="99"/>
              </w:rPr>
              <w:t>books of the Issuer. The agent may substitute another to act for him.</w:t>
            </w:r>
          </w:p>
        </w:tc>
        <w:tc>
          <w:tcPr>
            <w:tcW w:w="1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28"/>
        </w:trPr>
        <w:tc>
          <w:tcPr>
            <w:tcW w:w="5420" w:type="dxa"/>
            <w:vAlign w:val="bottom"/>
            <w:gridSpan w:val="2"/>
          </w:tcPr>
          <w:p>
            <w:pPr>
              <w:spacing w:after="0"/>
              <w:rPr>
                <w:sz w:val="20"/>
                <w:szCs w:val="20"/>
                <w:color w:val="auto"/>
              </w:rPr>
            </w:pPr>
            <w:r>
              <w:rPr>
                <w:rFonts w:ascii="Arial" w:cs="Arial" w:eastAsia="Arial" w:hAnsi="Arial"/>
                <w:sz w:val="18"/>
                <w:szCs w:val="18"/>
                <w:color w:val="auto"/>
              </w:rPr>
              <w:t>Dated:   ____________________________</w:t>
            </w:r>
          </w:p>
        </w:tc>
        <w:tc>
          <w:tcPr>
            <w:tcW w:w="1320" w:type="dxa"/>
            <w:vAlign w:val="bottom"/>
          </w:tcPr>
          <w:p>
            <w:pPr>
              <w:ind w:left="640"/>
              <w:spacing w:after="0"/>
              <w:rPr>
                <w:sz w:val="20"/>
                <w:szCs w:val="20"/>
                <w:color w:val="auto"/>
              </w:rPr>
            </w:pPr>
            <w:r>
              <w:rPr>
                <w:rFonts w:ascii="Arial" w:cs="Arial" w:eastAsia="Arial" w:hAnsi="Arial"/>
                <w:sz w:val="18"/>
                <w:szCs w:val="18"/>
                <w:color w:val="auto"/>
              </w:rPr>
              <w:t>Signed:</w:t>
            </w:r>
          </w:p>
        </w:tc>
        <w:tc>
          <w:tcPr>
            <w:tcW w:w="4540" w:type="dxa"/>
            <w:vAlign w:val="bottom"/>
            <w:gridSpan w:val="2"/>
          </w:tcPr>
          <w:p>
            <w:pPr>
              <w:spacing w:after="0"/>
              <w:rPr>
                <w:sz w:val="20"/>
                <w:szCs w:val="20"/>
                <w:color w:val="auto"/>
              </w:rPr>
            </w:pPr>
            <w:r>
              <w:rPr>
                <w:rFonts w:ascii="Arial" w:cs="Arial" w:eastAsia="Arial" w:hAnsi="Arial"/>
                <w:sz w:val="18"/>
                <w:szCs w:val="18"/>
                <w:color w:val="auto"/>
              </w:rPr>
              <w:t>___________________________</w:t>
            </w: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(Signed exactly as name appears</w:t>
            </w:r>
          </w:p>
        </w:tc>
      </w:tr>
      <w:tr>
        <w:trPr>
          <w:trHeight w:val="222"/>
        </w:trPr>
        <w:tc>
          <w:tcPr>
            <w:tcW w:w="1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on the other side of this Security)</w:t>
            </w:r>
          </w:p>
        </w:tc>
      </w:tr>
      <w:tr>
        <w:trPr>
          <w:trHeight w:val="426"/>
        </w:trPr>
        <w:tc>
          <w:tcPr>
            <w:tcW w:w="1720" w:type="dxa"/>
            <w:vAlign w:val="bottom"/>
          </w:tcPr>
          <w:p>
            <w:pPr>
              <w:spacing w:after="0"/>
              <w:rPr>
                <w:sz w:val="20"/>
                <w:szCs w:val="20"/>
                <w:color w:val="auto"/>
              </w:rPr>
            </w:pPr>
            <w:r>
              <w:rPr>
                <w:rFonts w:ascii="Arial" w:cs="Arial" w:eastAsia="Arial" w:hAnsi="Arial"/>
                <w:sz w:val="18"/>
                <w:szCs w:val="18"/>
                <w:color w:val="auto"/>
                <w:w w:val="98"/>
              </w:rPr>
              <w:t>Signature Guarantee:</w:t>
            </w:r>
          </w:p>
        </w:tc>
        <w:tc>
          <w:tcPr>
            <w:tcW w:w="5020" w:type="dxa"/>
            <w:vAlign w:val="bottom"/>
            <w:gridSpan w:val="2"/>
          </w:tcPr>
          <w:p>
            <w:pPr>
              <w:ind w:left="1160"/>
              <w:spacing w:after="0"/>
              <w:rPr>
                <w:sz w:val="20"/>
                <w:szCs w:val="20"/>
                <w:color w:val="auto"/>
              </w:rPr>
            </w:pPr>
            <w:r>
              <w:rPr>
                <w:rFonts w:ascii="Arial" w:cs="Arial" w:eastAsia="Arial" w:hAnsi="Arial"/>
                <w:sz w:val="18"/>
                <w:szCs w:val="18"/>
                <w:color w:val="auto"/>
                <w:w w:val="87"/>
              </w:rPr>
              <w:t>____________________________________________</w:t>
            </w:r>
          </w:p>
        </w:tc>
        <w:tc>
          <w:tcPr>
            <w:tcW w:w="19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2"/>
        </w:trPr>
        <w:tc>
          <w:tcPr>
            <w:tcW w:w="1720" w:type="dxa"/>
            <w:vAlign w:val="bottom"/>
          </w:tcPr>
          <w:p>
            <w:pPr>
              <w:spacing w:after="0"/>
              <w:rPr>
                <w:sz w:val="19"/>
                <w:szCs w:val="19"/>
                <w:color w:val="auto"/>
              </w:rPr>
            </w:pPr>
          </w:p>
        </w:tc>
        <w:tc>
          <w:tcPr>
            <w:tcW w:w="5020" w:type="dxa"/>
            <w:vAlign w:val="bottom"/>
            <w:gridSpan w:val="2"/>
          </w:tcPr>
          <w:p>
            <w:pPr>
              <w:ind w:left="1160"/>
              <w:spacing w:after="0"/>
              <w:rPr>
                <w:sz w:val="20"/>
                <w:szCs w:val="20"/>
                <w:color w:val="auto"/>
              </w:rPr>
            </w:pPr>
            <w:r>
              <w:rPr>
                <w:rFonts w:ascii="Arial" w:cs="Arial" w:eastAsia="Arial" w:hAnsi="Arial"/>
                <w:sz w:val="18"/>
                <w:szCs w:val="18"/>
                <w:color w:val="auto"/>
                <w:w w:val="99"/>
              </w:rPr>
              <w:t>Participant in a recognized Signature Guarantee</w:t>
            </w:r>
          </w:p>
        </w:tc>
        <w:tc>
          <w:tcPr>
            <w:tcW w:w="196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ind w:left="2880"/>
        <w:spacing w:after="0"/>
        <w:rPr>
          <w:sz w:val="20"/>
          <w:szCs w:val="20"/>
          <w:color w:val="auto"/>
        </w:rPr>
      </w:pPr>
      <w:r>
        <w:rPr>
          <w:rFonts w:ascii="Arial" w:cs="Arial" w:eastAsia="Arial" w:hAnsi="Arial"/>
          <w:sz w:val="18"/>
          <w:szCs w:val="18"/>
          <w:color w:val="auto"/>
        </w:rPr>
        <w:t>Medallion Program (or other signature guarantor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program reasonably acceptable to the Trustee)</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80"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6,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I am Senior Vice President, General Counsel and Secretary of Comcast Corporation, a Pennsylvania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have acted for the Company pursuant to the Underwriting Agreement dated May 2, 2008 (the “</w:t>
      </w:r>
      <w:r>
        <w:rPr>
          <w:rFonts w:ascii="Arial" w:cs="Arial" w:eastAsia="Arial" w:hAnsi="Arial"/>
          <w:sz w:val="15"/>
          <w:szCs w:val="15"/>
          <w:b w:val="1"/>
          <w:bCs w:val="1"/>
          <w:color w:val="auto"/>
        </w:rPr>
        <w:t>Underwriting Agreement</w:t>
      </w:r>
      <w:r>
        <w:rPr>
          <w:rFonts w:ascii="Arial" w:cs="Arial" w:eastAsia="Arial" w:hAnsi="Arial"/>
          <w:sz w:val="15"/>
          <w:szCs w:val="15"/>
          <w:color w:val="auto"/>
        </w:rPr>
        <w:t>”) among the Company, the Cable Guarantors (as defined below) and Citigroup Global Markets Inc., Deutsche Bank Securities Inc., Merrill Lynch, Pierce, Fenner &amp; Smith Incorporated and UBS Securities LLC, as representatives of the several underwriters named therein (the “</w:t>
      </w:r>
      <w:r>
        <w:rPr>
          <w:rFonts w:ascii="Arial" w:cs="Arial" w:eastAsia="Arial" w:hAnsi="Arial"/>
          <w:sz w:val="15"/>
          <w:szCs w:val="15"/>
          <w:b w:val="1"/>
          <w:bCs w:val="1"/>
          <w:color w:val="auto"/>
        </w:rPr>
        <w:t>Underwriters</w:t>
      </w:r>
      <w:r>
        <w:rPr>
          <w:rFonts w:ascii="Arial" w:cs="Arial" w:eastAsia="Arial" w:hAnsi="Arial"/>
          <w:sz w:val="15"/>
          <w:szCs w:val="15"/>
          <w:color w:val="auto"/>
        </w:rPr>
        <w:t>”), of $1,000,000,000 aggregate principal amount of 5.70% Notes Due 2018 and $1,000,000,000 aggregate principal amount of 6.40% Notes Due 2038 (collectively, the “</w:t>
      </w:r>
      <w:r>
        <w:rPr>
          <w:rFonts w:ascii="Arial" w:cs="Arial" w:eastAsia="Arial" w:hAnsi="Arial"/>
          <w:sz w:val="15"/>
          <w:szCs w:val="15"/>
          <w:b w:val="1"/>
          <w:bCs w:val="1"/>
          <w:color w:val="auto"/>
        </w:rPr>
        <w:t>Notes</w:t>
      </w:r>
      <w:r>
        <w:rPr>
          <w:rFonts w:ascii="Arial" w:cs="Arial" w:eastAsia="Arial" w:hAnsi="Arial"/>
          <w:sz w:val="15"/>
          <w:szCs w:val="15"/>
          <w:color w:val="auto"/>
        </w:rPr>
        <w:t>”). The Notes are to be issued pursuant to the provisions of the Indenture dated as of January 7, 2003 (the “</w:t>
      </w:r>
      <w:r>
        <w:rPr>
          <w:rFonts w:ascii="Arial" w:cs="Arial" w:eastAsia="Arial" w:hAnsi="Arial"/>
          <w:sz w:val="15"/>
          <w:szCs w:val="15"/>
          <w:b w:val="1"/>
          <w:bCs w:val="1"/>
          <w:color w:val="auto"/>
        </w:rPr>
        <w:t>Indenture</w:t>
      </w:r>
      <w:r>
        <w:rPr>
          <w:rFonts w:ascii="Arial" w:cs="Arial" w:eastAsia="Arial" w:hAnsi="Arial"/>
          <w:sz w:val="15"/>
          <w:szCs w:val="15"/>
          <w:color w:val="auto"/>
        </w:rPr>
        <w:t>”) by and among the Company, the Cable Guarantors (as defined below) (other than Comcast MO of Delaware, LLC) and The Bank of New York, as Trustee (the “</w:t>
      </w:r>
      <w:r>
        <w:rPr>
          <w:rFonts w:ascii="Arial" w:cs="Arial" w:eastAsia="Arial" w:hAnsi="Arial"/>
          <w:sz w:val="15"/>
          <w:szCs w:val="15"/>
          <w:b w:val="1"/>
          <w:bCs w:val="1"/>
          <w:color w:val="auto"/>
        </w:rPr>
        <w:t>Trustee</w:t>
      </w:r>
      <w:r>
        <w:rPr>
          <w:rFonts w:ascii="Arial" w:cs="Arial" w:eastAsia="Arial" w:hAnsi="Arial"/>
          <w:sz w:val="15"/>
          <w:szCs w:val="15"/>
          <w:color w:val="auto"/>
        </w:rPr>
        <w:t>”), as amended by the First Supplemental Indenture dated as of March 25, 2003 by and among the Company, the Cable Guarantors and the Trustee, and guaranteed (the “</w:t>
      </w:r>
      <w:r>
        <w:rPr>
          <w:rFonts w:ascii="Arial" w:cs="Arial" w:eastAsia="Arial" w:hAnsi="Arial"/>
          <w:sz w:val="15"/>
          <w:szCs w:val="15"/>
          <w:b w:val="1"/>
          <w:bCs w:val="1"/>
          <w:color w:val="auto"/>
        </w:rPr>
        <w:t>Cable Guarantees</w:t>
      </w:r>
      <w:r>
        <w:rPr>
          <w:rFonts w:ascii="Arial" w:cs="Arial" w:eastAsia="Arial" w:hAnsi="Arial"/>
          <w:sz w:val="15"/>
          <w:szCs w:val="15"/>
          <w:color w:val="auto"/>
        </w:rPr>
        <w:t>”) on an unsecured and unsubordinated basis by Comcast Cable Communications, LLC (formerly known as Comcast Cable Communications, Inc.), Comcast Cable Communications Holdings, Inc., Comcast Cable Holdings, LLC, Comcast MO Group, Inc., and Comcast MO of Delaware, LLC (formerly known as Comcast MO of Delaware, Inc.) (the “</w:t>
      </w:r>
      <w:r>
        <w:rPr>
          <w:rFonts w:ascii="Arial" w:cs="Arial" w:eastAsia="Arial" w:hAnsi="Arial"/>
          <w:sz w:val="15"/>
          <w:szCs w:val="15"/>
          <w:b w:val="1"/>
          <w:bCs w:val="1"/>
          <w:color w:val="auto"/>
        </w:rPr>
        <w:t>Cable Guarantors</w:t>
      </w:r>
      <w:r>
        <w:rPr>
          <w:rFonts w:ascii="Arial" w:cs="Arial" w:eastAsia="Arial" w:hAnsi="Arial"/>
          <w:sz w:val="15"/>
          <w:szCs w:val="15"/>
          <w:color w:val="auto"/>
        </w:rPr>
        <w:t>”).</w:t>
      </w:r>
    </w:p>
    <w:p>
      <w:pPr>
        <w:sectPr>
          <w:pgSz w:w="11900" w:h="16838" w:orient="portrait"/>
          <w:cols w:equalWidth="0" w:num="1">
            <w:col w:w="11420"/>
          </w:cols>
          <w:pgMar w:left="240" w:top="12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Comcast Corporation</w:t>
            </w:r>
          </w:p>
        </w:tc>
        <w:tc>
          <w:tcPr>
            <w:tcW w:w="5400" w:type="dxa"/>
            <w:vAlign w:val="bottom"/>
          </w:tcPr>
          <w:p>
            <w:pPr>
              <w:ind w:left="4500"/>
              <w:spacing w:after="0"/>
              <w:rPr>
                <w:sz w:val="20"/>
                <w:szCs w:val="20"/>
                <w:color w:val="auto"/>
              </w:rPr>
            </w:pPr>
            <w:r>
              <w:rPr>
                <w:rFonts w:ascii="Arial" w:cs="Arial" w:eastAsia="Arial" w:hAnsi="Arial"/>
                <w:sz w:val="18"/>
                <w:szCs w:val="18"/>
                <w:color w:val="auto"/>
                <w:w w:val="88"/>
              </w:rPr>
              <w:t>May 6, 2008</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basis of the foregoing, I am of the opinion that:</w:t>
      </w:r>
    </w:p>
    <w:p>
      <w:pPr>
        <w:spacing w:after="0" w:line="171"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 No. 333-132750). In addition, I consent to the reference to 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143510</wp:posOffset>
            </wp:positionV>
            <wp:extent cx="27273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27325" cy="1371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1600 E</w:t>
      </w:r>
      <w:r>
        <w:rPr>
          <w:rFonts w:ascii="Arial" w:cs="Arial" w:eastAsia="Arial" w:hAnsi="Arial"/>
          <w:sz w:val="14"/>
          <w:szCs w:val="14"/>
          <w:color w:val="auto"/>
        </w:rPr>
        <w:t>L</w:t>
      </w:r>
      <w:r>
        <w:rPr>
          <w:rFonts w:ascii="Arial" w:cs="Arial" w:eastAsia="Arial" w:hAnsi="Arial"/>
          <w:sz w:val="18"/>
          <w:szCs w:val="18"/>
          <w:color w:val="auto"/>
        </w:rPr>
        <w:t xml:space="preserve"> C</w:t>
      </w:r>
      <w:r>
        <w:rPr>
          <w:rFonts w:ascii="Arial" w:cs="Arial" w:eastAsia="Arial" w:hAnsi="Arial"/>
          <w:sz w:val="14"/>
          <w:szCs w:val="14"/>
          <w:color w:val="auto"/>
        </w:rPr>
        <w:t>AMINO</w:t>
      </w:r>
      <w:r>
        <w:rPr>
          <w:rFonts w:ascii="Arial" w:cs="Arial" w:eastAsia="Arial" w:hAnsi="Arial"/>
          <w:sz w:val="18"/>
          <w:szCs w:val="18"/>
          <w:color w:val="auto"/>
        </w:rPr>
        <w:t xml:space="preserve"> R</w:t>
      </w:r>
      <w:r>
        <w:rPr>
          <w:rFonts w:ascii="Arial" w:cs="Arial" w:eastAsia="Arial" w:hAnsi="Arial"/>
          <w:sz w:val="14"/>
          <w:szCs w:val="14"/>
          <w:color w:val="auto"/>
        </w:rPr>
        <w:t>EAL</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ENLO</w:t>
      </w:r>
      <w:r>
        <w:rPr>
          <w:rFonts w:ascii="Arial" w:cs="Arial" w:eastAsia="Arial" w:hAnsi="Arial"/>
          <w:sz w:val="16"/>
          <w:szCs w:val="16"/>
          <w:color w:val="auto"/>
        </w:rPr>
        <w:t xml:space="preserve"> P</w:t>
      </w:r>
      <w:r>
        <w:rPr>
          <w:rFonts w:ascii="Arial" w:cs="Arial" w:eastAsia="Arial" w:hAnsi="Arial"/>
          <w:sz w:val="13"/>
          <w:szCs w:val="13"/>
          <w:color w:val="auto"/>
        </w:rPr>
        <w:t>ARK</w:t>
      </w:r>
      <w:r>
        <w:rPr>
          <w:rFonts w:ascii="Arial" w:cs="Arial" w:eastAsia="Arial" w:hAnsi="Arial"/>
          <w:sz w:val="16"/>
          <w:szCs w:val="16"/>
          <w:color w:val="auto"/>
        </w:rPr>
        <w:t>,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W</w:t>
      </w:r>
      <w:r>
        <w:rPr>
          <w:rFonts w:ascii="Arial" w:cs="Arial" w:eastAsia="Arial" w:hAnsi="Arial"/>
          <w:sz w:val="13"/>
          <w:szCs w:val="13"/>
          <w:color w:val="auto"/>
        </w:rPr>
        <w:t>ASHINGTON</w:t>
      </w:r>
      <w:r>
        <w:rPr>
          <w:rFonts w:ascii="Arial" w:cs="Arial" w:eastAsia="Arial" w:hAnsi="Arial"/>
          <w:sz w:val="16"/>
          <w:szCs w:val="16"/>
          <w:color w:val="auto"/>
        </w:rPr>
        <w:t>, D.C.</w:t>
      </w:r>
    </w:p>
    <w:p>
      <w:pPr>
        <w:spacing w:after="0" w:line="32" w:lineRule="exact"/>
        <w:rPr>
          <w:sz w:val="20"/>
          <w:szCs w:val="20"/>
          <w:color w:val="auto"/>
        </w:rPr>
      </w:pPr>
    </w:p>
    <w:p>
      <w:pPr>
        <w:sectPr>
          <w:pgSz w:w="11900" w:h="16838" w:orient="portrait"/>
          <w:cols w:equalWidth="0" w:num="2">
            <w:col w:w="8160" w:space="720"/>
            <w:col w:w="2540"/>
          </w:cols>
          <w:pgMar w:left="240" w:top="125" w:right="239" w:bottom="1440" w:gutter="0" w:footer="0" w:header="0"/>
          <w:type w:val="continuous"/>
        </w:sectPr>
      </w:pPr>
    </w:p>
    <w:tbl>
      <w:tblPr>
        <w:tblLayout w:type="fixed"/>
        <w:tblInd w:w="5180" w:type="dxa"/>
        <w:tblCellMar>
          <w:top w:w="0" w:type="dxa"/>
          <w:left w:w="0" w:type="dxa"/>
          <w:bottom w:w="0" w:type="dxa"/>
          <w:right w:w="0" w:type="dxa"/>
        </w:tblCellMar>
      </w:tblPr>
      <w:tr>
        <w:trPr>
          <w:trHeight w:val="210"/>
        </w:trPr>
        <w:tc>
          <w:tcPr>
            <w:tcW w:w="2640" w:type="dxa"/>
            <w:vAlign w:val="bottom"/>
            <w:vMerge w:val="restart"/>
          </w:tcPr>
          <w:p>
            <w:pPr>
              <w:jc w:val="right"/>
              <w:ind w:right="1412"/>
              <w:spacing w:after="0"/>
              <w:rPr>
                <w:sz w:val="20"/>
                <w:szCs w:val="20"/>
                <w:color w:val="auto"/>
              </w:rPr>
            </w:pPr>
            <w:r>
              <w:rPr>
                <w:rFonts w:ascii="Arial" w:cs="Arial" w:eastAsia="Arial" w:hAnsi="Arial"/>
                <w:sz w:val="18"/>
                <w:szCs w:val="18"/>
                <w:color w:val="auto"/>
              </w:rPr>
              <w:t>650 752 2000</w:t>
            </w:r>
          </w:p>
        </w:tc>
        <w:tc>
          <w:tcPr>
            <w:tcW w:w="2240" w:type="dxa"/>
            <w:vAlign w:val="bottom"/>
          </w:tcPr>
          <w:p>
            <w:pPr>
              <w:jc w:val="center"/>
              <w:ind w:left="1232"/>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p>
        </w:tc>
        <w:tc>
          <w:tcPr>
            <w:tcW w:w="0" w:type="dxa"/>
            <w:vAlign w:val="bottom"/>
          </w:tcPr>
          <w:p>
            <w:pPr>
              <w:spacing w:after="0"/>
              <w:rPr>
                <w:sz w:val="1"/>
                <w:szCs w:val="1"/>
                <w:color w:val="auto"/>
              </w:rPr>
            </w:pPr>
          </w:p>
        </w:tc>
      </w:tr>
      <w:tr>
        <w:trPr>
          <w:trHeight w:val="81"/>
        </w:trPr>
        <w:tc>
          <w:tcPr>
            <w:tcW w:w="2640" w:type="dxa"/>
            <w:vAlign w:val="bottom"/>
            <w:vMerge w:val="continue"/>
          </w:tcPr>
          <w:p>
            <w:pPr>
              <w:spacing w:after="0"/>
              <w:rPr>
                <w:sz w:val="7"/>
                <w:szCs w:val="7"/>
                <w:color w:val="auto"/>
              </w:rPr>
            </w:pPr>
          </w:p>
        </w:tc>
        <w:tc>
          <w:tcPr>
            <w:tcW w:w="2240" w:type="dxa"/>
            <w:vAlign w:val="bottom"/>
            <w:vMerge w:val="restart"/>
          </w:tcPr>
          <w:p>
            <w:pPr>
              <w:jc w:val="center"/>
              <w:ind w:left="1232"/>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ARIS</w:t>
            </w:r>
          </w:p>
        </w:tc>
        <w:tc>
          <w:tcPr>
            <w:tcW w:w="0" w:type="dxa"/>
            <w:vAlign w:val="bottom"/>
          </w:tcPr>
          <w:p>
            <w:pPr>
              <w:spacing w:after="0"/>
              <w:rPr>
                <w:sz w:val="1"/>
                <w:szCs w:val="1"/>
                <w:color w:val="auto"/>
              </w:rPr>
            </w:pPr>
          </w:p>
        </w:tc>
      </w:tr>
      <w:tr>
        <w:trPr>
          <w:trHeight w:val="135"/>
        </w:trPr>
        <w:tc>
          <w:tcPr>
            <w:tcW w:w="2640" w:type="dxa"/>
            <w:vAlign w:val="bottom"/>
            <w:vMerge w:val="restart"/>
          </w:tcPr>
          <w:p>
            <w:pPr>
              <w:jc w:val="center"/>
              <w:ind w:right="1232"/>
              <w:spacing w:after="0"/>
              <w:rPr>
                <w:sz w:val="20"/>
                <w:szCs w:val="20"/>
                <w:color w:val="auto"/>
              </w:rPr>
            </w:pPr>
            <w:r>
              <w:rPr>
                <w:rFonts w:ascii="Arial" w:cs="Arial" w:eastAsia="Arial" w:hAnsi="Arial"/>
                <w:sz w:val="18"/>
                <w:szCs w:val="18"/>
                <w:color w:val="auto"/>
                <w:w w:val="87"/>
              </w:rPr>
              <w:t>FAX 650 752 2111</w:t>
            </w: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40" w:type="dxa"/>
            <w:vAlign w:val="bottom"/>
            <w:vMerge w:val="continue"/>
          </w:tcPr>
          <w:p>
            <w:pPr>
              <w:spacing w:after="0"/>
              <w:rPr>
                <w:sz w:val="7"/>
                <w:szCs w:val="7"/>
                <w:color w:val="auto"/>
              </w:rPr>
            </w:pPr>
          </w:p>
        </w:tc>
        <w:tc>
          <w:tcPr>
            <w:tcW w:w="2240" w:type="dxa"/>
            <w:vAlign w:val="bottom"/>
            <w:vMerge w:val="restart"/>
          </w:tcPr>
          <w:p>
            <w:pPr>
              <w:jc w:val="center"/>
              <w:ind w:left="1232"/>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RANKFURT</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40" w:type="dxa"/>
            <w:vAlign w:val="bottom"/>
          </w:tcPr>
          <w:p>
            <w:pPr>
              <w:jc w:val="center"/>
              <w:ind w:left="121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ADRID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40" w:type="dxa"/>
            <w:vAlign w:val="bottom"/>
          </w:tcPr>
          <w:p>
            <w:pPr>
              <w:jc w:val="center"/>
              <w:ind w:left="1232"/>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OKYO</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240" w:type="dxa"/>
            <w:vAlign w:val="bottom"/>
          </w:tcPr>
          <w:p>
            <w:pPr>
              <w:jc w:val="center"/>
              <w:ind w:left="1232"/>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EIJING</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240" w:type="dxa"/>
            <w:vAlign w:val="bottom"/>
          </w:tcPr>
          <w:p>
            <w:pPr>
              <w:jc w:val="center"/>
              <w:ind w:left="1232"/>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ONG</w:t>
            </w:r>
            <w:r>
              <w:rPr>
                <w:rFonts w:ascii="Arial" w:cs="Arial" w:eastAsia="Arial" w:hAnsi="Arial"/>
                <w:sz w:val="18"/>
                <w:szCs w:val="18"/>
                <w:color w:val="auto"/>
                <w:w w:val="98"/>
              </w:rPr>
              <w:t xml:space="preserve"> K</w:t>
            </w:r>
            <w:r>
              <w:rPr>
                <w:rFonts w:ascii="Arial" w:cs="Arial" w:eastAsia="Arial" w:hAnsi="Arial"/>
                <w:sz w:val="14"/>
                <w:szCs w:val="14"/>
                <w:color w:val="auto"/>
                <w:w w:val="98"/>
              </w:rPr>
              <w:t>ONG</w:t>
            </w:r>
          </w:p>
        </w:tc>
        <w:tc>
          <w:tcPr>
            <w:tcW w:w="0" w:type="dxa"/>
            <w:vAlign w:val="bottom"/>
          </w:tcPr>
          <w:p>
            <w:pPr>
              <w:spacing w:after="0"/>
              <w:rPr>
                <w:sz w:val="1"/>
                <w:szCs w:val="1"/>
                <w:color w:val="auto"/>
              </w:rPr>
            </w:pPr>
          </w:p>
        </w:tc>
      </w:tr>
      <w:tr>
        <w:trPr>
          <w:trHeight w:val="392"/>
        </w:trPr>
        <w:tc>
          <w:tcPr>
            <w:tcW w:w="2640" w:type="dxa"/>
            <w:vAlign w:val="bottom"/>
          </w:tcPr>
          <w:p>
            <w:pPr>
              <w:ind w:left="80"/>
              <w:spacing w:after="0"/>
              <w:rPr>
                <w:sz w:val="20"/>
                <w:szCs w:val="20"/>
                <w:color w:val="auto"/>
              </w:rPr>
            </w:pPr>
            <w:r>
              <w:rPr>
                <w:rFonts w:ascii="Arial" w:cs="Arial" w:eastAsia="Arial" w:hAnsi="Arial"/>
                <w:sz w:val="18"/>
                <w:szCs w:val="18"/>
                <w:color w:val="auto"/>
              </w:rPr>
              <w:t>May 6, 2008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acted as your counsel in connection with the issuance by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pursuant to the Underwriting Agreement dated May 2, 2008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Citigroup Global Markets Inc., Deutsche Bank Securities Inc., Merrill Lynch, Pierce, Fenner &amp; Smith Incorporated and UBS Securities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$1,000,000,000 aggregate principal amount of 5.70% Notes Due 2018 and $1,000,000,000 aggregate principal amount of 6.40% Notes Due 2038 (collectively,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(as defined below) (other than Comcast MO of Delaware, LLC) and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March 25, 2003 by and among the Company, the Cable Guarantors and the Trustee, and guaranteed (the “</w:t>
      </w:r>
      <w:r>
        <w:rPr>
          <w:rFonts w:ascii="Arial" w:cs="Arial" w:eastAsia="Arial" w:hAnsi="Arial"/>
          <w:sz w:val="16"/>
          <w:szCs w:val="16"/>
          <w:b w:val="1"/>
          <w:bCs w:val="1"/>
          <w:color w:val="auto"/>
        </w:rPr>
        <w:t>Cable Guarantees</w:t>
      </w:r>
      <w:r>
        <w:rPr>
          <w:rFonts w:ascii="Arial" w:cs="Arial" w:eastAsia="Arial" w:hAnsi="Arial"/>
          <w:sz w:val="16"/>
          <w:szCs w:val="16"/>
          <w:color w:val="auto"/>
        </w:rPr>
        <w:t>”) on an unsecured and unsubordinated basis by Comcast Cable Communications, LLC (formerly known as Comcast Cable Communications, Inc.), Comcast Cable Communications Holdings, Inc., Comcast Cable Holdings, LLC, Comcast MO Group, Inc., and Comcast MO of Delaware, LLC (formerly known as Comcast MO of Delaware, Inc.) (the “</w:t>
      </w:r>
      <w:r>
        <w:rPr>
          <w:rFonts w:ascii="Arial" w:cs="Arial" w:eastAsia="Arial" w:hAnsi="Arial"/>
          <w:sz w:val="16"/>
          <w:szCs w:val="16"/>
          <w:b w:val="1"/>
          <w:bCs w:val="1"/>
          <w:color w:val="auto"/>
        </w:rPr>
        <w:t>Cable Guarantors</w:t>
      </w:r>
      <w:r>
        <w:rPr>
          <w:rFonts w:ascii="Arial" w:cs="Arial" w:eastAsia="Arial" w:hAnsi="Arial"/>
          <w:sz w:val="16"/>
          <w:szCs w:val="16"/>
          <w:color w:val="auto"/>
        </w:rPr>
        <w:t>”).</w:t>
      </w:r>
    </w:p>
    <w:p>
      <w:pPr>
        <w:spacing w:after="0" w:line="12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ectPr>
          <w:pgSz w:w="11900" w:h="16838" w:orient="portrait"/>
          <w:cols w:equalWidth="0" w:num="1">
            <w:col w:w="11420"/>
          </w:cols>
          <w:pgMar w:left="240" w:top="125"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Comcast Corporation</w:t>
            </w:r>
          </w:p>
        </w:tc>
        <w:tc>
          <w:tcPr>
            <w:tcW w:w="5400" w:type="dxa"/>
            <w:vAlign w:val="bottom"/>
          </w:tcPr>
          <w:p>
            <w:pPr>
              <w:ind w:left="4500"/>
              <w:spacing w:after="0"/>
              <w:rPr>
                <w:sz w:val="20"/>
                <w:szCs w:val="20"/>
                <w:color w:val="auto"/>
              </w:rPr>
            </w:pPr>
            <w:r>
              <w:rPr>
                <w:rFonts w:ascii="Arial" w:cs="Arial" w:eastAsia="Arial" w:hAnsi="Arial"/>
                <w:sz w:val="18"/>
                <w:szCs w:val="18"/>
                <w:color w:val="auto"/>
                <w:w w:val="88"/>
              </w:rPr>
              <w:t>May 6, 2008</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On the basis of the foregoing, we are of the opinion that:</w:t>
      </w:r>
    </w:p>
    <w:p>
      <w:pPr>
        <w:spacing w:after="0" w:line="171" w:lineRule="exact"/>
        <w:rPr>
          <w:sz w:val="20"/>
          <w:szCs w:val="20"/>
          <w:color w:val="auto"/>
        </w:rPr>
      </w:pPr>
    </w:p>
    <w:p>
      <w:pPr>
        <w:ind w:right="20" w:firstLine="464"/>
        <w:spacing w:after="0" w:line="298" w:lineRule="auto"/>
        <w:tabs>
          <w:tab w:leader="none" w:pos="666"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Company and duly executed and delivered by the Trustee, the Indenture is a valid and binding agreement of the Company and the Cable Guarantors, enforceable against the Company and the Cable Guarantors in accordance with its terms (subject, as to enforcement or remedies, to applicable bankruptcy, reorganization, insolvency, fraudulent transfer, moratorium or other similar laws affecting creditors’ rights generally from time to time in effect and to concepts of reasonableness and equitable principles of general applicability);</w:t>
      </w:r>
    </w:p>
    <w:p>
      <w:pPr>
        <w:spacing w:after="0" w:line="112" w:lineRule="exact"/>
        <w:rPr>
          <w:rFonts w:ascii="Arial" w:cs="Arial" w:eastAsia="Arial" w:hAnsi="Arial"/>
          <w:sz w:val="16"/>
          <w:szCs w:val="16"/>
          <w:color w:val="auto"/>
        </w:rPr>
      </w:pPr>
    </w:p>
    <w:p>
      <w:pPr>
        <w:ind w:right="20" w:firstLine="464"/>
        <w:spacing w:after="0" w:line="289" w:lineRule="auto"/>
        <w:tabs>
          <w:tab w:leader="none" w:pos="7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Cable Guarantees have been duly authorized, and, assuming the Notes have been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Cable Guarantees will be valid and binding obligations of the Cable Guarantors, in each case enforceable against them in accordance with their terms (subject, as to enforcement or remedies, to applicable bankruptcy, reorganization, insolvency, fraudulent transfer, moratorium or other similar laws affecting creditors’ rights generally from time to time in effect and to concepts of reasonableness and equitable principles of general applicability), and the Notes will be entitled to the benefits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members of the Bars of the State of New York and California and the foregoing opinion is limited to the laws of the State of New York, the federal laws of the United States of America and the General Corporation Law of the State of Delaware (including the statutory provisions, all applicable provisions of the Delaware Constitution and reported judicial decisions interpreting the foregoing).</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hereby consent to the filing of this opinion as an exhibit to a report on Form 8-K filed by the Company on the date hereof and its incorporation by reference into the Company’s registration statement on Form S-3 (File No. 333-132750). In addition, we consent to the reference to us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Comcast Corporation</w:t>
            </w:r>
          </w:p>
        </w:tc>
        <w:tc>
          <w:tcPr>
            <w:tcW w:w="5400" w:type="dxa"/>
            <w:vAlign w:val="bottom"/>
          </w:tcPr>
          <w:p>
            <w:pPr>
              <w:ind w:left="4500"/>
              <w:spacing w:after="0"/>
              <w:rPr>
                <w:sz w:val="20"/>
                <w:szCs w:val="20"/>
                <w:color w:val="auto"/>
              </w:rPr>
            </w:pPr>
            <w:r>
              <w:rPr>
                <w:rFonts w:ascii="Arial" w:cs="Arial" w:eastAsia="Arial" w:hAnsi="Arial"/>
                <w:sz w:val="18"/>
                <w:szCs w:val="18"/>
                <w:color w:val="auto"/>
                <w:w w:val="88"/>
              </w:rPr>
              <w:t>May 6, 2008</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8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lvl w:ilvl="1">
      <w:lvlJc w:val="left"/>
      <w:lvlText w:val="(%2)"/>
      <w:numFmt w:val="lowerRoman"/>
      <w:start w:val="1"/>
    </w:lvl>
  </w:abstractNum>
  <w:abstractNum w:abstractNumId="2">
    <w:nsid w:val="419AC241"/>
    <w:multiLevelType w:val="hybridMultilevel"/>
    <w:lvl w:ilvl="0">
      <w:lvlJc w:val="left"/>
      <w:lvlText w:val="(%1)"/>
      <w:numFmt w:val="lowerRoman"/>
      <w:start w:val="3"/>
    </w:lvl>
  </w:abstractNum>
  <w:abstractNum w:abstractNumId="3">
    <w:nsid w:val="5577F8E1"/>
    <w:multiLevelType w:val="hybridMultilevel"/>
    <w:lvl w:ilvl="0">
      <w:lvlJc w:val="left"/>
      <w:lvlText w:val="(%1)"/>
      <w:numFmt w:val="lowerRoman"/>
      <w:start w:val="6"/>
    </w:lvl>
  </w:abstractNum>
  <w:abstractNum w:abstractNumId="4">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5">
    <w:nsid w:val="507236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
    <w:nsid w:val="3804823E"/>
    <w:multiLevelType w:val="hybridMultilevel"/>
    <w:lvl w:ilvl="0">
      <w:lvlJc w:val="left"/>
      <w:lvlText w:val="(%1)"/>
      <w:numFmt w:val="lowerLetter"/>
      <w:start w:val="2"/>
    </w:lvl>
    <w:lvl w:ilvl="1">
      <w:lvlJc w:val="left"/>
      <w:lvlText w:val="(%2)"/>
      <w:numFmt w:val="lowerRoman"/>
      <w:start w:val="1"/>
    </w:lvl>
  </w:abstractNum>
  <w:abstractNum w:abstractNumId="7">
    <w:nsid w:val="77465F01"/>
    <w:multiLevelType w:val="hybridMultilevel"/>
    <w:lvl w:ilvl="0">
      <w:lvlJc w:val="left"/>
      <w:lvlText w:val="(%1)"/>
      <w:numFmt w:val="lowerRoman"/>
      <w:start w:val="3"/>
    </w:lvl>
  </w:abstractNum>
  <w:abstractNum w:abstractNumId="8">
    <w:nsid w:val="7724C67E"/>
    <w:multiLevelType w:val="hybridMultilevel"/>
    <w:lvl w:ilvl="0">
      <w:lvlJc w:val="left"/>
      <w:lvlText w:val="(%1)"/>
      <w:numFmt w:val="lowerRoman"/>
      <w:start w:val="10"/>
    </w:lvl>
  </w:abstractNum>
  <w:abstractNum w:abstractNumId="9">
    <w:nsid w:val="5C482A97"/>
    <w:multiLevelType w:val="hybridMultilevel"/>
    <w:lvl w:ilvl="0">
      <w:lvlJc w:val="left"/>
      <w:lvlText w:val="(%1)"/>
      <w:numFmt w:val="lowerRoman"/>
      <w:start w:val="12"/>
    </w:lvl>
  </w:abstractNum>
  <w:abstractNum w:abstractNumId="10">
    <w:nsid w:val="2463B9EA"/>
    <w:multiLevelType w:val="hybridMultilevel"/>
    <w:lvl w:ilvl="0">
      <w:lvlJc w:val="left"/>
      <w:lvlText w:val="(%1)"/>
      <w:numFmt w:val="lowerLetter"/>
      <w:start w:val="4"/>
    </w:lvl>
    <w:lvl w:ilvl="1">
      <w:lvlJc w:val="left"/>
      <w:lvlText w:val="(%2)"/>
      <w:numFmt w:val="lowerRoman"/>
      <w:start w:val="1"/>
    </w:lvl>
  </w:abstractNum>
  <w:abstractNum w:abstractNumId="11">
    <w:nsid w:val="5E884ADC"/>
    <w:multiLevelType w:val="hybridMultilevel"/>
    <w:lvl w:ilvl="0">
      <w:lvlJc w:val="left"/>
      <w:lvlText w:val="(%1)"/>
      <w:numFmt w:val="lowerRoman"/>
      <w:start w:val="3"/>
    </w:lvl>
  </w:abstractNum>
  <w:abstractNum w:abstractNumId="12">
    <w:nsid w:val="51EAD36B"/>
    <w:multiLevelType w:val="hybridMultilevel"/>
    <w:lvl w:ilvl="0">
      <w:lvlJc w:val="left"/>
      <w:lvlText w:val="(%1)"/>
      <w:numFmt w:val="lowerRoman"/>
      <w:start w:val="7"/>
    </w:lvl>
  </w:abstractNum>
  <w:abstractNum w:abstractNumId="13">
    <w:nsid w:val="2D517796"/>
    <w:multiLevelType w:val="hybridMultilevel"/>
    <w:lvl w:ilvl="0">
      <w:lvlJc w:val="left"/>
      <w:lvlText w:val="(%1)"/>
      <w:numFmt w:val="decimal"/>
      <w:start w:val="2"/>
    </w:lvl>
  </w:abstractNum>
  <w:abstractNum w:abstractNumId="14">
    <w:nsid w:val="580BD78F"/>
    <w:multiLevelType w:val="hybridMultilevel"/>
    <w:lvl w:ilvl="0">
      <w:lvlJc w:val="left"/>
      <w:lvlText w:val="(%1)"/>
      <w:numFmt w:val="lowerRoman"/>
      <w:start w:val="1"/>
    </w:lvl>
  </w:abstractNum>
  <w:abstractNum w:abstractNumId="15">
    <w:nsid w:val="153EA438"/>
    <w:multiLevelType w:val="hybridMultilevel"/>
    <w:lvl w:ilvl="0">
      <w:lvlJc w:val="left"/>
      <w:lvlText w:val="(%1)"/>
      <w:numFmt w:val="lowerRoman"/>
      <w:start w:val="2"/>
    </w:lvl>
  </w:abstractNum>
  <w:abstractNum w:abstractNumId="16">
    <w:nsid w:val="3855585C"/>
    <w:multiLevelType w:val="hybridMultilevel"/>
    <w:lvl w:ilvl="0">
      <w:lvlJc w:val="left"/>
      <w:lvlText w:val="%1"/>
      <w:numFmt w:val="decimal"/>
      <w:start w:val="1"/>
    </w:lvl>
    <w:lvl w:ilvl="1">
      <w:lvlJc w:val="left"/>
      <w:lvlText w:val="(%2)"/>
      <w:numFmt w:val="lowerLetter"/>
      <w:start w:val="6"/>
    </w:lvl>
  </w:abstractNum>
  <w:abstractNum w:abstractNumId="17">
    <w:nsid w:val="70A64E2A"/>
    <w:multiLevelType w:val="hybridMultilevel"/>
    <w:lvl w:ilvl="0">
      <w:lvlJc w:val="left"/>
      <w:lvlText w:val="%1."/>
      <w:numFmt w:val="decimal"/>
      <w:start w:val="5"/>
    </w:lvl>
    <w:lvl w:ilvl="1">
      <w:lvlJc w:val="left"/>
      <w:lvlText w:val="(%2)"/>
      <w:numFmt w:val="lowerLetter"/>
      <w:start w:val="1"/>
    </w:lvl>
  </w:abstractNum>
  <w:abstractNum w:abstractNumId="18">
    <w:nsid w:val="6A2342EC"/>
    <w:multiLevelType w:val="hybridMultilevel"/>
    <w:lvl w:ilvl="0">
      <w:lvlJc w:val="left"/>
      <w:lvlText w:val="(%1)"/>
      <w:numFmt w:val="lowerLetter"/>
      <w:start w:val="3"/>
    </w:lvl>
  </w:abstractNum>
  <w:abstractNum w:abstractNumId="19">
    <w:nsid w:val="2A487CB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0">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725A06FB"/>
    <w:multiLevelType w:val="hybridMultilevel"/>
    <w:lvl w:ilvl="0">
      <w:lvlJc w:val="left"/>
      <w:lvlText w:val="%1."/>
      <w:numFmt w:val="decimal"/>
      <w:start w:val="7"/>
    </w:lvl>
  </w:abstractNum>
  <w:abstractNum w:abstractNumId="22">
    <w:nsid w:val="2CD89A32"/>
    <w:multiLevelType w:val="hybridMultilevel"/>
    <w:lvl w:ilvl="0">
      <w:lvlJc w:val="left"/>
      <w:lvlText w:val="%1"/>
      <w:numFmt w:val="lowerLetter"/>
      <w:start w:val="1"/>
    </w:lvl>
    <w:lvl w:ilvl="1">
      <w:lvlJc w:val="left"/>
      <w:lvlText w:val="%2."/>
      <w:numFmt w:val="decimal"/>
      <w:start w:val="8"/>
    </w:lvl>
  </w:abstractNum>
  <w:abstractNum w:abstractNumId="23">
    <w:nsid w:val="57E4CCAF"/>
    <w:multiLevelType w:val="hybridMultilevel"/>
    <w:lvl w:ilvl="0">
      <w:lvlJc w:val="left"/>
      <w:lvlText w:val="(%1)"/>
      <w:numFmt w:val="lowerLetter"/>
      <w:start w:val="1"/>
    </w:lvl>
    <w:lvl w:ilvl="1">
      <w:lvlJc w:val="left"/>
      <w:lvlText w:val="%2"/>
      <w:numFmt w:val="decimal"/>
      <w:start w:val="1"/>
    </w:lvl>
  </w:abstractNum>
  <w:abstractNum w:abstractNumId="24">
    <w:nsid w:val="7A6D8D3C"/>
    <w:multiLevelType w:val="hybridMultilevel"/>
    <w:lvl w:ilvl="0">
      <w:lvlJc w:val="left"/>
      <w:lvlText w:val="%1."/>
      <w:numFmt w:val="decimal"/>
      <w:start w:val="9"/>
    </w:lvl>
  </w:abstractNum>
  <w:abstractNum w:abstractNumId="25">
    <w:nsid w:val="4B588F54"/>
    <w:multiLevelType w:val="hybridMultilevel"/>
    <w:lvl w:ilvl="0">
      <w:lvlJc w:val="left"/>
      <w:lvlText w:val="%1."/>
      <w:numFmt w:val="decimal"/>
      <w:start w:val="12"/>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2"/>
    </w:lvl>
  </w:abstractNum>
  <w:abstractNum w:abstractNumId="28">
    <w:nsid w:val="38437FDB"/>
    <w:multiLevelType w:val="hybridMultilevel"/>
    <w:lvl w:ilvl="0">
      <w:lvlJc w:val="left"/>
      <w:lvlText w:val="%1."/>
      <w:numFmt w:val="decimal"/>
      <w:start w:val="3"/>
    </w:lvl>
  </w:abstractNum>
  <w:abstractNum w:abstractNumId="29">
    <w:nsid w:val="7644A45C"/>
    <w:multiLevelType w:val="hybridMultilevel"/>
    <w:lvl w:ilvl="0">
      <w:lvlJc w:val="left"/>
      <w:lvlText w:val="%1."/>
      <w:numFmt w:val="decimal"/>
      <w:start w:val="4"/>
    </w:lvl>
  </w:abstractNum>
  <w:abstractNum w:abstractNumId="30">
    <w:nsid w:val="32FFF902"/>
    <w:multiLevelType w:val="hybridMultilevel"/>
    <w:lvl w:ilvl="0">
      <w:lvlJc w:val="left"/>
      <w:lvlText w:val="%1."/>
      <w:numFmt w:val="decimal"/>
      <w:start w:val="5"/>
    </w:lvl>
  </w:abstractNum>
  <w:abstractNum w:abstractNumId="31">
    <w:nsid w:val="684A481A"/>
    <w:multiLevelType w:val="hybridMultilevel"/>
    <w:lvl w:ilvl="0">
      <w:lvlJc w:val="left"/>
      <w:lvlText w:val="%1."/>
      <w:numFmt w:val="decimal"/>
      <w:start w:val="6"/>
    </w:lvl>
  </w:abstractNum>
  <w:abstractNum w:abstractNumId="32">
    <w:nsid w:val="579478FE"/>
    <w:multiLevelType w:val="hybridMultilevel"/>
    <w:lvl w:ilvl="0">
      <w:lvlJc w:val="left"/>
      <w:lvlText w:val="%1."/>
      <w:numFmt w:val="decimal"/>
      <w:start w:val="7"/>
    </w:lvl>
  </w:abstractNum>
  <w:abstractNum w:abstractNumId="33">
    <w:nsid w:val="749ABB43"/>
    <w:multiLevelType w:val="hybridMultilevel"/>
    <w:lvl w:ilvl="0">
      <w:lvlJc w:val="left"/>
      <w:lvlText w:val="%1."/>
      <w:numFmt w:val="decimal"/>
      <w:start w:val="8"/>
    </w:lvl>
  </w:abstractNum>
  <w:abstractNum w:abstractNumId="34">
    <w:nsid w:val="3DC240FB"/>
    <w:multiLevelType w:val="hybridMultilevel"/>
    <w:lvl w:ilvl="0">
      <w:lvlJc w:val="left"/>
      <w:lvlText w:val="%1."/>
      <w:numFmt w:val="decimal"/>
      <w:start w:val="9"/>
    </w:lvl>
  </w:abstractNum>
  <w:abstractNum w:abstractNumId="35">
    <w:nsid w:val="1BA026FA"/>
    <w:multiLevelType w:val="hybridMultilevel"/>
    <w:lvl w:ilvl="0">
      <w:lvlJc w:val="left"/>
      <w:lvlText w:val="%1."/>
      <w:numFmt w:val="decimal"/>
      <w:start w:val="10"/>
    </w:lvl>
  </w:abstractNum>
  <w:abstractNum w:abstractNumId="36">
    <w:nsid w:val="79A1DEAA"/>
    <w:multiLevelType w:val="hybridMultilevel"/>
    <w:lvl w:ilvl="0">
      <w:lvlJc w:val="left"/>
      <w:lvlText w:val="%1."/>
      <w:numFmt w:val="decimal"/>
      <w:start w:val="11"/>
    </w:lvl>
  </w:abstractNum>
  <w:abstractNum w:abstractNumId="37">
    <w:nsid w:val="75C6C33A"/>
    <w:multiLevelType w:val="hybridMultilevel"/>
    <w:lvl w:ilvl="0">
      <w:lvlJc w:val="left"/>
      <w:lvlText w:val="%1."/>
      <w:numFmt w:val="decimal"/>
      <w:start w:val="12"/>
    </w:lvl>
  </w:abstractNum>
  <w:abstractNum w:abstractNumId="38">
    <w:nsid w:val="12E685FB"/>
    <w:multiLevelType w:val="hybridMultilevel"/>
    <w:lvl w:ilvl="0">
      <w:lvlJc w:val="left"/>
      <w:lvlText w:val="%1."/>
      <w:numFmt w:val="decimal"/>
      <w:start w:val="13"/>
    </w:lvl>
  </w:abstractNum>
  <w:abstractNum w:abstractNumId="39">
    <w:nsid w:val="70C6A529"/>
    <w:multiLevelType w:val="hybridMultilevel"/>
    <w:lvl w:ilvl="0">
      <w:lvlJc w:val="left"/>
      <w:lvlText w:val="%1."/>
      <w:numFmt w:val="decimal"/>
      <w:start w:val="14"/>
    </w:lvl>
  </w:abstractNum>
  <w:abstractNum w:abstractNumId="40">
    <w:nsid w:val="520EEDD1"/>
    <w:multiLevelType w:val="hybridMultilevel"/>
    <w:lvl w:ilvl="0">
      <w:lvlJc w:val="left"/>
      <w:lvlText w:val="%1."/>
      <w:numFmt w:val="decimal"/>
      <w:start w:val="15"/>
    </w:lvl>
  </w:abstractNum>
  <w:abstractNum w:abstractNumId="41">
    <w:nsid w:val="374A3FE6"/>
    <w:multiLevelType w:val="hybridMultilevel"/>
    <w:lvl w:ilvl="0">
      <w:lvlJc w:val="left"/>
      <w:lvlText w:val="%1."/>
      <w:numFmt w:val="decimal"/>
      <w:start w:val="16"/>
    </w:lvl>
  </w:abstractNum>
  <w:abstractNum w:abstractNumId="42">
    <w:nsid w:val="4F4EF005"/>
    <w:multiLevelType w:val="hybridMultilevel"/>
    <w:lvl w:ilvl="0">
      <w:lvlJc w:val="left"/>
      <w:lvlText w:val="%1."/>
      <w:numFmt w:val="decimal"/>
      <w:start w:val="17"/>
    </w:lvl>
  </w:abstractNum>
  <w:abstractNum w:abstractNumId="43">
    <w:nsid w:val="23F9C13C"/>
    <w:multiLevelType w:val="hybridMultilevel"/>
    <w:lvl w:ilvl="0">
      <w:lvlJc w:val="left"/>
      <w:lvlText w:val="%1."/>
      <w:numFmt w:val="decimal"/>
      <w:start w:val="18"/>
    </w:lvl>
  </w:abstractNum>
  <w:abstractNum w:abstractNumId="44">
    <w:nsid w:val="649BB77C"/>
    <w:multiLevelType w:val="hybridMultilevel"/>
    <w:lvl w:ilvl="0">
      <w:lvlJc w:val="left"/>
      <w:lvlText w:val="%1."/>
      <w:numFmt w:val="decimal"/>
      <w:start w:val="19"/>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2"/>
    </w:lvl>
  </w:abstractNum>
  <w:abstractNum w:abstractNumId="47">
    <w:nsid w:val="1CF10FD8"/>
    <w:multiLevelType w:val="hybridMultilevel"/>
    <w:lvl w:ilvl="0">
      <w:lvlJc w:val="left"/>
      <w:lvlText w:val="%1."/>
      <w:numFmt w:val="decimal"/>
      <w:start w:val="3"/>
    </w:lvl>
  </w:abstractNum>
  <w:abstractNum w:abstractNumId="48">
    <w:nsid w:val="180115BE"/>
    <w:multiLevelType w:val="hybridMultilevel"/>
    <w:lvl w:ilvl="0">
      <w:lvlJc w:val="left"/>
      <w:lvlText w:val="%1."/>
      <w:numFmt w:val="decimal"/>
      <w:start w:val="4"/>
    </w:lvl>
  </w:abstractNum>
  <w:abstractNum w:abstractNumId="49">
    <w:nsid w:val="235BA861"/>
    <w:multiLevelType w:val="hybridMultilevel"/>
    <w:lvl w:ilvl="0">
      <w:lvlJc w:val="left"/>
      <w:lvlText w:val="%1."/>
      <w:numFmt w:val="decimal"/>
      <w:start w:val="5"/>
    </w:lvl>
  </w:abstractNum>
  <w:abstractNum w:abstractNumId="50">
    <w:nsid w:val="47398C89"/>
    <w:multiLevelType w:val="hybridMultilevel"/>
    <w:lvl w:ilvl="0">
      <w:lvlJc w:val="left"/>
      <w:lvlText w:val="%1."/>
      <w:numFmt w:val="decimal"/>
      <w:start w:val="6"/>
    </w:lvl>
  </w:abstractNum>
  <w:abstractNum w:abstractNumId="51">
    <w:nsid w:val="354FE9F9"/>
    <w:multiLevelType w:val="hybridMultilevel"/>
    <w:lvl w:ilvl="0">
      <w:lvlJc w:val="left"/>
      <w:lvlText w:val="%1."/>
      <w:numFmt w:val="decimal"/>
      <w:start w:val="7"/>
    </w:lvl>
  </w:abstractNum>
  <w:abstractNum w:abstractNumId="52">
    <w:nsid w:val="15B5AF5C"/>
    <w:multiLevelType w:val="hybridMultilevel"/>
    <w:lvl w:ilvl="0">
      <w:lvlJc w:val="left"/>
      <w:lvlText w:val="%1."/>
      <w:numFmt w:val="decimal"/>
      <w:start w:val="8"/>
    </w:lvl>
  </w:abstractNum>
  <w:abstractNum w:abstractNumId="53">
    <w:nsid w:val="741226BB"/>
    <w:multiLevelType w:val="hybridMultilevel"/>
    <w:lvl w:ilvl="0">
      <w:lvlJc w:val="left"/>
      <w:lvlText w:val="%1."/>
      <w:numFmt w:val="decimal"/>
      <w:start w:val="9"/>
    </w:lvl>
  </w:abstractNum>
  <w:abstractNum w:abstractNumId="54">
    <w:nsid w:val="D34B6A8"/>
    <w:multiLevelType w:val="hybridMultilevel"/>
    <w:lvl w:ilvl="0">
      <w:lvlJc w:val="left"/>
      <w:lvlText w:val="%1."/>
      <w:numFmt w:val="decimal"/>
      <w:start w:val="10"/>
    </w:lvl>
  </w:abstractNum>
  <w:abstractNum w:abstractNumId="55">
    <w:nsid w:val="10233C99"/>
    <w:multiLevelType w:val="hybridMultilevel"/>
    <w:lvl w:ilvl="0">
      <w:lvlJc w:val="left"/>
      <w:lvlText w:val="%1."/>
      <w:numFmt w:val="decimal"/>
      <w:start w:val="11"/>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1."/>
      <w:numFmt w:val="decimal"/>
      <w:start w:val="14"/>
    </w:lvl>
  </w:abstractNum>
  <w:abstractNum w:abstractNumId="59">
    <w:nsid w:val="77AE35EB"/>
    <w:multiLevelType w:val="hybridMultilevel"/>
    <w:lvl w:ilvl="0">
      <w:lvlJc w:val="left"/>
      <w:lvlText w:val="%1."/>
      <w:numFmt w:val="decimal"/>
      <w:start w:val="15"/>
    </w:lvl>
  </w:abstractNum>
  <w:abstractNum w:abstractNumId="60">
    <w:nsid w:val="579BE4F1"/>
    <w:multiLevelType w:val="hybridMultilevel"/>
    <w:lvl w:ilvl="0">
      <w:lvlJc w:val="left"/>
      <w:lvlText w:val="%1."/>
      <w:numFmt w:val="decimal"/>
      <w:start w:val="16"/>
    </w:lvl>
  </w:abstractNum>
  <w:abstractNum w:abstractNumId="61">
    <w:nsid w:val="310C50B3"/>
    <w:multiLevelType w:val="hybridMultilevel"/>
    <w:lvl w:ilvl="0">
      <w:lvlJc w:val="left"/>
      <w:lvlText w:val="%1."/>
      <w:numFmt w:val="decimal"/>
      <w:start w:val="17"/>
    </w:lvl>
  </w:abstractNum>
  <w:abstractNum w:abstractNumId="62">
    <w:nsid w:val="5FF87E05"/>
    <w:multiLevelType w:val="hybridMultilevel"/>
    <w:lvl w:ilvl="0">
      <w:lvlJc w:val="left"/>
      <w:lvlText w:val="%1."/>
      <w:numFmt w:val="decimal"/>
      <w:start w:val="18"/>
    </w:lvl>
  </w:abstractNum>
  <w:abstractNum w:abstractNumId="63">
    <w:nsid w:val="2F305DEF"/>
    <w:multiLevelType w:val="hybridMultilevel"/>
    <w:lvl w:ilvl="0">
      <w:lvlJc w:val="left"/>
      <w:lvlText w:val="%1."/>
      <w:numFmt w:val="decimal"/>
      <w:start w:val="19"/>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2019-12-15T07:00:35Z</dcterms:created>
  <dcterms:modified xsi:type="dcterms:W3CDTF">2019-12-15T07:00:35Z</dcterms:modified>
</cp:coreProperties>
</file>