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7340" w:type="dxa"/>
            <w:vAlign w:val="bottom"/>
            <w:gridSpan w:val="4"/>
          </w:tcPr>
          <w:p>
            <w:pPr>
              <w:jc w:val="center"/>
              <w:ind w:left="3412"/>
              <w:spacing w:after="0"/>
              <w:rPr>
                <w:sz w:val="20"/>
                <w:szCs w:val="20"/>
                <w:color w:val="auto"/>
              </w:rPr>
            </w:pPr>
            <w:r>
              <w:rPr>
                <w:rFonts w:ascii="Arial" w:cs="Arial" w:eastAsia="Arial" w:hAnsi="Arial"/>
                <w:sz w:val="18"/>
                <w:szCs w:val="18"/>
                <w:b w:val="1"/>
                <w:bCs w:val="1"/>
                <w:color w:val="auto"/>
                <w:w w:val="88"/>
              </w:rPr>
              <w:t>For the quarterly period ended September 30, 2013</w:t>
            </w:r>
          </w:p>
        </w:tc>
      </w:tr>
      <w:tr>
        <w:trPr>
          <w:trHeight w:val="284"/>
        </w:trPr>
        <w:tc>
          <w:tcPr>
            <w:tcW w:w="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tcPr>
          <w:p>
            <w:pPr>
              <w:jc w:val="center"/>
              <w:ind w:left="472"/>
              <w:spacing w:after="0"/>
              <w:rPr>
                <w:sz w:val="20"/>
                <w:szCs w:val="20"/>
                <w:color w:val="auto"/>
              </w:rPr>
            </w:pPr>
            <w:r>
              <w:rPr>
                <w:rFonts w:ascii="Arial" w:cs="Arial" w:eastAsia="Arial" w:hAnsi="Arial"/>
                <w:sz w:val="18"/>
                <w:szCs w:val="18"/>
                <w:b w:val="1"/>
                <w:bCs w:val="1"/>
                <w:color w:val="auto"/>
                <w:w w:val="96"/>
              </w:rPr>
              <w:t>OR</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4"/>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340" w:type="dxa"/>
            <w:vAlign w:val="bottom"/>
            <w:gridSpan w:val="4"/>
          </w:tcPr>
          <w:p>
            <w:pPr>
              <w:ind w:left="160"/>
              <w:spacing w:after="0"/>
              <w:rPr>
                <w:sz w:val="20"/>
                <w:szCs w:val="20"/>
                <w:color w:val="auto"/>
              </w:rPr>
            </w:pPr>
            <w:r>
              <w:rPr>
                <w:rFonts w:ascii="Arial" w:cs="Arial" w:eastAsia="Arial" w:hAnsi="Arial"/>
                <w:sz w:val="18"/>
                <w:szCs w:val="18"/>
                <w:b w:val="1"/>
                <w:bCs w:val="1"/>
                <w:color w:val="auto"/>
                <w:w w:val="94"/>
              </w:rPr>
              <w:t>Transition Report pursuant to Section 13 or 15(d) of the Securities Exchange Act of 1934</w:t>
            </w:r>
          </w:p>
        </w:tc>
      </w:tr>
      <w:tr>
        <w:trPr>
          <w:trHeight w:val="264"/>
        </w:trPr>
        <w:tc>
          <w:tcPr>
            <w:tcW w:w="300" w:type="dxa"/>
            <w:vAlign w:val="bottom"/>
          </w:tcPr>
          <w:p>
            <w:pPr>
              <w:spacing w:after="0"/>
              <w:rPr>
                <w:sz w:val="22"/>
                <w:szCs w:val="22"/>
                <w:color w:val="auto"/>
              </w:rPr>
            </w:pPr>
          </w:p>
        </w:tc>
        <w:tc>
          <w:tcPr>
            <w:tcW w:w="6040" w:type="dxa"/>
            <w:vAlign w:val="bottom"/>
            <w:gridSpan w:val="2"/>
          </w:tcPr>
          <w:p>
            <w:pPr>
              <w:ind w:left="3240"/>
              <w:spacing w:after="0"/>
              <w:rPr>
                <w:sz w:val="20"/>
                <w:szCs w:val="20"/>
                <w:color w:val="auto"/>
              </w:rPr>
            </w:pPr>
            <w:r>
              <w:rPr>
                <w:rFonts w:ascii="Arial" w:cs="Arial" w:eastAsia="Arial" w:hAnsi="Arial"/>
                <w:sz w:val="18"/>
                <w:szCs w:val="18"/>
                <w:b w:val="1"/>
                <w:bCs w:val="1"/>
                <w:color w:val="auto"/>
              </w:rPr>
              <w:t>For the Transition Period from</w:t>
            </w:r>
          </w:p>
        </w:tc>
        <w:tc>
          <w:tcPr>
            <w:tcW w:w="1300" w:type="dxa"/>
            <w:vAlign w:val="bottom"/>
            <w:gridSpan w:val="2"/>
          </w:tcPr>
          <w:p>
            <w:pPr>
              <w:ind w:left="480"/>
              <w:spacing w:after="0"/>
              <w:rPr>
                <w:sz w:val="20"/>
                <w:szCs w:val="20"/>
                <w:color w:val="auto"/>
              </w:rPr>
            </w:pPr>
            <w:r>
              <w:rPr>
                <w:rFonts w:ascii="Arial" w:cs="Arial" w:eastAsia="Arial" w:hAnsi="Arial"/>
                <w:sz w:val="18"/>
                <w:szCs w:val="18"/>
                <w:b w:val="1"/>
                <w:bCs w:val="1"/>
                <w:color w:val="auto"/>
              </w:rPr>
              <w:t>to</w:t>
            </w:r>
          </w:p>
        </w:tc>
      </w:tr>
      <w:tr>
        <w:trPr>
          <w:trHeight w:val="284"/>
        </w:trPr>
        <w:tc>
          <w:tcPr>
            <w:tcW w:w="300" w:type="dxa"/>
            <w:vAlign w:val="bottom"/>
          </w:tcPr>
          <w:p>
            <w:pPr>
              <w:spacing w:after="0"/>
              <w:rPr>
                <w:sz w:val="24"/>
                <w:szCs w:val="24"/>
                <w:color w:val="auto"/>
              </w:rPr>
            </w:pPr>
          </w:p>
        </w:tc>
        <w:tc>
          <w:tcPr>
            <w:tcW w:w="7340" w:type="dxa"/>
            <w:vAlign w:val="bottom"/>
            <w:gridSpan w:val="4"/>
          </w:tcPr>
          <w:p>
            <w:pPr>
              <w:jc w:val="center"/>
              <w:ind w:left="3392"/>
              <w:spacing w:after="0"/>
              <w:rPr>
                <w:sz w:val="20"/>
                <w:szCs w:val="20"/>
                <w:color w:val="auto"/>
              </w:rPr>
            </w:pPr>
            <w:r>
              <w:rPr>
                <w:rFonts w:ascii="Arial" w:cs="Arial" w:eastAsia="Arial" w:hAnsi="Arial"/>
                <w:sz w:val="18"/>
                <w:szCs w:val="18"/>
                <w:b w:val="1"/>
                <w:bCs w:val="1"/>
                <w:color w:val="auto"/>
                <w:w w:val="88"/>
              </w:rPr>
              <w:t>Commission File Number 333-174175</w:t>
            </w:r>
          </w:p>
        </w:tc>
      </w:tr>
      <w:tr>
        <w:trPr>
          <w:trHeight w:val="164"/>
        </w:trPr>
        <w:tc>
          <w:tcPr>
            <w:tcW w:w="3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NBCUniversal Media, LLC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6"/>
              </w:rPr>
              <w:t>DELAWARE</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14-1682529</w:t>
            </w:r>
          </w:p>
        </w:tc>
      </w:tr>
      <w:tr>
        <w:trPr>
          <w:trHeight w:val="216"/>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(State or other jurisdiction of</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incorporation or organization)</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4"/>
              </w:rPr>
              <w:t>Identification No.)</w:t>
            </w:r>
          </w:p>
        </w:tc>
      </w:tr>
      <w:tr>
        <w:trPr>
          <w:trHeight w:val="420"/>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30 Rockefeller Plaza,</w:t>
            </w:r>
          </w:p>
        </w:tc>
        <w:tc>
          <w:tcPr>
            <w:tcW w:w="3200" w:type="dxa"/>
            <w:vAlign w:val="bottom"/>
          </w:tcPr>
          <w:p>
            <w:pPr>
              <w:spacing w:after="0"/>
              <w:rPr>
                <w:sz w:val="24"/>
                <w:szCs w:val="24"/>
                <w:color w:val="auto"/>
              </w:rPr>
            </w:pPr>
          </w:p>
        </w:tc>
      </w:tr>
      <w:tr>
        <w:trPr>
          <w:trHeight w:val="236"/>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2"/>
              </w:rPr>
              <w:t>New York, NY</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66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practical date: Not applicable</w:t>
      </w:r>
    </w:p>
    <w:p>
      <w:pPr>
        <w:spacing w:after="0" w:line="71"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0" w:type="dxa"/>
            <w:vAlign w:val="bottom"/>
            <w:gridSpan w:val="15"/>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300" w:type="dxa"/>
            <w:vAlign w:val="bottom"/>
            <w:gridSpan w:val="13"/>
          </w:tcPr>
          <w:p>
            <w:pPr>
              <w:spacing w:after="0" w:line="148" w:lineRule="exact"/>
              <w:rPr>
                <w:rFonts w:ascii="Arial" w:cs="Arial" w:eastAsia="Arial" w:hAnsi="Arial"/>
                <w:sz w:val="14"/>
                <w:szCs w:val="14"/>
                <w:color w:val="0000EE"/>
              </w:rPr>
            </w:pPr>
            <w:hyperlink w:anchor="page3">
              <w:r>
                <w:rPr>
                  <w:rFonts w:ascii="Arial" w:cs="Arial" w:eastAsia="Arial" w:hAnsi="Arial"/>
                  <w:sz w:val="14"/>
                  <w:szCs w:val="14"/>
                  <w:color w:val="0000EE"/>
                </w:rPr>
                <w:t>Financial Statements</w:t>
              </w:r>
            </w:hyperlink>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gridSpan w:val="13"/>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September 30, 2013 and December 31, 2012 (Unaudited)</w:t>
              </w:r>
            </w:hyperlink>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gridSpan w:val="13"/>
          </w:tcPr>
          <w:p>
            <w:pPr>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Condensed Consolidated Statement of Income for the Three and Nine Months Ended September 30, 2013 and 2012 (Unaudited)</w:t>
              </w:r>
            </w:hyperlink>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gridSpan w:val="13"/>
          </w:tcPr>
          <w:p>
            <w:pPr>
              <w:spacing w:after="0" w:line="129" w:lineRule="exact"/>
              <w:rPr>
                <w:rFonts w:ascii="Arial" w:cs="Arial" w:eastAsia="Arial" w:hAnsi="Arial"/>
                <w:sz w:val="14"/>
                <w:szCs w:val="14"/>
                <w:color w:val="0000EE"/>
                <w:w w:val="91"/>
              </w:rPr>
            </w:pPr>
            <w:hyperlink w:anchor="page5">
              <w:r>
                <w:rPr>
                  <w:rFonts w:ascii="Arial" w:cs="Arial" w:eastAsia="Arial" w:hAnsi="Arial"/>
                  <w:sz w:val="14"/>
                  <w:szCs w:val="14"/>
                  <w:color w:val="0000EE"/>
                  <w:w w:val="91"/>
                </w:rPr>
                <w:t>Condensed Consolidated Statement of Comprehensive Income for the Three and Nine Months Ended September 30, 2013 and 2012 (Unaudited)</w:t>
              </w:r>
            </w:hyperlink>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580" w:type="dxa"/>
            <w:vAlign w:val="bottom"/>
            <w:tcBorders>
              <w:top w:val="single" w:sz="8" w:color="0000EE"/>
              <w:bottom w:val="single" w:sz="8" w:color="0000EE"/>
            </w:tcBorders>
            <w:gridSpan w:val="9"/>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 of Cash Flows for the Nine Months Ended September 30, 2013 and 2012 (Unaudited)</w:t>
              </w:r>
            </w:hyperlink>
          </w:p>
        </w:tc>
        <w:tc>
          <w:tcPr>
            <w:tcW w:w="1220" w:type="dxa"/>
            <w:vAlign w:val="bottom"/>
            <w:tcBorders>
              <w:top w:val="single" w:sz="8" w:color="0000EE"/>
            </w:tcBorders>
            <w:gridSpan w:val="3"/>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00" w:type="dxa"/>
            <w:vAlign w:val="bottom"/>
            <w:gridSpan w:val="13"/>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Nine Months Ended September 30, 2013 and 2012 (Unaudited)</w:t>
              </w:r>
            </w:hyperlink>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94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360" w:type="dxa"/>
            <w:vAlign w:val="bottom"/>
            <w:gridSpan w:val="2"/>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6"/>
          </w:tcPr>
          <w:p>
            <w:pPr>
              <w:spacing w:after="0" w:line="129" w:lineRule="exact"/>
              <w:rPr>
                <w:rFonts w:ascii="Arial" w:cs="Arial" w:eastAsia="Arial" w:hAnsi="Arial"/>
                <w:sz w:val="14"/>
                <w:szCs w:val="14"/>
                <w:color w:val="0000EE"/>
                <w:w w:val="88"/>
              </w:rPr>
            </w:pPr>
            <w:hyperlink w:anchor="page17">
              <w:r>
                <w:rPr>
                  <w:rFonts w:ascii="Arial" w:cs="Arial" w:eastAsia="Arial" w:hAnsi="Arial"/>
                  <w:sz w:val="14"/>
                  <w:szCs w:val="14"/>
                  <w:color w:val="0000EE"/>
                  <w:w w:val="88"/>
                </w:rPr>
                <w:t>Management’s Discussion and Analysis of Financial Condition and</w:t>
              </w:r>
            </w:hyperlink>
          </w:p>
        </w:tc>
        <w:tc>
          <w:tcPr>
            <w:tcW w:w="4620" w:type="dxa"/>
            <w:vAlign w:val="bottom"/>
            <w:gridSpan w:val="7"/>
          </w:tcPr>
          <w:p>
            <w:pPr>
              <w:spacing w:after="0" w:line="129" w:lineRule="exact"/>
              <w:rPr>
                <w:rFonts w:ascii="Arial" w:cs="Arial" w:eastAsia="Arial" w:hAnsi="Arial"/>
                <w:sz w:val="14"/>
                <w:szCs w:val="14"/>
                <w:color w:val="0000EE"/>
              </w:rPr>
            </w:pPr>
            <w:hyperlink w:anchor="page17">
              <w:r>
                <w:rPr>
                  <w:rFonts w:ascii="Arial" w:cs="Arial" w:eastAsia="Arial" w:hAnsi="Arial"/>
                  <w:sz w:val="14"/>
                  <w:szCs w:val="14"/>
                  <w:color w:val="0000EE"/>
                </w:rPr>
                <w:t>Results of Operations</w:t>
              </w:r>
            </w:hyperlink>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4840" w:type="dxa"/>
            <w:vAlign w:val="bottom"/>
            <w:tcBorders>
              <w:top w:val="single" w:sz="8" w:color="0000EE"/>
            </w:tcBorders>
            <w:gridSpan w:val="7"/>
          </w:tcPr>
          <w:p>
            <w:pPr>
              <w:spacing w:after="0" w:line="129" w:lineRule="exact"/>
              <w:rPr>
                <w:rFonts w:ascii="Arial" w:cs="Arial" w:eastAsia="Arial" w:hAnsi="Arial"/>
                <w:sz w:val="14"/>
                <w:szCs w:val="14"/>
                <w:color w:val="0000EE"/>
              </w:rPr>
            </w:pPr>
            <w:hyperlink w:anchor="page27">
              <w:r>
                <w:rPr>
                  <w:rFonts w:ascii="Arial" w:cs="Arial" w:eastAsia="Arial" w:hAnsi="Arial"/>
                  <w:sz w:val="14"/>
                  <w:szCs w:val="14"/>
                  <w:color w:val="0000EE"/>
                </w:rPr>
                <w:t>Controls and Procedures</w:t>
              </w:r>
            </w:hyperlink>
          </w:p>
        </w:tc>
        <w:tc>
          <w:tcPr>
            <w:tcW w:w="3460" w:type="dxa"/>
            <w:vAlign w:val="bottom"/>
            <w:gridSpan w:val="6"/>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29"/>
        </w:trPr>
        <w:tc>
          <w:tcPr>
            <w:tcW w:w="2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PART II. OTHER INFORMATION</w:t>
            </w:r>
          </w:p>
        </w:tc>
        <w:tc>
          <w:tcPr>
            <w:tcW w:w="4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300" w:type="dxa"/>
            <w:vAlign w:val="bottom"/>
            <w:gridSpan w:val="13"/>
          </w:tcPr>
          <w:p>
            <w:pPr>
              <w:spacing w:after="0" w:line="148" w:lineRule="exact"/>
              <w:rPr>
                <w:rFonts w:ascii="Arial" w:cs="Arial" w:eastAsia="Arial" w:hAnsi="Arial"/>
                <w:sz w:val="14"/>
                <w:szCs w:val="14"/>
                <w:color w:val="0000EE"/>
              </w:rPr>
            </w:pPr>
            <w:hyperlink w:anchor="page28">
              <w:r>
                <w:rPr>
                  <w:rFonts w:ascii="Arial" w:cs="Arial" w:eastAsia="Arial" w:hAnsi="Arial"/>
                  <w:sz w:val="14"/>
                  <w:szCs w:val="14"/>
                  <w:color w:val="0000EE"/>
                </w:rPr>
                <w:t>Legal Proceedings</w:t>
              </w:r>
            </w:hyperlink>
          </w:p>
        </w:tc>
        <w:tc>
          <w:tcPr>
            <w:tcW w:w="1000" w:type="dxa"/>
            <w:vAlign w:val="bottom"/>
          </w:tcPr>
          <w:p>
            <w:pPr>
              <w:jc w:val="right"/>
              <w:spacing w:after="0" w:line="148"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Risk Factors</w:t>
              </w:r>
            </w:hyperlink>
          </w:p>
        </w:tc>
        <w:tc>
          <w:tcPr>
            <w:tcW w:w="7300" w:type="dxa"/>
            <w:vAlign w:val="bottom"/>
            <w:gridSpan w:val="10"/>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rPr>
            </w:pPr>
            <w:hyperlink w:anchor="page28">
              <w:r>
                <w:rPr>
                  <w:rFonts w:ascii="Arial" w:cs="Arial" w:eastAsia="Arial" w:hAnsi="Arial"/>
                  <w:sz w:val="14"/>
                  <w:szCs w:val="14"/>
                  <w:color w:val="0000EE"/>
                </w:rPr>
                <w:t>Exhibits</w:t>
              </w:r>
            </w:hyperlink>
          </w:p>
        </w:tc>
        <w:tc>
          <w:tcPr>
            <w:tcW w:w="7620" w:type="dxa"/>
            <w:vAlign w:val="bottom"/>
            <w:gridSpan w:val="11"/>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120" w:type="dxa"/>
            <w:vAlign w:val="bottom"/>
            <w:gridSpan w:val="3"/>
          </w:tcPr>
          <w:p>
            <w:pPr>
              <w:spacing w:after="0" w:line="129" w:lineRule="exact"/>
              <w:rPr>
                <w:rFonts w:ascii="Arial" w:cs="Arial" w:eastAsia="Arial" w:hAnsi="Arial"/>
                <w:sz w:val="14"/>
                <w:szCs w:val="14"/>
                <w:b w:val="1"/>
                <w:bCs w:val="1"/>
                <w:color w:val="0000EE"/>
              </w:rPr>
            </w:pPr>
            <w:hyperlink w:anchor="page29">
              <w:r>
                <w:rPr>
                  <w:rFonts w:ascii="Arial" w:cs="Arial" w:eastAsia="Arial" w:hAnsi="Arial"/>
                  <w:sz w:val="14"/>
                  <w:szCs w:val="14"/>
                  <w:b w:val="1"/>
                  <w:bCs w:val="1"/>
                  <w:color w:val="0000EE"/>
                </w:rPr>
                <w:t>SIGNATURES</w:t>
              </w:r>
            </w:hyperlink>
          </w:p>
        </w:tc>
        <w:tc>
          <w:tcPr>
            <w:tcW w:w="440" w:type="dxa"/>
            <w:vAlign w:val="bottom"/>
            <w:tcBorders>
              <w:top w:val="single" w:sz="8" w:color="0000EE"/>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This Quarterly Report on Form 10-Q is for the three and nine months ended September 30, 2013.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businesses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success depends on consumer acceptance of our content, which is difficult to predict, and our businesses may be adversely affected if our content fails to achieve sufficient consumer acceptance or our costs to create or acquire content increase</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900" w:type="dxa"/>
            <w:vAlign w:val="bottom"/>
            <w:gridSpan w:val="2"/>
          </w:tcPr>
          <w:p>
            <w:pPr>
              <w:ind w:left="172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340"/>
              <w:spacing w:after="0"/>
              <w:rPr>
                <w:sz w:val="20"/>
                <w:szCs w:val="20"/>
                <w:color w:val="auto"/>
              </w:rPr>
            </w:pPr>
            <w:r>
              <w:rPr>
                <w:rFonts w:ascii="Arial" w:cs="Arial" w:eastAsia="Arial" w:hAnsi="Arial"/>
                <w:sz w:val="14"/>
                <w:szCs w:val="14"/>
                <w:color w:val="auto"/>
                <w:w w:val="97"/>
              </w:rPr>
              <w:t>December 31,</w:t>
            </w:r>
          </w:p>
        </w:tc>
      </w:tr>
      <w:tr>
        <w:trPr>
          <w:trHeight w:val="159"/>
        </w:trPr>
        <w:tc>
          <w:tcPr>
            <w:tcW w:w="73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880" w:type="dxa"/>
            <w:vAlign w:val="bottom"/>
          </w:tcPr>
          <w:p>
            <w:pPr>
              <w:spacing w:after="0"/>
              <w:rPr>
                <w:sz w:val="13"/>
                <w:szCs w:val="13"/>
                <w:color w:val="auto"/>
              </w:rPr>
            </w:pPr>
          </w:p>
        </w:tc>
        <w:tc>
          <w:tcPr>
            <w:tcW w:w="1020" w:type="dxa"/>
            <w:vAlign w:val="bottom"/>
          </w:tcPr>
          <w:p>
            <w:pPr>
              <w:jc w:val="right"/>
              <w:ind w:right="573"/>
              <w:spacing w:after="0" w:line="159" w:lineRule="exact"/>
              <w:rPr>
                <w:sz w:val="20"/>
                <w:szCs w:val="20"/>
                <w:color w:val="auto"/>
              </w:rPr>
            </w:pPr>
            <w:r>
              <w:rPr>
                <w:rFonts w:ascii="Arial" w:cs="Arial" w:eastAsia="Arial" w:hAnsi="Arial"/>
                <w:sz w:val="14"/>
                <w:szCs w:val="14"/>
                <w:color w:val="auto"/>
              </w:rPr>
              <w:t>2013</w:t>
            </w:r>
          </w:p>
        </w:tc>
        <w:tc>
          <w:tcPr>
            <w:tcW w:w="52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E5E5E5"/>
          </w:tcPr>
          <w:p>
            <w:pPr>
              <w:ind w:left="17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870</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5,921</w:t>
            </w: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4,015</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4,028</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925</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844</w:t>
            </w: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643</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607</w:t>
            </w:r>
          </w:p>
        </w:tc>
      </w:tr>
      <w:tr>
        <w:trPr>
          <w:trHeight w:val="210"/>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6,453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11,400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4,585</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5,041</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Note receivable from Comcast</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981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Investments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926</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1,266</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 of accumulated depreciation of $1,502 and $1,083</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7,449</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5,381</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14,863</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14,770</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 of accumulated amortization of $3,818 and $3,238</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14,954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15,420</w:t>
            </w: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1,051</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1,184</w:t>
            </w:r>
          </w:p>
        </w:tc>
      </w:tr>
      <w:tr>
        <w:trPr>
          <w:trHeight w:val="217"/>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Borders>
              <w:bottom w:val="single" w:sz="8" w:color="auto"/>
            </w:tcBorders>
            <w:shd w:val="clear" w:color="auto" w:fill="E5E5E5"/>
          </w:tcPr>
          <w:p>
            <w:pPr>
              <w:ind w:left="17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b w:val="1"/>
                <w:bCs w:val="1"/>
                <w:color w:val="auto"/>
              </w:rPr>
              <w:t>51,262</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54,462</w:t>
            </w:r>
          </w:p>
        </w:tc>
      </w:tr>
      <w:tr>
        <w:trPr>
          <w:trHeight w:val="309"/>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880" w:type="dxa"/>
            <w:vAlign w:val="bottom"/>
          </w:tcPr>
          <w:p>
            <w:pPr>
              <w:ind w:left="17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2,104</w:t>
            </w:r>
          </w:p>
        </w:tc>
        <w:tc>
          <w:tcPr>
            <w:tcW w:w="52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2,348</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1,372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1,350</w:t>
            </w: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Program obligations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561</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Deferred revenue</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904</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1,396</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1,288</w:t>
            </w: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8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rPr>
              <w:t>907</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w:t>
            </w: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7,286</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6,238</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10,249</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11,231</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880" w:type="dxa"/>
            <w:vAlign w:val="bottom"/>
          </w:tcPr>
          <w:p>
            <w:pPr>
              <w:spacing w:after="0"/>
              <w:rPr>
                <w:sz w:val="18"/>
                <w:szCs w:val="18"/>
                <w:color w:val="auto"/>
              </w:rPr>
            </w:pPr>
          </w:p>
        </w:tc>
        <w:tc>
          <w:tcPr>
            <w:tcW w:w="1020" w:type="dxa"/>
            <w:vAlign w:val="bottom"/>
          </w:tcPr>
          <w:p>
            <w:pPr>
              <w:jc w:val="right"/>
              <w:ind w:right="313"/>
              <w:spacing w:after="0"/>
              <w:rPr>
                <w:sz w:val="20"/>
                <w:szCs w:val="20"/>
                <w:color w:val="auto"/>
              </w:rPr>
            </w:pPr>
            <w:r>
              <w:rPr>
                <w:rFonts w:ascii="Arial" w:cs="Arial" w:eastAsia="Arial" w:hAnsi="Arial"/>
                <w:sz w:val="18"/>
                <w:szCs w:val="18"/>
                <w:color w:val="auto"/>
              </w:rPr>
              <w:t>1,122</w:t>
            </w:r>
          </w:p>
        </w:tc>
        <w:tc>
          <w:tcPr>
            <w:tcW w:w="5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3,409</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3,746</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127</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w:t>
            </w:r>
          </w:p>
        </w:tc>
        <w:tc>
          <w:tcPr>
            <w:tcW w:w="1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28,785</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31,900</w:t>
            </w: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(103)</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10"/>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8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28,682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31,835</w:t>
            </w: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8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387</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419</w:t>
            </w:r>
          </w:p>
        </w:tc>
      </w:tr>
      <w:tr>
        <w:trPr>
          <w:trHeight w:val="210"/>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8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13"/>
              <w:spacing w:after="0"/>
              <w:rPr>
                <w:sz w:val="20"/>
                <w:szCs w:val="20"/>
                <w:color w:val="auto"/>
              </w:rPr>
            </w:pPr>
            <w:r>
              <w:rPr>
                <w:rFonts w:ascii="Arial" w:cs="Arial" w:eastAsia="Arial" w:hAnsi="Arial"/>
                <w:sz w:val="18"/>
                <w:szCs w:val="18"/>
                <w:color w:val="auto"/>
              </w:rPr>
              <w:t>29,069</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32,254</w:t>
            </w:r>
          </w:p>
        </w:tc>
      </w:tr>
      <w:tr>
        <w:trPr>
          <w:trHeight w:val="217"/>
        </w:trPr>
        <w:tc>
          <w:tcPr>
            <w:tcW w:w="2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8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b w:val="1"/>
                <w:bCs w:val="1"/>
                <w:color w:val="auto"/>
              </w:rPr>
              <w:t>51,262</w:t>
            </w: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54,462</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gridSpan w:val="2"/>
          </w:tcPr>
          <w:p>
            <w:pPr>
              <w:jc w:val="right"/>
              <w:ind w:right="433"/>
              <w:spacing w:after="0"/>
              <w:rPr>
                <w:sz w:val="20"/>
                <w:szCs w:val="20"/>
                <w:color w:val="auto"/>
              </w:rPr>
            </w:pPr>
            <w:r>
              <w:rPr>
                <w:rFonts w:ascii="Arial" w:cs="Arial" w:eastAsia="Arial" w:hAnsi="Arial"/>
                <w:sz w:val="14"/>
                <w:szCs w:val="14"/>
                <w:color w:val="auto"/>
                <w:w w:val="94"/>
              </w:rPr>
              <w:t>Three Months Ended</w:t>
            </w:r>
          </w:p>
        </w:tc>
        <w:tc>
          <w:tcPr>
            <w:tcW w:w="340" w:type="dxa"/>
            <w:vAlign w:val="bottom"/>
          </w:tcPr>
          <w:p>
            <w:pPr>
              <w:spacing w:after="0"/>
              <w:rPr>
                <w:sz w:val="14"/>
                <w:szCs w:val="14"/>
                <w:color w:val="auto"/>
              </w:rPr>
            </w:pPr>
          </w:p>
        </w:tc>
        <w:tc>
          <w:tcPr>
            <w:tcW w:w="1700" w:type="dxa"/>
            <w:vAlign w:val="bottom"/>
            <w:gridSpan w:val="3"/>
          </w:tcPr>
          <w:p>
            <w:pPr>
              <w:jc w:val="right"/>
              <w:ind w:right="31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jc w:val="right"/>
              <w:ind w:right="335"/>
              <w:spacing w:after="0" w:line="142" w:lineRule="exact"/>
              <w:rPr>
                <w:sz w:val="20"/>
                <w:szCs w:val="20"/>
                <w:color w:val="auto"/>
              </w:rPr>
            </w:pPr>
            <w:r>
              <w:rPr>
                <w:rFonts w:ascii="Arial" w:cs="Arial" w:eastAsia="Arial" w:hAnsi="Arial"/>
                <w:sz w:val="14"/>
                <w:szCs w:val="14"/>
                <w:color w:val="auto"/>
                <w:w w:val="89"/>
              </w:rPr>
              <w:t>2013</w:t>
            </w:r>
          </w:p>
        </w:tc>
        <w:tc>
          <w:tcPr>
            <w:tcW w:w="1060" w:type="dxa"/>
            <w:vAlign w:val="bottom"/>
          </w:tcPr>
          <w:p>
            <w:pPr>
              <w:jc w:val="right"/>
              <w:ind w:right="333"/>
              <w:spacing w:after="0" w:line="142" w:lineRule="exact"/>
              <w:rPr>
                <w:sz w:val="20"/>
                <w:szCs w:val="20"/>
                <w:color w:val="auto"/>
              </w:rPr>
            </w:pPr>
            <w:r>
              <w:rPr>
                <w:rFonts w:ascii="Arial" w:cs="Arial" w:eastAsia="Arial" w:hAnsi="Arial"/>
                <w:sz w:val="14"/>
                <w:szCs w:val="14"/>
                <w:color w:val="auto"/>
              </w:rPr>
              <w:t>2012</w:t>
            </w:r>
          </w:p>
        </w:tc>
        <w:tc>
          <w:tcPr>
            <w:tcW w:w="340" w:type="dxa"/>
            <w:vAlign w:val="bottom"/>
          </w:tcPr>
          <w:p>
            <w:pPr>
              <w:spacing w:after="0"/>
              <w:rPr>
                <w:sz w:val="12"/>
                <w:szCs w:val="12"/>
                <w:color w:val="auto"/>
              </w:rPr>
            </w:pPr>
          </w:p>
        </w:tc>
        <w:tc>
          <w:tcPr>
            <w:tcW w:w="780" w:type="dxa"/>
            <w:vAlign w:val="bottom"/>
          </w:tcPr>
          <w:p>
            <w:pPr>
              <w:jc w:val="right"/>
              <w:ind w:right="375"/>
              <w:spacing w:after="0" w:line="142" w:lineRule="exact"/>
              <w:rPr>
                <w:sz w:val="20"/>
                <w:szCs w:val="20"/>
                <w:color w:val="auto"/>
              </w:rPr>
            </w:pPr>
            <w:r>
              <w:rPr>
                <w:rFonts w:ascii="Arial" w:cs="Arial" w:eastAsia="Arial" w:hAnsi="Arial"/>
                <w:sz w:val="14"/>
                <w:szCs w:val="14"/>
                <w:color w:val="auto"/>
                <w:w w:val="96"/>
              </w:rPr>
              <w:t>2013</w:t>
            </w:r>
          </w:p>
        </w:tc>
        <w:tc>
          <w:tcPr>
            <w:tcW w:w="3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w w:val="93"/>
              </w:rPr>
              <w:t>5,851</w:t>
            </w:r>
          </w:p>
        </w:tc>
        <w:tc>
          <w:tcPr>
            <w:tcW w:w="106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$ 6,822</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w w:val="83"/>
              </w:rPr>
              <w:t>17,186</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w w:val="93"/>
              </w:rPr>
              <w:t>2,803</w:t>
            </w:r>
          </w:p>
        </w:tc>
        <w:tc>
          <w:tcPr>
            <w:tcW w:w="10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3,922</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8,496</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w w:val="93"/>
              </w:rPr>
              <w:t>1,251</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1,244</w:t>
            </w:r>
          </w:p>
        </w:tc>
        <w:tc>
          <w:tcPr>
            <w:tcW w:w="3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3,623</w:t>
            </w:r>
          </w:p>
        </w:tc>
        <w:tc>
          <w:tcPr>
            <w:tcW w:w="3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547</w:t>
            </w:r>
          </w:p>
        </w:tc>
        <w:tc>
          <w:tcPr>
            <w:tcW w:w="10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516</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1,673</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rPr>
              <w:t>160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192</w:t>
            </w:r>
          </w:p>
        </w:tc>
        <w:tc>
          <w:tcPr>
            <w:tcW w:w="10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196</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578</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93"/>
              </w:rPr>
              <w:t>4,953</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6,019</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w w:val="83"/>
              </w:rPr>
              <w:t>14,837</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15,832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898</w:t>
            </w:r>
          </w:p>
        </w:tc>
        <w:tc>
          <w:tcPr>
            <w:tcW w:w="10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803</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2,349</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(129)</w:t>
            </w:r>
          </w:p>
        </w:tc>
        <w:tc>
          <w:tcPr>
            <w:tcW w:w="10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rPr>
              <w:t>9</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(132)</w:t>
            </w:r>
          </w:p>
        </w:tc>
        <w:tc>
          <w:tcPr>
            <w:tcW w:w="10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37</w:t>
            </w:r>
          </w:p>
        </w:tc>
        <w:tc>
          <w:tcPr>
            <w:tcW w:w="3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(306)</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1,061</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(398)</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(558)</w:t>
            </w:r>
          </w:p>
        </w:tc>
        <w:tc>
          <w:tcPr>
            <w:tcW w:w="10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990</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(868)</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rPr>
              <w:t>340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1,793</w:t>
            </w:r>
          </w:p>
        </w:tc>
        <w:tc>
          <w:tcPr>
            <w:tcW w:w="3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1,481</w:t>
            </w:r>
          </w:p>
        </w:tc>
        <w:tc>
          <w:tcPr>
            <w:tcW w:w="3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(62)</w:t>
            </w:r>
          </w:p>
        </w:tc>
        <w:tc>
          <w:tcPr>
            <w:tcW w:w="10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(162)</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rPr>
                <w:sz w:val="18"/>
                <w:szCs w:val="18"/>
                <w:color w:val="auto"/>
              </w:rPr>
            </w:pPr>
          </w:p>
        </w:tc>
        <w:tc>
          <w:tcPr>
            <w:tcW w:w="720" w:type="dxa"/>
            <w:vAlign w:val="bottom"/>
          </w:tcPr>
          <w:p>
            <w:pPr>
              <w:jc w:val="right"/>
              <w:ind w:right="195"/>
              <w:spacing w:after="0"/>
              <w:rPr>
                <w:sz w:val="20"/>
                <w:szCs w:val="20"/>
                <w:color w:val="auto"/>
              </w:rPr>
            </w:pPr>
            <w:r>
              <w:rPr>
                <w:rFonts w:ascii="Arial" w:cs="Arial" w:eastAsia="Arial" w:hAnsi="Arial"/>
                <w:sz w:val="18"/>
                <w:szCs w:val="18"/>
                <w:color w:val="auto"/>
              </w:rPr>
              <w:t>278</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8"/>
                <w:szCs w:val="18"/>
                <w:color w:val="auto"/>
              </w:rPr>
              <w:t>1,319</w:t>
            </w:r>
          </w:p>
        </w:tc>
        <w:tc>
          <w:tcPr>
            <w:tcW w:w="3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(105)</w:t>
            </w:r>
          </w:p>
        </w:tc>
        <w:tc>
          <w:tcPr>
            <w:tcW w:w="3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236</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$ 1,672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1,214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2,570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right"/>
              <w:ind w:right="415"/>
              <w:spacing w:after="0"/>
              <w:rPr>
                <w:sz w:val="20"/>
                <w:szCs w:val="20"/>
                <w:color w:val="auto"/>
              </w:rPr>
            </w:pPr>
            <w:r>
              <w:rPr>
                <w:rFonts w:ascii="Arial" w:cs="Arial" w:eastAsia="Arial" w:hAnsi="Arial"/>
                <w:sz w:val="14"/>
                <w:szCs w:val="14"/>
                <w:color w:val="auto"/>
                <w:w w:val="93"/>
              </w:rPr>
              <w:t>Three Months Ended</w:t>
            </w:r>
          </w:p>
        </w:tc>
        <w:tc>
          <w:tcPr>
            <w:tcW w:w="1840" w:type="dxa"/>
            <w:vAlign w:val="bottom"/>
            <w:gridSpan w:val="2"/>
          </w:tcPr>
          <w:p>
            <w:pPr>
              <w:jc w:val="right"/>
              <w:ind w:right="23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73"/>
        </w:trPr>
        <w:tc>
          <w:tcPr>
            <w:tcW w:w="7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4"/>
                <w:szCs w:val="14"/>
                <w:color w:val="auto"/>
              </w:rPr>
              <w:t>September 30</w:t>
            </w:r>
          </w:p>
        </w:tc>
        <w:tc>
          <w:tcPr>
            <w:tcW w:w="184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color w:val="auto"/>
                <w:w w:val="89"/>
              </w:rPr>
              <w:t>2013</w:t>
            </w:r>
          </w:p>
        </w:tc>
        <w:tc>
          <w:tcPr>
            <w:tcW w:w="10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color w:val="auto"/>
              </w:rPr>
              <w:t>2013</w:t>
            </w:r>
          </w:p>
        </w:tc>
        <w:tc>
          <w:tcPr>
            <w:tcW w:w="8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278</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$1,721</w:t>
            </w:r>
          </w:p>
        </w:tc>
        <w:tc>
          <w:tcPr>
            <w:tcW w:w="10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$1,319</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520" w:type="dxa"/>
            <w:vAlign w:val="bottom"/>
          </w:tcPr>
          <w:p>
            <w:pPr>
              <w:spacing w:after="0"/>
              <w:rPr>
                <w:sz w:val="18"/>
                <w:szCs w:val="18"/>
                <w:color w:val="auto"/>
              </w:rPr>
            </w:pPr>
          </w:p>
        </w:tc>
        <w:tc>
          <w:tcPr>
            <w:tcW w:w="72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5"/>
              <w:spacing w:after="0"/>
              <w:rPr>
                <w:sz w:val="20"/>
                <w:szCs w:val="20"/>
                <w:color w:val="auto"/>
              </w:rPr>
            </w:pPr>
            <w:r>
              <w:rPr>
                <w:rFonts w:ascii="Arial" w:cs="Arial" w:eastAsia="Arial" w:hAnsi="Arial"/>
                <w:sz w:val="18"/>
                <w:szCs w:val="18"/>
                <w:color w:val="auto"/>
              </w:rPr>
              <w:t>15</w:t>
            </w:r>
          </w:p>
        </w:tc>
        <w:tc>
          <w:tcPr>
            <w:tcW w:w="1000" w:type="dxa"/>
            <w:vAlign w:val="bottom"/>
          </w:tcPr>
          <w:p>
            <w:pPr>
              <w:jc w:val="right"/>
              <w:ind w:right="138"/>
              <w:spacing w:after="0"/>
              <w:rPr>
                <w:sz w:val="20"/>
                <w:szCs w:val="20"/>
                <w:color w:val="auto"/>
              </w:rPr>
            </w:pPr>
            <w:r>
              <w:rPr>
                <w:rFonts w:ascii="Arial" w:cs="Arial" w:eastAsia="Arial" w:hAnsi="Arial"/>
                <w:sz w:val="18"/>
                <w:szCs w:val="18"/>
                <w:color w:val="auto"/>
              </w:rPr>
              <w:t>(1)</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20</w:t>
            </w:r>
          </w:p>
        </w:tc>
        <w:tc>
          <w:tcPr>
            <w:tcW w:w="100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(32)</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(5)</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(5)</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286</w:t>
            </w:r>
          </w:p>
        </w:tc>
        <w:tc>
          <w:tcPr>
            <w:tcW w:w="10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1,755</w:t>
            </w:r>
          </w:p>
        </w:tc>
        <w:tc>
          <w:tcPr>
            <w:tcW w:w="100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rPr>
              <w:t>1,281</w:t>
            </w:r>
          </w:p>
        </w:tc>
        <w:tc>
          <w:tcPr>
            <w:tcW w:w="8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(42)</w:t>
            </w: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(49)</w:t>
            </w:r>
          </w:p>
        </w:tc>
        <w:tc>
          <w:tcPr>
            <w:tcW w:w="10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7"/>
        </w:trPr>
        <w:tc>
          <w:tcPr>
            <w:tcW w:w="7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b w:val="1"/>
                <w:bCs w:val="1"/>
                <w:color w:val="auto"/>
              </w:rPr>
              <w:t>244</w:t>
            </w:r>
          </w:p>
        </w:tc>
        <w:tc>
          <w:tcPr>
            <w:tcW w:w="10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$1,706</w:t>
            </w:r>
          </w:p>
        </w:tc>
        <w:tc>
          <w:tcPr>
            <w:tcW w:w="100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b w:val="1"/>
                <w:bCs w:val="1"/>
                <w:color w:val="auto"/>
              </w:rPr>
              <w:t>$1,176</w:t>
            </w:r>
          </w:p>
        </w:tc>
        <w:tc>
          <w:tcPr>
            <w:tcW w:w="8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$2,587</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right"/>
              <w:ind w:right="29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ind w:right="355"/>
              <w:spacing w:after="0" w:line="142" w:lineRule="exact"/>
              <w:rPr>
                <w:sz w:val="20"/>
                <w:szCs w:val="20"/>
                <w:color w:val="auto"/>
              </w:rPr>
            </w:pPr>
            <w:r>
              <w:rPr>
                <w:rFonts w:ascii="Arial" w:cs="Arial" w:eastAsia="Arial" w:hAnsi="Arial"/>
                <w:sz w:val="14"/>
                <w:szCs w:val="14"/>
                <w:color w:val="auto"/>
                <w:w w:val="96"/>
              </w:rPr>
              <w:t>2013</w:t>
            </w:r>
          </w:p>
        </w:tc>
        <w:tc>
          <w:tcPr>
            <w:tcW w:w="900" w:type="dxa"/>
            <w:vAlign w:val="bottom"/>
          </w:tcPr>
          <w:p>
            <w:pPr>
              <w:jc w:val="right"/>
              <w:ind w:right="153"/>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w w:val="97"/>
              </w:rPr>
              <w:t>3,734</w:t>
            </w:r>
          </w:p>
        </w:tc>
        <w:tc>
          <w:tcPr>
            <w:tcW w:w="90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$ 2,529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(807)</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(86)</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of real estate properties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w w:val="87"/>
              </w:rPr>
              <w:t>(1,705)</w:t>
            </w:r>
          </w:p>
        </w:tc>
        <w:tc>
          <w:tcPr>
            <w:tcW w:w="9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(42)</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Note receivable issued from Comcast</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(981)</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Return of capital from investees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131</w:t>
            </w:r>
          </w:p>
        </w:tc>
        <w:tc>
          <w:tcPr>
            <w:tcW w:w="9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(235)</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(20)</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w w:val="87"/>
              </w:rPr>
              <w:t>(3,745)</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520" w:type="dxa"/>
            <w:vAlign w:val="bottom"/>
          </w:tcPr>
          <w:p>
            <w:pPr>
              <w:spacing w:after="0"/>
              <w:rPr>
                <w:sz w:val="18"/>
                <w:szCs w:val="18"/>
                <w:color w:val="auto"/>
              </w:rPr>
            </w:pPr>
          </w:p>
        </w:tc>
        <w:tc>
          <w:tcPr>
            <w:tcW w:w="76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(91)</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Redemption Transaction distribution</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w w:val="87"/>
              </w:rPr>
              <w:t>(3,200)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member</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(938)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(144)</w:t>
            </w: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Settlement of Station Venture liability</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(602)</w:t>
            </w:r>
          </w:p>
        </w:tc>
        <w:tc>
          <w:tcPr>
            <w:tcW w:w="9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(65)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w w:val="87"/>
              </w:rPr>
              <w:t>(5,040)</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18"/>
                <w:szCs w:val="18"/>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w w:val="87"/>
              </w:rPr>
              <w:t>(5,051)</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w w:val="97"/>
              </w:rPr>
              <w:t>5,921</w:t>
            </w:r>
          </w:p>
        </w:tc>
        <w:tc>
          <w:tcPr>
            <w:tcW w:w="9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870</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$ 4,214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60" w:type="dxa"/>
            <w:vAlign w:val="bottom"/>
            <w:tcBorders>
              <w:right w:val="single" w:sz="8" w:color="auto"/>
            </w:tcBorders>
            <w:gridSpan w:val="2"/>
          </w:tcPr>
          <w:p>
            <w:pPr>
              <w:jc w:val="right"/>
              <w:ind w:right="674"/>
              <w:spacing w:after="0" w:line="149" w:lineRule="exact"/>
              <w:rPr>
                <w:sz w:val="20"/>
                <w:szCs w:val="20"/>
                <w:color w:val="auto"/>
              </w:rPr>
            </w:pPr>
            <w:r>
              <w:rPr>
                <w:rFonts w:ascii="Arial" w:cs="Arial" w:eastAsia="Arial" w:hAnsi="Arial"/>
                <w:sz w:val="14"/>
                <w:szCs w:val="14"/>
                <w:color w:val="auto"/>
              </w:rPr>
              <w:t>Redeemable</w:t>
            </w:r>
          </w:p>
        </w:tc>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center"/>
              <w:ind w:right="415"/>
              <w:spacing w:after="0" w:line="149" w:lineRule="exact"/>
              <w:rPr>
                <w:sz w:val="20"/>
                <w:szCs w:val="20"/>
                <w:color w:val="auto"/>
              </w:rPr>
            </w:pPr>
            <w:r>
              <w:rPr>
                <w:rFonts w:ascii="Arial" w:cs="Arial" w:eastAsia="Arial" w:hAnsi="Arial"/>
                <w:sz w:val="14"/>
                <w:szCs w:val="14"/>
                <w:color w:val="auto"/>
                <w:w w:val="91"/>
              </w:rPr>
              <w:t>Other</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6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Noncontrolling</w:t>
            </w:r>
          </w:p>
        </w:tc>
        <w:tc>
          <w:tcPr>
            <w:tcW w:w="132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Member’s</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Comprehensive</w:t>
            </w:r>
          </w:p>
        </w:tc>
        <w:tc>
          <w:tcPr>
            <w:tcW w:w="1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Total</w:t>
            </w:r>
          </w:p>
        </w:tc>
      </w:tr>
      <w:tr>
        <w:trPr>
          <w:trHeight w:val="159"/>
        </w:trPr>
        <w:tc>
          <w:tcPr>
            <w:tcW w:w="46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3"/>
                <w:szCs w:val="13"/>
                <w:color w:val="auto"/>
              </w:rPr>
            </w:pPr>
          </w:p>
        </w:tc>
        <w:tc>
          <w:tcPr>
            <w:tcW w:w="1360" w:type="dxa"/>
            <w:vAlign w:val="bottom"/>
            <w:tcBorders>
              <w:right w:val="single" w:sz="8" w:color="auto"/>
            </w:tcBorders>
          </w:tcPr>
          <w:p>
            <w:pPr>
              <w:jc w:val="right"/>
              <w:ind w:right="774"/>
              <w:spacing w:after="0" w:line="159" w:lineRule="exact"/>
              <w:rPr>
                <w:sz w:val="20"/>
                <w:szCs w:val="20"/>
                <w:color w:val="auto"/>
              </w:rPr>
            </w:pPr>
            <w:r>
              <w:rPr>
                <w:rFonts w:ascii="Arial" w:cs="Arial" w:eastAsia="Arial" w:hAnsi="Arial"/>
                <w:sz w:val="14"/>
                <w:szCs w:val="14"/>
                <w:color w:val="auto"/>
                <w:w w:val="89"/>
              </w:rPr>
              <w:t>Interests</w:t>
            </w:r>
          </w:p>
        </w:tc>
        <w:tc>
          <w:tcPr>
            <w:tcW w:w="1320" w:type="dxa"/>
            <w:vAlign w:val="bottom"/>
          </w:tcPr>
          <w:p>
            <w:pPr>
              <w:jc w:val="right"/>
              <w:ind w:right="315"/>
              <w:spacing w:after="0" w:line="159" w:lineRule="exact"/>
              <w:rPr>
                <w:sz w:val="20"/>
                <w:szCs w:val="20"/>
                <w:color w:val="auto"/>
              </w:rPr>
            </w:pPr>
            <w:r>
              <w:rPr>
                <w:rFonts w:ascii="Arial" w:cs="Arial" w:eastAsia="Arial" w:hAnsi="Arial"/>
                <w:sz w:val="14"/>
                <w:szCs w:val="14"/>
                <w:color w:val="auto"/>
              </w:rPr>
              <w:t>Capital</w:t>
            </w:r>
          </w:p>
        </w:tc>
        <w:tc>
          <w:tcPr>
            <w:tcW w:w="14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80" w:type="dxa"/>
            <w:vAlign w:val="bottom"/>
          </w:tcPr>
          <w:p>
            <w:pPr>
              <w:spacing w:after="0"/>
              <w:rPr>
                <w:sz w:val="13"/>
                <w:szCs w:val="13"/>
                <w:color w:val="auto"/>
              </w:rPr>
            </w:pPr>
          </w:p>
        </w:tc>
        <w:tc>
          <w:tcPr>
            <w:tcW w:w="1000" w:type="dxa"/>
            <w:vAlign w:val="bottom"/>
          </w:tcPr>
          <w:p>
            <w:pPr>
              <w:jc w:val="right"/>
              <w:ind w:right="414"/>
              <w:spacing w:after="0" w:line="159" w:lineRule="exact"/>
              <w:rPr>
                <w:sz w:val="20"/>
                <w:szCs w:val="20"/>
                <w:color w:val="auto"/>
              </w:rPr>
            </w:pPr>
            <w:r>
              <w:rPr>
                <w:rFonts w:ascii="Arial" w:cs="Arial" w:eastAsia="Arial" w:hAnsi="Arial"/>
                <w:sz w:val="14"/>
                <w:szCs w:val="14"/>
                <w:color w:val="auto"/>
                <w:w w:val="89"/>
              </w:rPr>
              <w:t>Interests</w:t>
            </w:r>
          </w:p>
        </w:tc>
        <w:tc>
          <w:tcPr>
            <w:tcW w:w="940" w:type="dxa"/>
            <w:vAlign w:val="bottom"/>
          </w:tcPr>
          <w:p>
            <w:pPr>
              <w:jc w:val="right"/>
              <w:ind w:right="134"/>
              <w:spacing w:after="0" w:line="159" w:lineRule="exact"/>
              <w:rPr>
                <w:sz w:val="20"/>
                <w:szCs w:val="20"/>
                <w:color w:val="auto"/>
              </w:rPr>
            </w:pPr>
            <w:r>
              <w:rPr>
                <w:rFonts w:ascii="Arial" w:cs="Arial" w:eastAsia="Arial" w:hAnsi="Arial"/>
                <w:sz w:val="14"/>
                <w:szCs w:val="14"/>
                <w:color w:val="auto"/>
              </w:rPr>
              <w:t>Equity</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184</w:t>
            </w:r>
          </w:p>
        </w:tc>
        <w:tc>
          <w:tcPr>
            <w:tcW w:w="1320" w:type="dxa"/>
            <w:vAlign w:val="bottom"/>
            <w:tcBorders>
              <w:top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$29,798</w:t>
            </w:r>
          </w:p>
        </w:tc>
        <w:tc>
          <w:tcPr>
            <w:tcW w:w="44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(78)</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361</w:t>
            </w:r>
          </w:p>
        </w:tc>
        <w:tc>
          <w:tcPr>
            <w:tcW w:w="94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$30,081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Compensation plans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(693)</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(693)</w:t>
            </w: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(15)</w:t>
            </w: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(134)</w:t>
            </w: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w w:val="94"/>
              </w:rPr>
              <w:t>Purchases of subsidiary shares from noncontrolling interests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(47)</w:t>
            </w:r>
          </w:p>
        </w:tc>
        <w:tc>
          <w:tcPr>
            <w:tcW w:w="1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84</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17</w:t>
            </w: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color w:val="auto"/>
              </w:rPr>
              <w:t>11</w:t>
            </w: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2,570</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106</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2,676</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2012</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b w:val="1"/>
                <w:bCs w:val="1"/>
                <w:color w:val="auto"/>
              </w:rPr>
              <w:t>133</w:t>
            </w:r>
          </w:p>
        </w:tc>
        <w:tc>
          <w:tcPr>
            <w:tcW w:w="13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b w:val="1"/>
                <w:bCs w:val="1"/>
                <w:color w:val="auto"/>
              </w:rPr>
              <w:t>$31,685</w:t>
            </w:r>
          </w:p>
        </w:tc>
        <w:tc>
          <w:tcPr>
            <w:tcW w:w="4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(61)</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417</w:t>
            </w:r>
          </w:p>
        </w:tc>
        <w:tc>
          <w:tcPr>
            <w:tcW w:w="9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$32,041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January 1, 2013</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right"/>
              <w:ind w:right="574"/>
              <w:spacing w:after="0"/>
              <w:rPr>
                <w:sz w:val="20"/>
                <w:szCs w:val="20"/>
                <w:color w:val="auto"/>
              </w:rPr>
            </w:pPr>
            <w:r>
              <w:rPr>
                <w:rFonts w:ascii="Arial" w:cs="Arial" w:eastAsia="Arial" w:hAnsi="Arial"/>
                <w:sz w:val="18"/>
                <w:szCs w:val="18"/>
                <w:color w:val="auto"/>
              </w:rPr>
              <w:t>131</w:t>
            </w:r>
          </w:p>
        </w:tc>
        <w:tc>
          <w:tcPr>
            <w:tcW w:w="1320" w:type="dxa"/>
            <w:vAlign w:val="bottom"/>
          </w:tcPr>
          <w:p>
            <w:pPr>
              <w:jc w:val="right"/>
              <w:ind w:right="215"/>
              <w:spacing w:after="0"/>
              <w:rPr>
                <w:sz w:val="20"/>
                <w:szCs w:val="20"/>
                <w:color w:val="auto"/>
              </w:rPr>
            </w:pPr>
            <w:r>
              <w:rPr>
                <w:rFonts w:ascii="Arial" w:cs="Arial" w:eastAsia="Arial" w:hAnsi="Arial"/>
                <w:sz w:val="18"/>
                <w:szCs w:val="18"/>
                <w:color w:val="auto"/>
              </w:rPr>
              <w:t>$31,900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(65)</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419</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$32,254</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Compensation plans</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7</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Redemption Transaction distribution</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jc w:val="right"/>
              <w:ind w:right="155"/>
              <w:spacing w:after="0"/>
              <w:rPr>
                <w:sz w:val="20"/>
                <w:szCs w:val="20"/>
                <w:color w:val="auto"/>
              </w:rPr>
            </w:pPr>
            <w:r>
              <w:rPr>
                <w:rFonts w:ascii="Arial" w:cs="Arial" w:eastAsia="Arial" w:hAnsi="Arial"/>
                <w:sz w:val="18"/>
                <w:szCs w:val="18"/>
                <w:color w:val="auto"/>
              </w:rPr>
              <w:t>(3,200)</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(938)</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(938)</w:t>
            </w: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Contributions from (distributions to) noncontrolling interests,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1360" w:type="dxa"/>
            <w:vAlign w:val="bottom"/>
            <w:tcBorders>
              <w:right w:val="single" w:sz="8" w:color="auto"/>
            </w:tcBorders>
          </w:tcPr>
          <w:p>
            <w:pPr>
              <w:jc w:val="right"/>
              <w:ind w:right="514"/>
              <w:spacing w:after="0"/>
              <w:rPr>
                <w:sz w:val="20"/>
                <w:szCs w:val="20"/>
                <w:color w:val="auto"/>
              </w:rPr>
            </w:pPr>
            <w:r>
              <w:rPr>
                <w:rFonts w:ascii="Arial" w:cs="Arial" w:eastAsia="Arial" w:hAnsi="Arial"/>
                <w:sz w:val="18"/>
                <w:szCs w:val="18"/>
                <w:color w:val="auto"/>
              </w:rPr>
              <w:t>(14)</w:t>
            </w: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(125)</w:t>
            </w: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5E5E5"/>
          </w:tcPr>
          <w:p>
            <w:pPr>
              <w:spacing w:after="0"/>
              <w:rPr>
                <w:sz w:val="18"/>
                <w:szCs w:val="18"/>
                <w:color w:val="auto"/>
              </w:rPr>
            </w:pPr>
          </w:p>
        </w:tc>
        <w:tc>
          <w:tcPr>
            <w:tcW w:w="1360" w:type="dxa"/>
            <w:vAlign w:val="bottom"/>
            <w:tcBorders>
              <w:right w:val="single" w:sz="8" w:color="auto"/>
            </w:tcBorders>
            <w:shd w:val="clear" w:color="auto" w:fill="E5E5E5"/>
          </w:tcPr>
          <w:p>
            <w:pPr>
              <w:spacing w:after="0"/>
              <w:rPr>
                <w:sz w:val="18"/>
                <w:szCs w:val="18"/>
                <w:color w:val="auto"/>
              </w:rPr>
            </w:pPr>
          </w:p>
        </w:tc>
        <w:tc>
          <w:tcPr>
            <w:tcW w:w="13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(198)</w:t>
            </w:r>
          </w:p>
        </w:tc>
        <w:tc>
          <w:tcPr>
            <w:tcW w:w="4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right w:val="single" w:sz="8" w:color="auto"/>
            </w:tcBorders>
            <w:shd w:val="clear" w:color="auto" w:fill="E5E5E5"/>
          </w:tcPr>
          <w:p>
            <w:pPr>
              <w:jc w:val="right"/>
              <w:ind w:right="574"/>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shd w:val="clear" w:color="auto" w:fill="E5E5E5"/>
          </w:tcPr>
          <w:p>
            <w:pPr>
              <w:jc w:val="right"/>
              <w:ind w:right="215"/>
              <w:spacing w:after="0"/>
              <w:rPr>
                <w:sz w:val="20"/>
                <w:szCs w:val="20"/>
                <w:color w:val="auto"/>
              </w:rPr>
            </w:pPr>
            <w:r>
              <w:rPr>
                <w:rFonts w:ascii="Arial" w:cs="Arial" w:eastAsia="Arial" w:hAnsi="Arial"/>
                <w:sz w:val="18"/>
                <w:szCs w:val="18"/>
                <w:color w:val="auto"/>
              </w:rPr>
              <w:t>1,214</w:t>
            </w:r>
          </w:p>
        </w:tc>
        <w:tc>
          <w:tcPr>
            <w:tcW w:w="44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95</w:t>
            </w:r>
          </w:p>
        </w:tc>
        <w:tc>
          <w:tcPr>
            <w:tcW w:w="9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1,309</w:t>
            </w:r>
          </w:p>
        </w:tc>
      </w:tr>
      <w:tr>
        <w:trPr>
          <w:trHeight w:val="217"/>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2013</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8"/>
                <w:szCs w:val="18"/>
                <w:b w:val="1"/>
                <w:bCs w:val="1"/>
                <w:color w:val="auto"/>
              </w:rPr>
              <w:t>127</w:t>
            </w: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$28,785</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(103)</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387</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$29,069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2012 Annual Report on Form 10-K.</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Reclassifications have been made to our condensed consolidated financial statements for the prior year periods to conform to classifications used in the current year periods.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Transaction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19, 2013, Comcast acquired GE’s remaining 49% common equity interest in NBCUniversal Holdings for approximately $16.7 billion (the “Redemption Transaction”). In addition to this transaction, we purchased from GE certain properties we occupy at 30 Rockefeller Plaza in New York City and CNBC’s headquarters in Englewood Cliffs, New Jersey for approximately $1.4 billion.</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consideration for these transactions consisted of $11.4 billion of cash on hand (of which we funded $4.6 billion); $4 billion of senior debt securities issued by NBCUniversal Enterprise, Inc. (“NBCUniversal Enterprise”), a holding company whose principal assets are its interests in NBCUniversal Holdings; $750 million of cash funded through Comcast’s commercial paper program; $1.25 billion of borrowings under NBCUniversal Enterprise’s credit facility, which replaced our credit facility; and $725 million aggregate liquidation preference of Series A cumulative preferred stock of NBCUniversal Enterprise. After the close of the transaction, GE sold the interests in NBCUniversal Enterprise’s senior debt securities and preferred stock it acquired in the Redemption Transaction to unaffiliated third parties.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close of the Redemption Transaction, Comcast owns 96% of NBCUniversal Holdings’ common units and NBCUniversal Enterprise owns the remaining 4%. NBCUniversal Enterprise is now a consolidated subsidiary of Comcast, but we do not have any ownership interests in NBCUniversal Enterprise. NBCUniversal Enterprise also owns all of NBCUniversal Holdings’ preferred units with a $9.4 billion aggregate liquidation preference. NBCUniversal Holdings is required to make quarterly payments to NBCUniversal Enterprise at an initial rate of 8.25% per annum on the $9.4 billion aggregate liquidation preference of the preferred units. On March 1, 2018, and thereafter on every fifth anniversary of such date, this rate will reset to 7.44% plus the yield on actively traded United States Treasury securities having a 5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and adjusted, in the case of an exercise of NBCUniversal Enterprise’s right, to the extent the equity value of NBCUniversal Holdings is less than the liquidation preference. Our cash flows are, and will continue to be, the primary source of funding for the required payments and any future redemption of the NBCUniversal Holdings preferred units.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Related Party Transactions</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In the ordinary course of our business, we enter into transactions with Comcast. Following the close of the Redemption Transaction and the subsequent sale of NBCUniversal Enterprise’s preferred stock and senior notes by GE to unaffiliated third parties, we no longer consider GE to be a related party.</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 revenue from Comcast primarily from the distribution of our cable network programming and, to a lesser extent, the sale of advertising and our owned programming, and we incur expenses primarily related to various support services provided by Comcast to us.</w:t>
      </w:r>
    </w:p>
    <w:p>
      <w:pPr>
        <w:spacing w:after="0" w:line="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19, 2013, as part of the Comcast cash management process, we and Comcast entered into a revolving credit agreement under which we can borrow up to $3 billion from Comcast and Comcast can borrow up to $3 billion from us. Amounts owed by Comcast to us under the revolving credit agreement, including accrued interest, are presented under the caption “note receivable from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September 30, 2013, the interest rate was 1.252%.</w:t>
      </w:r>
    </w:p>
    <w:p>
      <w:pPr>
        <w:spacing w:after="0" w:line="2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tables present transactions with Comcast and its consolidated subsidiaries that are included in our condensed consolidated financial statements. Other than the transactions discussed in Note 2 and the Station Venture transaction discussed in Note 5, the amounts related to transactions with GE and its consolidated subsidiaries that occurred prior to the close of the Redemption Transaction were not material.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w w:val="84"/>
              </w:rPr>
              <w:t>September 30,</w:t>
            </w:r>
          </w:p>
        </w:tc>
        <w:tc>
          <w:tcPr>
            <w:tcW w:w="62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color w:val="auto"/>
                <w:w w:val="90"/>
              </w:rPr>
              <w:t>December 31,</w:t>
            </w:r>
          </w:p>
        </w:tc>
      </w:tr>
      <w:tr>
        <w:trPr>
          <w:trHeight w:val="159"/>
        </w:trPr>
        <w:tc>
          <w:tcPr>
            <w:tcW w:w="65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line="159" w:lineRule="exact"/>
              <w:rPr>
                <w:sz w:val="20"/>
                <w:szCs w:val="20"/>
                <w:color w:val="auto"/>
              </w:rPr>
            </w:pPr>
            <w:r>
              <w:rPr>
                <w:rFonts w:ascii="Arial" w:cs="Arial" w:eastAsia="Arial" w:hAnsi="Arial"/>
                <w:sz w:val="14"/>
                <w:szCs w:val="14"/>
                <w:color w:val="auto"/>
              </w:rPr>
              <w:t>2013</w:t>
            </w:r>
          </w:p>
        </w:tc>
        <w:tc>
          <w:tcPr>
            <w:tcW w:w="6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15"/>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6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213</w:t>
            </w:r>
          </w:p>
        </w:tc>
        <w:tc>
          <w:tcPr>
            <w:tcW w:w="6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65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981</w:t>
            </w:r>
          </w:p>
        </w:tc>
        <w:tc>
          <w:tcPr>
            <w:tcW w:w="620" w:type="dxa"/>
            <w:vAlign w:val="bottom"/>
            <w:shd w:val="clear" w:color="auto" w:fill="E5E5E5"/>
          </w:tcPr>
          <w:p>
            <w:pPr>
              <w:spacing w:after="0"/>
              <w:rPr>
                <w:sz w:val="18"/>
                <w:szCs w:val="18"/>
                <w:color w:val="auto"/>
              </w:rPr>
            </w:pPr>
          </w:p>
        </w:tc>
        <w:tc>
          <w:tcPr>
            <w:tcW w:w="5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7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6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397"/>
        </w:trPr>
        <w:tc>
          <w:tcPr>
            <w:tcW w:w="8000" w:type="dxa"/>
            <w:vAlign w:val="bottom"/>
            <w:gridSpan w:val="3"/>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6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20" w:type="dxa"/>
            <w:vAlign w:val="bottom"/>
            <w:gridSpan w:val="3"/>
          </w:tcPr>
          <w:p>
            <w:pPr>
              <w:jc w:val="right"/>
              <w:ind w:right="299"/>
              <w:spacing w:after="0"/>
              <w:rPr>
                <w:sz w:val="20"/>
                <w:szCs w:val="20"/>
                <w:color w:val="auto"/>
              </w:rPr>
            </w:pPr>
            <w:r>
              <w:rPr>
                <w:rFonts w:ascii="Arial" w:cs="Arial" w:eastAsia="Arial" w:hAnsi="Arial"/>
                <w:sz w:val="14"/>
                <w:szCs w:val="14"/>
                <w:color w:val="auto"/>
              </w:rPr>
              <w:t>Three Months Ended</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80" w:type="dxa"/>
            <w:vAlign w:val="bottom"/>
            <w:gridSpan w:val="3"/>
          </w:tcPr>
          <w:p>
            <w:pPr>
              <w:jc w:val="center"/>
              <w:ind w:right="215"/>
              <w:spacing w:after="0"/>
              <w:rPr>
                <w:sz w:val="20"/>
                <w:szCs w:val="20"/>
                <w:color w:val="auto"/>
              </w:rPr>
            </w:pPr>
            <w:r>
              <w:rPr>
                <w:rFonts w:ascii="Arial" w:cs="Arial" w:eastAsia="Arial" w:hAnsi="Arial"/>
                <w:sz w:val="14"/>
                <w:szCs w:val="14"/>
                <w:color w:val="auto"/>
                <w:w w:val="89"/>
              </w:rPr>
              <w:t>Nine Months Ended</w:t>
            </w:r>
          </w:p>
        </w:tc>
      </w:tr>
      <w:tr>
        <w:trPr>
          <w:trHeight w:val="172"/>
        </w:trPr>
        <w:tc>
          <w:tcPr>
            <w:tcW w:w="6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left="162"/>
              <w:spacing w:after="0"/>
              <w:rPr>
                <w:sz w:val="20"/>
                <w:szCs w:val="20"/>
                <w:color w:val="auto"/>
              </w:rPr>
            </w:pPr>
            <w:r>
              <w:rPr>
                <w:rFonts w:ascii="Arial" w:cs="Arial" w:eastAsia="Arial" w:hAnsi="Arial"/>
                <w:sz w:val="14"/>
                <w:szCs w:val="14"/>
                <w:color w:val="auto"/>
                <w:w w:val="84"/>
              </w:rPr>
              <w:t>September 30</w:t>
            </w:r>
          </w:p>
        </w:tc>
        <w:tc>
          <w:tcPr>
            <w:tcW w:w="540" w:type="dxa"/>
            <w:vAlign w:val="bottom"/>
            <w:tcBorders>
              <w:bottom w:val="single" w:sz="8" w:color="auto"/>
            </w:tcBorders>
          </w:tcPr>
          <w:p>
            <w:pPr>
              <w:spacing w:after="0"/>
              <w:rPr>
                <w:sz w:val="14"/>
                <w:szCs w:val="14"/>
                <w:color w:val="auto"/>
              </w:rPr>
            </w:pPr>
          </w:p>
        </w:tc>
      </w:tr>
      <w:tr>
        <w:trPr>
          <w:trHeight w:val="143"/>
        </w:trPr>
        <w:tc>
          <w:tcPr>
            <w:tcW w:w="65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4"/>
              <w:spacing w:after="0" w:line="143" w:lineRule="exact"/>
              <w:rPr>
                <w:sz w:val="20"/>
                <w:szCs w:val="20"/>
                <w:color w:val="auto"/>
              </w:rPr>
            </w:pPr>
            <w:r>
              <w:rPr>
                <w:rFonts w:ascii="Arial" w:cs="Arial" w:eastAsia="Arial" w:hAnsi="Arial"/>
                <w:sz w:val="14"/>
                <w:szCs w:val="14"/>
                <w:color w:val="auto"/>
                <w:w w:val="89"/>
              </w:rPr>
              <w:t>2013</w:t>
            </w: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9"/>
              <w:spacing w:after="0" w:line="143" w:lineRule="exact"/>
              <w:rPr>
                <w:sz w:val="20"/>
                <w:szCs w:val="20"/>
                <w:color w:val="auto"/>
              </w:rPr>
            </w:pPr>
            <w:r>
              <w:rPr>
                <w:rFonts w:ascii="Arial" w:cs="Arial" w:eastAsia="Arial" w:hAnsi="Arial"/>
                <w:sz w:val="14"/>
                <w:szCs w:val="14"/>
                <w:color w:val="auto"/>
                <w:w w:val="89"/>
              </w:rPr>
              <w:t>2012</w:t>
            </w: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342"/>
              <w:spacing w:after="0" w:line="143"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3" w:lineRule="exact"/>
              <w:rPr>
                <w:sz w:val="20"/>
                <w:szCs w:val="20"/>
                <w:color w:val="auto"/>
              </w:rPr>
            </w:pPr>
            <w:r>
              <w:rPr>
                <w:rFonts w:ascii="Arial" w:cs="Arial" w:eastAsia="Arial" w:hAnsi="Arial"/>
                <w:sz w:val="14"/>
                <w:szCs w:val="14"/>
                <w:color w:val="auto"/>
                <w:w w:val="89"/>
              </w:rPr>
              <w:t>2012</w:t>
            </w:r>
          </w:p>
        </w:tc>
      </w:tr>
      <w:tr>
        <w:trPr>
          <w:trHeight w:val="210"/>
        </w:trPr>
        <w:tc>
          <w:tcPr>
            <w:tcW w:w="65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4"/>
              <w:spacing w:after="0"/>
              <w:rPr>
                <w:sz w:val="20"/>
                <w:szCs w:val="20"/>
                <w:color w:val="auto"/>
              </w:rPr>
            </w:pPr>
            <w:r>
              <w:rPr>
                <w:rFonts w:ascii="Arial" w:cs="Arial" w:eastAsia="Arial" w:hAnsi="Arial"/>
                <w:sz w:val="18"/>
                <w:szCs w:val="18"/>
                <w:color w:val="auto"/>
              </w:rPr>
              <w:t>299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02"/>
              <w:spacing w:after="0"/>
              <w:rPr>
                <w:sz w:val="20"/>
                <w:szCs w:val="20"/>
                <w:color w:val="auto"/>
              </w:rPr>
            </w:pPr>
            <w:r>
              <w:rPr>
                <w:rFonts w:ascii="Arial" w:cs="Arial" w:eastAsia="Arial" w:hAnsi="Arial"/>
                <w:sz w:val="18"/>
                <w:szCs w:val="18"/>
                <w:color w:val="auto"/>
              </w:rPr>
              <w:t>953</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955</w:t>
            </w:r>
          </w:p>
        </w:tc>
      </w:tr>
      <w:tr>
        <w:trPr>
          <w:trHeight w:val="216"/>
        </w:trPr>
        <w:tc>
          <w:tcPr>
            <w:tcW w:w="65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244"/>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color w:val="auto"/>
                <w:w w:val="90"/>
              </w:rPr>
              <w:t>(126)</w:t>
            </w:r>
          </w:p>
        </w:tc>
        <w:tc>
          <w:tcPr>
            <w:tcW w:w="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NBCUniversal Holdings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to the transactions above, we make distributions to NBCUniversal Holdings on a periodic basis to enable its owners to meet their obligations to pay taxes on taxable income generated by our businesses. We also make quarterly distributions to NBCUniversal Holdings to enable it to make its required quarterly payments to NBCUniversal Enterprise at an initial annual rate of 8.25% on the $9.4 billion aggregate liquidation preference of preferred units. These distributions are presented under the caption “distributions to member” in our condensed consolidated statement of cash flows. Following the close of the Redemption Transaction, none of these distributions to NBCUniversal Holdings are attributable to GE.</w:t>
      </w:r>
    </w:p>
    <w:p>
      <w:pPr>
        <w:spacing w:after="0" w:line="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Redemption Transaction, we also made a distribution of $3.2 billion to NBCUniversal Holdings to fund a portion of the Redemption Transaction. This distribution is presented separately in our condensed consolidated statement of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120" w:type="dxa"/>
            <w:vAlign w:val="bottom"/>
            <w:gridSpan w:val="2"/>
          </w:tcPr>
          <w:p>
            <w:pPr>
              <w:ind w:left="294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w w:val="90"/>
              </w:rPr>
              <w:t>December 31,</w:t>
            </w:r>
          </w:p>
        </w:tc>
      </w:tr>
      <w:tr>
        <w:trPr>
          <w:trHeight w:val="173"/>
        </w:trPr>
        <w:tc>
          <w:tcPr>
            <w:tcW w:w="6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2012</w:t>
            </w:r>
          </w:p>
        </w:tc>
      </w:tr>
      <w:tr>
        <w:trPr>
          <w:trHeight w:val="210"/>
        </w:trPr>
        <w:tc>
          <w:tcPr>
            <w:tcW w:w="60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16"/>
        </w:trPr>
        <w:tc>
          <w:tcPr>
            <w:tcW w:w="608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100" w:type="dxa"/>
            <w:vAlign w:val="bottom"/>
          </w:tcPr>
          <w:p>
            <w:pPr>
              <w:ind w:left="29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1,439</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16"/>
        </w:trPr>
        <w:tc>
          <w:tcPr>
            <w:tcW w:w="6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189</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394</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2,619</w:t>
            </w:r>
          </w:p>
        </w:tc>
      </w:tr>
      <w:tr>
        <w:trPr>
          <w:trHeight w:val="323"/>
        </w:trPr>
        <w:tc>
          <w:tcPr>
            <w:tcW w:w="608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3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7"/>
        </w:trPr>
        <w:tc>
          <w:tcPr>
            <w:tcW w:w="6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1,144</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1,124</w:t>
            </w:r>
          </w:p>
        </w:tc>
      </w:tr>
      <w:tr>
        <w:trPr>
          <w:trHeight w:val="216"/>
        </w:trPr>
        <w:tc>
          <w:tcPr>
            <w:tcW w:w="6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321</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1,465</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1,458</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w:t>
            </w:r>
          </w:p>
        </w:tc>
      </w:tr>
      <w:tr>
        <w:trPr>
          <w:trHeight w:val="210"/>
        </w:trPr>
        <w:tc>
          <w:tcPr>
            <w:tcW w:w="6080" w:type="dxa"/>
            <w:vAlign w:val="bottom"/>
            <w:shd w:val="clear" w:color="auto" w:fill="E5E5E5"/>
          </w:tcPr>
          <w:p>
            <w:pPr>
              <w:spacing w:after="0"/>
              <w:rPr>
                <w:sz w:val="18"/>
                <w:szCs w:val="18"/>
                <w:color w:val="auto"/>
              </w:rPr>
            </w:pPr>
          </w:p>
        </w:tc>
        <w:tc>
          <w:tcPr>
            <w:tcW w:w="31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5,510</w:t>
            </w:r>
          </w:p>
        </w:tc>
        <w:tc>
          <w:tcPr>
            <w:tcW w:w="56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5,885</w:t>
            </w:r>
          </w:p>
        </w:tc>
      </w:tr>
      <w:tr>
        <w:trPr>
          <w:trHeight w:val="216"/>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925</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r>
      <w:tr>
        <w:trPr>
          <w:trHeight w:val="217"/>
        </w:trPr>
        <w:tc>
          <w:tcPr>
            <w:tcW w:w="6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100" w:type="dxa"/>
            <w:vAlign w:val="bottom"/>
            <w:tcBorders>
              <w:bottom w:val="single" w:sz="8" w:color="auto"/>
            </w:tcBorders>
            <w:shd w:val="clear" w:color="auto" w:fill="E5E5E5"/>
          </w:tcPr>
          <w:p>
            <w:pPr>
              <w:ind w:left="29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4,585</w:t>
            </w:r>
          </w:p>
        </w:tc>
        <w:tc>
          <w:tcPr>
            <w:tcW w:w="56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5,041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720" w:type="dxa"/>
            <w:vAlign w:val="bottom"/>
            <w:gridSpan w:val="2"/>
          </w:tcPr>
          <w:p>
            <w:pPr>
              <w:ind w:left="348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w w:val="90"/>
              </w:rPr>
              <w:t>December 31,</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35"/>
              <w:spacing w:after="0" w:line="159" w:lineRule="exact"/>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5"/>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3660" w:type="dxa"/>
            <w:vAlign w:val="bottom"/>
            <w:shd w:val="clear" w:color="auto" w:fill="E5E5E5"/>
          </w:tcPr>
          <w:p>
            <w:pPr>
              <w:ind w:left="3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12</w:t>
            </w:r>
          </w:p>
        </w:tc>
        <w:tc>
          <w:tcPr>
            <w:tcW w:w="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Equity Method:</w:t>
            </w:r>
          </w:p>
        </w:tc>
        <w:tc>
          <w:tcPr>
            <w:tcW w:w="3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331</w:t>
            </w:r>
          </w:p>
        </w:tc>
        <w:tc>
          <w:tcPr>
            <w:tcW w:w="6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5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560</w:t>
            </w: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10"/>
        </w:trPr>
        <w:tc>
          <w:tcPr>
            <w:tcW w:w="5440" w:type="dxa"/>
            <w:vAlign w:val="bottom"/>
            <w:shd w:val="clear" w:color="auto" w:fill="E5E5E5"/>
          </w:tcPr>
          <w:p>
            <w:pPr>
              <w:spacing w:after="0"/>
              <w:rPr>
                <w:sz w:val="18"/>
                <w:szCs w:val="18"/>
                <w:color w:val="auto"/>
              </w:rPr>
            </w:pPr>
          </w:p>
        </w:tc>
        <w:tc>
          <w:tcPr>
            <w:tcW w:w="36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891</w:t>
            </w:r>
          </w:p>
        </w:tc>
        <w:tc>
          <w:tcPr>
            <w:tcW w:w="60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3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23</w:t>
            </w: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17"/>
        </w:trPr>
        <w:tc>
          <w:tcPr>
            <w:tcW w:w="5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3660" w:type="dxa"/>
            <w:vAlign w:val="bottom"/>
            <w:tcBorders>
              <w:bottom w:val="single" w:sz="8" w:color="auto"/>
            </w:tcBorders>
            <w:shd w:val="clear" w:color="auto" w:fill="E5E5E5"/>
          </w:tcPr>
          <w:p>
            <w:pPr>
              <w:ind w:left="348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926</w:t>
            </w:r>
          </w:p>
        </w:tc>
        <w:tc>
          <w:tcPr>
            <w:tcW w:w="6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1,266</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2013, we received a distribution from The Weather Channel Holding Corp. (“The Weather Channel”) of $152 million, of which $128 million was recorded as a return of our investment in The Weather Channel and is included under the caption “return of capital from investees” in our condensed consolidated statement of cash flows.</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2013, we entered into an agreement to provide capital contributions totaling $247 million to Hulu, LLC (“Hulu”), which we had previously accounted for as a cost method investment. As of September 30, 2013, we had contributed $123 million under this agreement and the remaining amounts will be provided at a future date as specified under the terms of the agreement. As a result of our agreement to provide funding to Hulu, which was our first capital contribution since Comcast acquired its interest in Hulu as part of its acquisition of a controlling interest in NBCUniversal Holdings (the “Joint Venture transaction”), we began to apply the equity method of accounting for our investment in Hulu. The change to the equity method of accounting requires that we retroactively record our portion of Hulu’s accumulated losses since the date of the Joint Venture transaction. Prior period financial statements have not been restated as the amounts are not material in the current period or any of the prior periods affected. Accordingly, equity in net income (losses) of investees, net for the three and nine months ended September 30, 2013, included $135 million of equity losses, which represents our portion of Hulu’s accumulated losses from the date of the Joint Venture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Station Venture</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previously held an equity interest in Station Venture Holdings, LLC (“Station Venture”), a nonconsolidated variable interest entity, and the remaining equity interests in Station Venture were held by LIN TV, Corp. Station Venture was the obligor on an $816 million senior secured note (the “Station Venture note”) that was due in 2023 to General Electric Capital Corporation (“GECC”) as servicer. The Station Venture note, among other things, was collateralized by substantially all of the assets of Station Venture and Station Venture Operations, LP (“Station LP”). Station LP was a less than wholly owned consolidated subsidiary of ours. In connection with the Joint Venture transaction, a liability of $482 million was recorded to noncurrent liabilities in Comcast’s allocation of purchase price, which represented the fair value of the net assets of Station LP. In February 2013, Comcast closed an agreement with GE, GECC and LIN TV under which, among other things, we purchased the Station Venture note from GECC for $602 million, which represented the agreed upon fair value of the assets of Station LP. As of the closing date of the transaction, the $482 million recorded liability was effectively settled, and Station Venture and Station LP became wholly owned subsidiaries. We now consolidate Station Venture, and the Station Venture note is eliminated in consolidation. Due to the related party nature of this transaction, the excess of the purchase price of the Station Venture note over the recorded amount of the liability was recorded to member’s capital.</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Goodwill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920" w:type="dxa"/>
            <w:vAlign w:val="bottom"/>
          </w:tcPr>
          <w:p>
            <w:pPr>
              <w:jc w:val="right"/>
              <w:ind w:right="339"/>
              <w:spacing w:after="0"/>
              <w:rPr>
                <w:sz w:val="20"/>
                <w:szCs w:val="20"/>
                <w:color w:val="auto"/>
              </w:rPr>
            </w:pPr>
            <w:r>
              <w:rPr>
                <w:rFonts w:ascii="Arial" w:cs="Arial" w:eastAsia="Arial" w:hAnsi="Arial"/>
                <w:sz w:val="14"/>
                <w:szCs w:val="14"/>
                <w:color w:val="auto"/>
              </w:rPr>
              <w:t>Cable</w:t>
            </w:r>
          </w:p>
        </w:tc>
        <w:tc>
          <w:tcPr>
            <w:tcW w:w="1120" w:type="dxa"/>
            <w:vAlign w:val="bottom"/>
            <w:gridSpan w:val="2"/>
          </w:tcPr>
          <w:p>
            <w:pPr>
              <w:ind w:left="280"/>
              <w:spacing w:after="0"/>
              <w:rPr>
                <w:sz w:val="20"/>
                <w:szCs w:val="20"/>
                <w:color w:val="auto"/>
              </w:rPr>
            </w:pPr>
            <w:r>
              <w:rPr>
                <w:rFonts w:ascii="Arial" w:cs="Arial" w:eastAsia="Arial" w:hAnsi="Arial"/>
                <w:sz w:val="14"/>
                <w:szCs w:val="14"/>
                <w:color w:val="auto"/>
              </w:rPr>
              <w:t>Broadcast</w:t>
            </w:r>
          </w:p>
        </w:tc>
        <w:tc>
          <w:tcPr>
            <w:tcW w:w="420" w:type="dxa"/>
            <w:vAlign w:val="bottom"/>
          </w:tcPr>
          <w:p>
            <w:pPr>
              <w:spacing w:after="0"/>
              <w:rPr>
                <w:sz w:val="14"/>
                <w:szCs w:val="14"/>
                <w:color w:val="auto"/>
              </w:rPr>
            </w:pPr>
          </w:p>
        </w:tc>
        <w:tc>
          <w:tcPr>
            <w:tcW w:w="900" w:type="dxa"/>
            <w:vAlign w:val="bottom"/>
          </w:tcPr>
          <w:p>
            <w:pPr>
              <w:jc w:val="right"/>
              <w:ind w:right="396"/>
              <w:spacing w:after="0"/>
              <w:rPr>
                <w:sz w:val="20"/>
                <w:szCs w:val="20"/>
                <w:color w:val="auto"/>
              </w:rPr>
            </w:pPr>
            <w:r>
              <w:rPr>
                <w:rFonts w:ascii="Arial" w:cs="Arial" w:eastAsia="Arial" w:hAnsi="Arial"/>
                <w:sz w:val="14"/>
                <w:szCs w:val="14"/>
                <w:color w:val="auto"/>
                <w:w w:val="95"/>
              </w:rPr>
              <w:t>Filmed</w:t>
            </w:r>
          </w:p>
        </w:tc>
        <w:tc>
          <w:tcPr>
            <w:tcW w:w="920" w:type="dxa"/>
            <w:vAlign w:val="bottom"/>
          </w:tcPr>
          <w:p>
            <w:pPr>
              <w:jc w:val="right"/>
              <w:ind w:right="179"/>
              <w:spacing w:after="0"/>
              <w:rPr>
                <w:sz w:val="20"/>
                <w:szCs w:val="20"/>
                <w:color w:val="auto"/>
              </w:rPr>
            </w:pPr>
            <w:r>
              <w:rPr>
                <w:rFonts w:ascii="Arial" w:cs="Arial" w:eastAsia="Arial" w:hAnsi="Arial"/>
                <w:sz w:val="14"/>
                <w:szCs w:val="14"/>
                <w:color w:val="auto"/>
              </w:rPr>
              <w:t>Theme</w:t>
            </w:r>
          </w:p>
        </w:tc>
        <w:tc>
          <w:tcPr>
            <w:tcW w:w="920" w:type="dxa"/>
            <w:vAlign w:val="bottom"/>
          </w:tcPr>
          <w:p>
            <w:pPr>
              <w:spacing w:after="0"/>
              <w:rPr>
                <w:sz w:val="14"/>
                <w:szCs w:val="14"/>
                <w:color w:val="auto"/>
              </w:rPr>
            </w:pPr>
          </w:p>
        </w:tc>
      </w:tr>
      <w:tr>
        <w:trPr>
          <w:trHeight w:val="159"/>
        </w:trPr>
        <w:tc>
          <w:tcPr>
            <w:tcW w:w="4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920" w:type="dxa"/>
            <w:vAlign w:val="bottom"/>
            <w:tcBorders>
              <w:bottom w:val="single" w:sz="8" w:color="auto"/>
            </w:tcBorders>
          </w:tcPr>
          <w:p>
            <w:pPr>
              <w:jc w:val="right"/>
              <w:ind w:right="239"/>
              <w:spacing w:after="0" w:line="159" w:lineRule="exact"/>
              <w:rPr>
                <w:sz w:val="20"/>
                <w:szCs w:val="20"/>
                <w:color w:val="auto"/>
              </w:rPr>
            </w:pPr>
            <w:r>
              <w:rPr>
                <w:rFonts w:ascii="Arial" w:cs="Arial" w:eastAsia="Arial" w:hAnsi="Arial"/>
                <w:sz w:val="14"/>
                <w:szCs w:val="14"/>
                <w:color w:val="auto"/>
              </w:rPr>
              <w:t>Networks</w:t>
            </w:r>
          </w:p>
        </w:tc>
        <w:tc>
          <w:tcPr>
            <w:tcW w:w="112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Television</w:t>
            </w:r>
          </w:p>
        </w:tc>
        <w:tc>
          <w:tcPr>
            <w:tcW w:w="132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Entertainment</w:t>
            </w:r>
          </w:p>
        </w:tc>
        <w:tc>
          <w:tcPr>
            <w:tcW w:w="92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rPr>
              <w:t>Parks</w:t>
            </w:r>
          </w:p>
        </w:tc>
        <w:tc>
          <w:tcPr>
            <w:tcW w:w="92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2920" w:type="dxa"/>
            <w:vAlign w:val="bottom"/>
            <w:shd w:val="clear" w:color="auto" w:fill="E5E5E5"/>
          </w:tcPr>
          <w:p>
            <w:pPr>
              <w:jc w:val="right"/>
              <w:ind w:right="199"/>
              <w:spacing w:after="0"/>
              <w:rPr>
                <w:sz w:val="20"/>
                <w:szCs w:val="20"/>
                <w:color w:val="auto"/>
              </w:rPr>
            </w:pPr>
            <w:r>
              <w:rPr>
                <w:rFonts w:ascii="Arial" w:cs="Arial" w:eastAsia="Arial" w:hAnsi="Arial"/>
                <w:sz w:val="18"/>
                <w:szCs w:val="18"/>
                <w:color w:val="auto"/>
              </w:rPr>
              <w:t>$13,026</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761</w:t>
            </w:r>
          </w:p>
        </w:tc>
        <w:tc>
          <w:tcPr>
            <w:tcW w:w="42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w:t>
            </w:r>
          </w:p>
        </w:tc>
        <w:tc>
          <w:tcPr>
            <w:tcW w:w="92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$ 982</w:t>
            </w:r>
          </w:p>
        </w:tc>
        <w:tc>
          <w:tcPr>
            <w:tcW w:w="9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$14,770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Acquisitions</w:t>
            </w:r>
          </w:p>
        </w:tc>
        <w:tc>
          <w:tcPr>
            <w:tcW w:w="2920" w:type="dxa"/>
            <w:vAlign w:val="bottom"/>
          </w:tcPr>
          <w:p>
            <w:pPr>
              <w:jc w:val="right"/>
              <w:ind w:right="199"/>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2920" w:type="dxa"/>
            <w:vAlign w:val="bottom"/>
            <w:tcBorders>
              <w:bottom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75</w:t>
            </w:r>
          </w:p>
        </w:tc>
      </w:tr>
      <w:tr>
        <w:trPr>
          <w:trHeight w:val="21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2013</w:t>
            </w:r>
          </w:p>
        </w:tc>
        <w:tc>
          <w:tcPr>
            <w:tcW w:w="292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b w:val="1"/>
                <w:bCs w:val="1"/>
                <w:color w:val="auto"/>
              </w:rPr>
              <w:t>$ 13,112</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768</w:t>
            </w: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$ 982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$14,863</w:t>
            </w: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to goodwill during the nine months ended September 30, 2013 were primarily related to an immaterial correction to the allocation of purchase price associated with the January 2011 Joint Venture transaction, which was recorded in the second quarter of 2013.</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and Other Debt</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2013, our debt had an estimated fair value of $11.9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Redemption Transaction, on March 19, 2013, NBCUniversal Enterprise amended and restated our existing credit agreement to, among other things, substitute NBCUniversal Enterprise for us as the sole borrower to the revolving credit facility. As a result, we no longer have a revolving credit facility with third-party banks. Following the amendments to our credit agreement, our commercial paper program was terminated and we entered into a revolving credit agreement with Comcast. See Note 3 for additional information on the revolving credit agreement with Comcast.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September 30, 2013, we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guaranteed $30 billion of outstanding debt securities of Comcast and the cable guarantors. We also fully and unconditionally guarantee the $6.25 billion Comcast revolving credit facility due 2017 of which no amounts were outstanding as of September 30, 2013.</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credit facility or $725 million liquidation preference of Series A cumulative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Fair Value as of</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tcPr>
          <w:p>
            <w:pPr>
              <w:jc w:val="right"/>
              <w:ind w:right="655"/>
              <w:spacing w:after="0" w:line="142" w:lineRule="exact"/>
              <w:rPr>
                <w:sz w:val="20"/>
                <w:szCs w:val="20"/>
                <w:color w:val="auto"/>
              </w:rPr>
            </w:pPr>
            <w:r>
              <w:rPr>
                <w:rFonts w:ascii="Arial" w:cs="Arial" w:eastAsia="Arial" w:hAnsi="Arial"/>
                <w:sz w:val="14"/>
                <w:szCs w:val="14"/>
                <w:color w:val="auto"/>
                <w:w w:val="89"/>
              </w:rPr>
              <w:t>September 30, 2013</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w w:val="89"/>
              </w:rPr>
              <w:t>December 31, 2012</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vMerge w:val="continue"/>
          </w:tcPr>
          <w:p>
            <w:pPr>
              <w:spacing w:after="0"/>
              <w:rPr>
                <w:sz w:val="12"/>
                <w:szCs w:val="12"/>
                <w:color w:val="auto"/>
              </w:rPr>
            </w:pPr>
          </w:p>
        </w:tc>
        <w:tc>
          <w:tcPr>
            <w:tcW w:w="1240" w:type="dxa"/>
            <w:vAlign w:val="bottom"/>
            <w:tcBorders>
              <w:bottom w:val="single" w:sz="8" w:color="auto"/>
            </w:tcBorders>
            <w:gridSpan w:val="2"/>
          </w:tcPr>
          <w:p>
            <w:pPr>
              <w:ind w:left="520"/>
              <w:spacing w:after="0" w:line="142" w:lineRule="exact"/>
              <w:rPr>
                <w:sz w:val="20"/>
                <w:szCs w:val="20"/>
                <w:color w:val="auto"/>
              </w:rPr>
            </w:pPr>
            <w:r>
              <w:rPr>
                <w:rFonts w:ascii="Arial" w:cs="Arial" w:eastAsia="Arial" w:hAnsi="Arial"/>
                <w:sz w:val="14"/>
                <w:szCs w:val="14"/>
                <w:color w:val="auto"/>
              </w:rPr>
              <w:t>Level 1</w:t>
            </w:r>
          </w:p>
        </w:tc>
        <w:tc>
          <w:tcPr>
            <w:tcW w:w="1060" w:type="dxa"/>
            <w:vAlign w:val="bottom"/>
            <w:tcBorders>
              <w:bottom w:val="single" w:sz="8" w:color="auto"/>
            </w:tcBorders>
            <w:gridSpan w:val="2"/>
          </w:tcPr>
          <w:p>
            <w:pPr>
              <w:jc w:val="right"/>
              <w:ind w:right="235"/>
              <w:spacing w:after="0" w:line="142" w:lineRule="exact"/>
              <w:rPr>
                <w:sz w:val="20"/>
                <w:szCs w:val="20"/>
                <w:color w:val="auto"/>
              </w:rPr>
            </w:pPr>
            <w:r>
              <w:rPr>
                <w:rFonts w:ascii="Arial" w:cs="Arial" w:eastAsia="Arial" w:hAnsi="Arial"/>
                <w:sz w:val="14"/>
                <w:szCs w:val="14"/>
                <w:color w:val="auto"/>
              </w:rPr>
              <w:t>Level 2</w:t>
            </w:r>
          </w:p>
        </w:tc>
        <w:tc>
          <w:tcPr>
            <w:tcW w:w="1300" w:type="dxa"/>
            <w:vAlign w:val="bottom"/>
            <w:tcBorders>
              <w:bottom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color w:val="auto"/>
              </w:rPr>
              <w:t>Level 3</w:t>
            </w: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color w:val="auto"/>
                <w:w w:val="89"/>
              </w:rPr>
              <w:t>Total</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5"/>
              <w:spacing w:after="0"/>
              <w:rPr>
                <w:sz w:val="20"/>
                <w:szCs w:val="20"/>
                <w:color w:val="auto"/>
              </w:rPr>
            </w:pPr>
            <w:r>
              <w:rPr>
                <w:rFonts w:ascii="Arial" w:cs="Arial" w:eastAsia="Arial" w:hAnsi="Arial"/>
                <w:sz w:val="18"/>
                <w:szCs w:val="18"/>
                <w:color w:val="auto"/>
              </w:rPr>
              <w:t>21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21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680" w:type="dxa"/>
            <w:vAlign w:val="bottom"/>
            <w:shd w:val="clear" w:color="auto" w:fill="E5E5E5"/>
          </w:tcPr>
          <w:p>
            <w:pPr>
              <w:spacing w:after="0"/>
              <w:rPr>
                <w:sz w:val="18"/>
                <w:szCs w:val="18"/>
                <w:color w:val="auto"/>
              </w:rPr>
            </w:pPr>
          </w:p>
        </w:tc>
        <w:tc>
          <w:tcPr>
            <w:tcW w:w="5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rPr>
              <w:t>12</w:t>
            </w:r>
          </w:p>
        </w:tc>
        <w:tc>
          <w:tcPr>
            <w:tcW w:w="14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12</w:t>
            </w:r>
          </w:p>
        </w:tc>
        <w:tc>
          <w:tcPr>
            <w:tcW w:w="50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10</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31</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43</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309"/>
        </w:trPr>
        <w:tc>
          <w:tcPr>
            <w:tcW w:w="56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6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435"/>
              <w:spacing w:after="0"/>
              <w:rPr>
                <w:sz w:val="20"/>
                <w:szCs w:val="20"/>
                <w:color w:val="auto"/>
              </w:rPr>
            </w:pPr>
            <w:r>
              <w:rPr>
                <w:rFonts w:ascii="Arial" w:cs="Arial" w:eastAsia="Arial" w:hAnsi="Arial"/>
                <w:sz w:val="18"/>
                <w:szCs w:val="18"/>
                <w:color w:val="auto"/>
                <w:w w:val="84"/>
              </w:rPr>
              <w:t>1,130</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w w:val="88"/>
              </w:rPr>
              <w:t>1,130</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21</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b w:val="1"/>
                <w:bCs w:val="1"/>
                <w:color w:val="auto"/>
              </w:rPr>
              <w:t>21</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435"/>
              <w:spacing w:after="0"/>
              <w:rPr>
                <w:sz w:val="20"/>
                <w:szCs w:val="20"/>
                <w:color w:val="auto"/>
              </w:rPr>
            </w:pPr>
            <w:r>
              <w:rPr>
                <w:rFonts w:ascii="Arial" w:cs="Arial" w:eastAsia="Arial" w:hAnsi="Arial"/>
                <w:sz w:val="18"/>
                <w:szCs w:val="18"/>
                <w:b w:val="1"/>
                <w:bCs w:val="1"/>
                <w:color w:val="auto"/>
                <w:w w:val="84"/>
              </w:rPr>
              <w:t>1,130</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w w:val="88"/>
              </w:rPr>
              <w:t>1,151</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1,069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contractual obligations in the table above are primarily based on certain expected future discounted cash flows, the determination of which involves the use of significant unobservable inputs. The most significant unobservable inputs we use are our estimates of the future revenue we expect to generate from certain of our entities. The discount rates used in the measurements of fair value were between 11% and 14% and are based on the underlying risk associated with our estimate of future revenue, as well as the terms of the respective contracts. The fair value adjustments to these contractual obligations are sensitive to the assumptions related to future revenue, as well as to current interest rates, and therefore, the adjustments are recorded to other income (expense), net in our condensed consolidated statement of income.</w:t>
      </w:r>
    </w:p>
    <w:p>
      <w:pPr>
        <w:spacing w:after="0" w:line="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2013, in connection with a transaction between Comcast and Liberty Media Corporation (“Liberty Media”), Comcast acquired Liberty Media’s interests in one of our contractual obligations and the liability associated with this contractual obligation is now considered a related party transaction with Comcast. The fair value of this contractual obligation as of September 30, 2013 was $383 million.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p>
        </w:tc>
        <w:tc>
          <w:tcPr>
            <w:tcW w:w="8240" w:type="dxa"/>
            <w:vAlign w:val="bottom"/>
          </w:tcPr>
          <w:p>
            <w:pPr>
              <w:jc w:val="right"/>
              <w:ind w:right="4132"/>
              <w:spacing w:after="0"/>
              <w:rPr>
                <w:sz w:val="20"/>
                <w:szCs w:val="20"/>
                <w:color w:val="auto"/>
              </w:rPr>
            </w:pPr>
            <w:r>
              <w:rPr>
                <w:rFonts w:ascii="Arial" w:cs="Arial" w:eastAsia="Arial" w:hAnsi="Arial"/>
                <w:sz w:val="18"/>
                <w:szCs w:val="18"/>
                <w:b w:val="1"/>
                <w:bCs w:val="1"/>
                <w:color w:val="auto"/>
              </w:rPr>
              <w:t>Changes in Contractual Obligations</w:t>
            </w:r>
          </w:p>
        </w:tc>
      </w:tr>
      <w:tr>
        <w:trPr>
          <w:trHeight w:val="367"/>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8240" w:type="dxa"/>
            <w:vAlign w:val="bottom"/>
            <w:tcBorders>
              <w:bottom w:val="single" w:sz="8" w:color="auto"/>
            </w:tcBorders>
          </w:tcPr>
          <w:p>
            <w:pPr>
              <w:spacing w:after="0"/>
              <w:rPr>
                <w:sz w:val="24"/>
                <w:szCs w:val="24"/>
                <w:color w:val="auto"/>
              </w:rPr>
            </w:pPr>
          </w:p>
        </w:tc>
      </w:tr>
      <w:tr>
        <w:trPr>
          <w:trHeight w:val="210"/>
        </w:trPr>
        <w:tc>
          <w:tcPr>
            <w:tcW w:w="31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2012</w:t>
            </w:r>
          </w:p>
        </w:tc>
        <w:tc>
          <w:tcPr>
            <w:tcW w:w="82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$1,055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Fair value adjustments</w:t>
            </w:r>
          </w:p>
        </w:tc>
        <w:tc>
          <w:tcPr>
            <w:tcW w:w="8240" w:type="dxa"/>
            <w:vAlign w:val="bottom"/>
          </w:tcPr>
          <w:p>
            <w:pPr>
              <w:jc w:val="right"/>
              <w:ind w:right="12"/>
              <w:spacing w:after="0"/>
              <w:rPr>
                <w:sz w:val="20"/>
                <w:szCs w:val="20"/>
                <w:color w:val="auto"/>
              </w:rPr>
            </w:pPr>
            <w:r>
              <w:rPr>
                <w:rFonts w:ascii="Arial" w:cs="Arial" w:eastAsia="Arial" w:hAnsi="Arial"/>
                <w:sz w:val="18"/>
                <w:szCs w:val="18"/>
                <w:color w:val="auto"/>
              </w:rPr>
              <w:t>141</w:t>
            </w:r>
          </w:p>
        </w:tc>
      </w:tr>
      <w:tr>
        <w:trPr>
          <w:trHeight w:val="216"/>
        </w:trPr>
        <w:tc>
          <w:tcPr>
            <w:tcW w:w="31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Payments</w:t>
            </w:r>
          </w:p>
        </w:tc>
        <w:tc>
          <w:tcPr>
            <w:tcW w:w="8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w:t>
            </w:r>
          </w:p>
        </w:tc>
      </w:tr>
      <w:tr>
        <w:trPr>
          <w:trHeight w:val="21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2013</w:t>
            </w:r>
          </w:p>
        </w:tc>
        <w:tc>
          <w:tcPr>
            <w:tcW w:w="8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$1,130</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assets and liabilities that we are required to record at fair value on a nonrecurring basis when certain circumstances occur. In the case of film or stage play production costs, upon the occurrence of an event or change in circumstance that may indicate that the fair value of a production is less than its unamortized costs, we determine the fair value of the production and record an adjustment for the amount by which the unamortized capitalized costs exceed the production’s fair value. The estimate of the fair value of a production is determined using Level 3 inputs, primarily an analysis of future expected cash flows. Adjustments to capitalized film production costs of $150 million and $155 million were recorded during the nine months ended September 30, 2013 and 2012,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primarily consist of awards of stock options and restricted share units (“RSUs”) to certain employees and directors as part of its approach to long-term incentive compensation. Certain of our employees participate in these plans and the expense associated with their participation is settled in cash with Comcast.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Expense—Comcast Equity Awards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3"/>
          </w:tcPr>
          <w:p>
            <w:pPr>
              <w:jc w:val="right"/>
              <w:ind w:right="536"/>
              <w:spacing w:after="0"/>
              <w:rPr>
                <w:sz w:val="20"/>
                <w:szCs w:val="20"/>
                <w:color w:val="auto"/>
              </w:rPr>
            </w:pPr>
            <w:r>
              <w:rPr>
                <w:rFonts w:ascii="Arial" w:cs="Arial" w:eastAsia="Arial" w:hAnsi="Arial"/>
                <w:sz w:val="14"/>
                <w:szCs w:val="14"/>
                <w:color w:val="auto"/>
                <w:w w:val="99"/>
              </w:rPr>
              <w:t>Three Months Ended</w:t>
            </w:r>
          </w:p>
        </w:tc>
        <w:tc>
          <w:tcPr>
            <w:tcW w:w="420" w:type="dxa"/>
            <w:vAlign w:val="bottom"/>
          </w:tcPr>
          <w:p>
            <w:pPr>
              <w:spacing w:after="0"/>
              <w:rPr>
                <w:sz w:val="14"/>
                <w:szCs w:val="14"/>
                <w:color w:val="auto"/>
              </w:rPr>
            </w:pPr>
          </w:p>
        </w:tc>
        <w:tc>
          <w:tcPr>
            <w:tcW w:w="168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r>
      <w:tr>
        <w:trPr>
          <w:trHeight w:val="172"/>
        </w:trPr>
        <w:tc>
          <w:tcPr>
            <w:tcW w:w="6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480" w:type="dxa"/>
            <w:vAlign w:val="bottom"/>
            <w:tcBorders>
              <w:bottom w:val="single" w:sz="8" w:color="auto"/>
            </w:tcBorders>
          </w:tcPr>
          <w:p>
            <w:pPr>
              <w:spacing w:after="0"/>
              <w:rPr>
                <w:sz w:val="14"/>
                <w:szCs w:val="14"/>
                <w:color w:val="auto"/>
              </w:rPr>
            </w:pPr>
          </w:p>
        </w:tc>
      </w:tr>
      <w:tr>
        <w:trPr>
          <w:trHeight w:val="143"/>
        </w:trPr>
        <w:tc>
          <w:tcPr>
            <w:tcW w:w="67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1"/>
              <w:spacing w:after="0" w:line="143" w:lineRule="exact"/>
              <w:rPr>
                <w:sz w:val="20"/>
                <w:szCs w:val="20"/>
                <w:color w:val="auto"/>
              </w:rPr>
            </w:pPr>
            <w:r>
              <w:rPr>
                <w:rFonts w:ascii="Arial" w:cs="Arial" w:eastAsia="Arial" w:hAnsi="Arial"/>
                <w:sz w:val="14"/>
                <w:szCs w:val="14"/>
                <w:color w:val="auto"/>
                <w:w w:val="89"/>
              </w:rPr>
              <w:t>2013</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6"/>
              <w:spacing w:after="0" w:line="143" w:lineRule="exact"/>
              <w:rPr>
                <w:sz w:val="20"/>
                <w:szCs w:val="20"/>
                <w:color w:val="auto"/>
              </w:rPr>
            </w:pPr>
            <w:r>
              <w:rPr>
                <w:rFonts w:ascii="Arial" w:cs="Arial" w:eastAsia="Arial" w:hAnsi="Arial"/>
                <w:sz w:val="14"/>
                <w:szCs w:val="14"/>
                <w:color w:val="auto"/>
                <w:w w:val="89"/>
              </w:rPr>
              <w:t>2012</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1"/>
              <w:spacing w:after="0" w:line="143" w:lineRule="exact"/>
              <w:rPr>
                <w:sz w:val="20"/>
                <w:szCs w:val="20"/>
                <w:color w:val="auto"/>
              </w:rPr>
            </w:pPr>
            <w:r>
              <w:rPr>
                <w:rFonts w:ascii="Arial" w:cs="Arial" w:eastAsia="Arial" w:hAnsi="Arial"/>
                <w:sz w:val="14"/>
                <w:szCs w:val="14"/>
                <w:color w:val="auto"/>
                <w:w w:val="89"/>
              </w:rPr>
              <w:t>2013</w:t>
            </w: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3" w:lineRule="exact"/>
              <w:rPr>
                <w:sz w:val="20"/>
                <w:szCs w:val="20"/>
                <w:color w:val="auto"/>
              </w:rPr>
            </w:pPr>
            <w:r>
              <w:rPr>
                <w:rFonts w:ascii="Arial" w:cs="Arial" w:eastAsia="Arial" w:hAnsi="Arial"/>
                <w:sz w:val="14"/>
                <w:szCs w:val="14"/>
                <w:color w:val="auto"/>
                <w:w w:val="89"/>
              </w:rPr>
              <w:t>2012</w:t>
            </w:r>
          </w:p>
        </w:tc>
      </w:tr>
      <w:tr>
        <w:trPr>
          <w:trHeight w:val="210"/>
        </w:trPr>
        <w:tc>
          <w:tcPr>
            <w:tcW w:w="670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41"/>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41"/>
              <w:spacing w:after="0"/>
              <w:rPr>
                <w:sz w:val="20"/>
                <w:szCs w:val="20"/>
                <w:color w:val="auto"/>
              </w:rPr>
            </w:pPr>
            <w:r>
              <w:rPr>
                <w:rFonts w:ascii="Arial" w:cs="Arial" w:eastAsia="Arial" w:hAnsi="Arial"/>
                <w:sz w:val="18"/>
                <w:szCs w:val="18"/>
                <w:color w:val="auto"/>
              </w:rPr>
              <w:t>11</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Restricted share units</w:t>
            </w:r>
          </w:p>
        </w:tc>
        <w:tc>
          <w:tcPr>
            <w:tcW w:w="68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760" w:type="dxa"/>
            <w:vAlign w:val="bottom"/>
          </w:tcPr>
          <w:p>
            <w:pPr>
              <w:jc w:val="right"/>
              <w:ind w:right="241"/>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41"/>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41"/>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16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11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45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80" w:type="dxa"/>
            <w:vAlign w:val="bottom"/>
            <w:gridSpan w:val="2"/>
          </w:tcPr>
          <w:p>
            <w:pPr>
              <w:ind w:left="74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w w:val="90"/>
              </w:rPr>
              <w:t>December 31,</w:t>
            </w:r>
          </w:p>
        </w:tc>
      </w:tr>
      <w:tr>
        <w:trPr>
          <w:trHeight w:val="159"/>
        </w:trPr>
        <w:tc>
          <w:tcPr>
            <w:tcW w:w="8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34"/>
              <w:spacing w:after="0" w:line="159"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860" w:type="dxa"/>
            <w:vAlign w:val="bottom"/>
            <w:shd w:val="clear" w:color="auto" w:fill="E5E5E5"/>
          </w:tcPr>
          <w:p>
            <w:pPr>
              <w:ind w:left="7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E5E5E5"/>
          </w:tcPr>
          <w:p>
            <w:pPr>
              <w:jc w:val="right"/>
              <w:ind w:right="274"/>
              <w:spacing w:after="0"/>
              <w:rPr>
                <w:sz w:val="20"/>
                <w:szCs w:val="20"/>
                <w:color w:val="auto"/>
              </w:rPr>
            </w:pPr>
            <w:r>
              <w:rPr>
                <w:rFonts w:ascii="Arial" w:cs="Arial" w:eastAsia="Arial" w:hAnsi="Arial"/>
                <w:sz w:val="18"/>
                <w:szCs w:val="18"/>
                <w:color w:val="auto"/>
              </w:rPr>
              <w:t>4,320</w:t>
            </w:r>
          </w:p>
        </w:tc>
        <w:tc>
          <w:tcPr>
            <w:tcW w:w="5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4,381</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860" w:type="dxa"/>
            <w:vAlign w:val="bottom"/>
          </w:tcPr>
          <w:p>
            <w:pPr>
              <w:spacing w:after="0"/>
              <w:rPr>
                <w:sz w:val="18"/>
                <w:szCs w:val="18"/>
                <w:color w:val="auto"/>
              </w:rPr>
            </w:pPr>
          </w:p>
        </w:tc>
        <w:tc>
          <w:tcPr>
            <w:tcW w:w="1020" w:type="dxa"/>
            <w:vAlign w:val="bottom"/>
          </w:tcPr>
          <w:p>
            <w:pPr>
              <w:jc w:val="right"/>
              <w:ind w:right="274"/>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8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274"/>
              <w:spacing w:after="0"/>
              <w:rPr>
                <w:sz w:val="20"/>
                <w:szCs w:val="20"/>
                <w:color w:val="auto"/>
              </w:rPr>
            </w:pPr>
            <w:r>
              <w:rPr>
                <w:rFonts w:ascii="Arial" w:cs="Arial" w:eastAsia="Arial" w:hAnsi="Arial"/>
                <w:sz w:val="18"/>
                <w:szCs w:val="18"/>
                <w:color w:val="auto"/>
              </w:rPr>
              <w:t>56</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w:t>
            </w:r>
          </w:p>
        </w:tc>
      </w:tr>
      <w:tr>
        <w:trPr>
          <w:trHeight w:val="217"/>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8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4,015</w:t>
            </w:r>
          </w:p>
        </w:tc>
        <w:tc>
          <w:tcPr>
            <w:tcW w:w="5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4,028</w:t>
            </w:r>
          </w:p>
        </w:tc>
      </w:tr>
      <w:tr>
        <w:trPr>
          <w:trHeight w:val="403"/>
        </w:trPr>
        <w:tc>
          <w:tcPr>
            <w:tcW w:w="8280" w:type="dxa"/>
            <w:vAlign w:val="bottom"/>
          </w:tcPr>
          <w:p>
            <w:pPr>
              <w:ind w:left="3600"/>
              <w:spacing w:after="0"/>
              <w:rPr>
                <w:sz w:val="20"/>
                <w:szCs w:val="20"/>
                <w:color w:val="auto"/>
              </w:rPr>
            </w:pPr>
            <w:r>
              <w:rPr>
                <w:rFonts w:ascii="Arial" w:cs="Arial" w:eastAsia="Arial" w:hAnsi="Arial"/>
                <w:sz w:val="18"/>
                <w:szCs w:val="18"/>
                <w:b w:val="1"/>
                <w:bCs w:val="1"/>
                <w:color w:val="auto"/>
              </w:rPr>
              <w:t>Accumulated Other Comprehensive Income (Loss)</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61"/>
        </w:trPr>
        <w:tc>
          <w:tcPr>
            <w:tcW w:w="8280" w:type="dxa"/>
            <w:vAlign w:val="bottom"/>
          </w:tcPr>
          <w:p>
            <w:pPr>
              <w:spacing w:after="0"/>
              <w:rPr>
                <w:sz w:val="22"/>
                <w:szCs w:val="22"/>
                <w:color w:val="auto"/>
              </w:rPr>
            </w:pPr>
          </w:p>
        </w:tc>
        <w:tc>
          <w:tcPr>
            <w:tcW w:w="1880" w:type="dxa"/>
            <w:vAlign w:val="bottom"/>
            <w:gridSpan w:val="2"/>
          </w:tcPr>
          <w:p>
            <w:pPr>
              <w:ind w:left="46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w w:val="93"/>
              </w:rPr>
              <w:t>September 30,</w:t>
            </w:r>
          </w:p>
        </w:tc>
      </w:tr>
      <w:tr>
        <w:trPr>
          <w:trHeight w:val="159"/>
        </w:trPr>
        <w:tc>
          <w:tcPr>
            <w:tcW w:w="82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jc w:val="right"/>
              <w:ind w:right="814"/>
              <w:spacing w:after="0" w:line="159"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w w:val="96"/>
              </w:rPr>
              <w:t>2012</w:t>
            </w:r>
          </w:p>
        </w:tc>
      </w:tr>
      <w:tr>
        <w:trPr>
          <w:trHeight w:val="210"/>
        </w:trPr>
        <w:tc>
          <w:tcPr>
            <w:tcW w:w="82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derivative financial instruments</w:t>
            </w:r>
          </w:p>
        </w:tc>
        <w:tc>
          <w:tcPr>
            <w:tcW w:w="86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(5)</w:t>
            </w:r>
          </w:p>
        </w:tc>
        <w:tc>
          <w:tcPr>
            <w:tcW w:w="58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860" w:type="dxa"/>
            <w:vAlign w:val="bottom"/>
          </w:tcPr>
          <w:p>
            <w:pPr>
              <w:spacing w:after="0"/>
              <w:rPr>
                <w:sz w:val="18"/>
                <w:szCs w:val="18"/>
                <w:color w:val="auto"/>
              </w:rPr>
            </w:pPr>
          </w:p>
        </w:tc>
        <w:tc>
          <w:tcPr>
            <w:tcW w:w="1020" w:type="dxa"/>
            <w:vAlign w:val="bottom"/>
          </w:tcPr>
          <w:p>
            <w:pPr>
              <w:jc w:val="right"/>
              <w:ind w:right="494"/>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86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(47)</w:t>
            </w:r>
          </w:p>
        </w:tc>
        <w:tc>
          <w:tcPr>
            <w:tcW w:w="5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r>
      <w:tr>
        <w:trPr>
          <w:trHeight w:val="217"/>
        </w:trPr>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w w:val="99"/>
              </w:rPr>
              <w:t>(103)</w:t>
            </w: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r>
      <w:tr>
        <w:trPr>
          <w:trHeight w:val="363"/>
        </w:trPr>
        <w:tc>
          <w:tcPr>
            <w:tcW w:w="8280" w:type="dxa"/>
            <w:vAlign w:val="bottom"/>
          </w:tcPr>
          <w:p>
            <w:pPr>
              <w:ind w:left="5620"/>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jc w:val="right"/>
              <w:ind w:right="2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color w:val="auto"/>
                <w:w w:val="96"/>
              </w:rPr>
              <w:t>2013</w:t>
            </w:r>
          </w:p>
        </w:tc>
        <w:tc>
          <w:tcPr>
            <w:tcW w:w="90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w w:val="97"/>
              </w:rPr>
              <w:t>1,319</w:t>
            </w:r>
          </w:p>
        </w:tc>
        <w:tc>
          <w:tcPr>
            <w:tcW w:w="900" w:type="dxa"/>
            <w:vAlign w:val="bottom"/>
            <w:gridSpan w:val="2"/>
            <w:shd w:val="clear" w:color="auto" w:fill="E5E5E5"/>
          </w:tcPr>
          <w:p>
            <w:pPr>
              <w:jc w:val="right"/>
              <w:ind w:right="14"/>
              <w:spacing w:after="0"/>
              <w:rPr>
                <w:sz w:val="20"/>
                <w:szCs w:val="20"/>
                <w:color w:val="auto"/>
              </w:rPr>
            </w:pPr>
            <w:r>
              <w:rPr>
                <w:rFonts w:ascii="Arial" w:cs="Arial" w:eastAsia="Arial" w:hAnsi="Arial"/>
                <w:sz w:val="18"/>
                <w:szCs w:val="18"/>
                <w:color w:val="auto"/>
              </w:rPr>
              <w:t>$ 2,687</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w w:val="97"/>
              </w:rPr>
              <w:t>1,045</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520" w:type="dxa"/>
            <w:vAlign w:val="bottom"/>
          </w:tcPr>
          <w:p>
            <w:pPr>
              <w:spacing w:after="0"/>
              <w:rPr>
                <w:sz w:val="18"/>
                <w:szCs w:val="18"/>
                <w:color w:val="auto"/>
              </w:rPr>
            </w:pPr>
          </w:p>
        </w:tc>
        <w:tc>
          <w:tcPr>
            <w:tcW w:w="760" w:type="dxa"/>
            <w:vAlign w:val="bottom"/>
          </w:tcPr>
          <w:p>
            <w:pPr>
              <w:jc w:val="right"/>
              <w:ind w:right="218"/>
              <w:spacing w:after="0"/>
              <w:rPr>
                <w:sz w:val="20"/>
                <w:szCs w:val="20"/>
                <w:color w:val="auto"/>
              </w:rPr>
            </w:pPr>
            <w:r>
              <w:rPr>
                <w:rFonts w:ascii="Arial" w:cs="Arial" w:eastAsia="Arial" w:hAnsi="Arial"/>
                <w:sz w:val="18"/>
                <w:szCs w:val="18"/>
                <w:color w:val="auto"/>
                <w:w w:val="97"/>
              </w:rPr>
              <w:t>5,945</w:t>
            </w:r>
          </w:p>
        </w:tc>
        <w:tc>
          <w:tcPr>
            <w:tcW w:w="40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7,255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compensation expense</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7</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520" w:type="dxa"/>
            <w:vAlign w:val="bottom"/>
          </w:tcPr>
          <w:p>
            <w:pPr>
              <w:spacing w:after="0"/>
              <w:rPr>
                <w:sz w:val="18"/>
                <w:szCs w:val="18"/>
                <w:color w:val="auto"/>
              </w:rPr>
            </w:pPr>
          </w:p>
        </w:tc>
        <w:tc>
          <w:tcPr>
            <w:tcW w:w="760" w:type="dxa"/>
            <w:vAlign w:val="bottom"/>
          </w:tcPr>
          <w:p>
            <w:pPr>
              <w:jc w:val="right"/>
              <w:ind w:right="218"/>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73</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20" w:type="dxa"/>
            <w:vAlign w:val="bottom"/>
          </w:tcPr>
          <w:p>
            <w:pPr>
              <w:spacing w:after="0"/>
              <w:rPr>
                <w:sz w:val="18"/>
                <w:szCs w:val="18"/>
                <w:color w:val="auto"/>
              </w:rPr>
            </w:pPr>
          </w:p>
        </w:tc>
        <w:tc>
          <w:tcPr>
            <w:tcW w:w="760" w:type="dxa"/>
            <w:vAlign w:val="bottom"/>
          </w:tcPr>
          <w:p>
            <w:pPr>
              <w:jc w:val="right"/>
              <w:ind w:right="218"/>
              <w:spacing w:after="0"/>
              <w:rPr>
                <w:sz w:val="20"/>
                <w:szCs w:val="20"/>
                <w:color w:val="auto"/>
              </w:rPr>
            </w:pPr>
            <w:r>
              <w:rPr>
                <w:rFonts w:ascii="Arial" w:cs="Arial" w:eastAsia="Arial" w:hAnsi="Arial"/>
                <w:sz w:val="18"/>
                <w:szCs w:val="18"/>
                <w:color w:val="auto"/>
              </w:rPr>
              <w:t>347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current and noncurrent receivables, net</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Change in film and television costs</w:t>
            </w:r>
          </w:p>
        </w:tc>
        <w:tc>
          <w:tcPr>
            <w:tcW w:w="520" w:type="dxa"/>
            <w:vAlign w:val="bottom"/>
          </w:tcPr>
          <w:p>
            <w:pPr>
              <w:spacing w:after="0"/>
              <w:rPr>
                <w:sz w:val="18"/>
                <w:szCs w:val="18"/>
                <w:color w:val="auto"/>
              </w:rPr>
            </w:pPr>
          </w:p>
        </w:tc>
        <w:tc>
          <w:tcPr>
            <w:tcW w:w="760" w:type="dxa"/>
            <w:vAlign w:val="bottom"/>
          </w:tcPr>
          <w:p>
            <w:pPr>
              <w:jc w:val="right"/>
              <w:ind w:right="158"/>
              <w:spacing w:after="0"/>
              <w:rPr>
                <w:sz w:val="20"/>
                <w:szCs w:val="20"/>
                <w:color w:val="auto"/>
              </w:rPr>
            </w:pPr>
            <w:r>
              <w:rPr>
                <w:rFonts w:ascii="Arial" w:cs="Arial" w:eastAsia="Arial" w:hAnsi="Arial"/>
                <w:sz w:val="18"/>
                <w:szCs w:val="18"/>
                <w:color w:val="auto"/>
                <w:w w:val="87"/>
              </w:rPr>
              <w:t>(5,577)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596</w:t>
            </w: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w w:val="97"/>
              </w:rPr>
              <w:t>3,734</w:t>
            </w:r>
          </w:p>
        </w:tc>
        <w:tc>
          <w:tcPr>
            <w:tcW w:w="900" w:type="dxa"/>
            <w:vAlign w:val="bottom"/>
            <w:tcBorders>
              <w:bottom w:val="single" w:sz="8" w:color="auto"/>
            </w:tcBorders>
            <w:gridSpan w:val="2"/>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$ 2,529</w:t>
            </w:r>
          </w:p>
        </w:tc>
        <w:tc>
          <w:tcPr>
            <w:tcW w:w="0" w:type="dxa"/>
            <w:vAlign w:val="bottom"/>
          </w:tcPr>
          <w:p>
            <w:pPr>
              <w:spacing w:after="0"/>
              <w:rPr>
                <w:sz w:val="1"/>
                <w:szCs w:val="1"/>
                <w:color w:val="auto"/>
              </w:rPr>
            </w:pPr>
          </w:p>
        </w:tc>
      </w:tr>
      <w:tr>
        <w:trPr>
          <w:trHeight w:val="403"/>
        </w:trPr>
        <w:tc>
          <w:tcPr>
            <w:tcW w:w="9240" w:type="dxa"/>
            <w:vAlign w:val="bottom"/>
            <w:gridSpan w:val="2"/>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gridSpan w:val="3"/>
          </w:tcPr>
          <w:p>
            <w:pPr>
              <w:jc w:val="right"/>
              <w:ind w:right="27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color w:val="auto"/>
                <w:w w:val="96"/>
              </w:rPr>
              <w:t>2013</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262</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161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monetize certain of our accounts receivable under programs with a syndicate of banks. We transfer, at fair value, a significant portion of our accounts receivable that are to be monetized to NBCUniversal Receivables Funding LLC (“Funding LLC”), a wholly owned subsidiary of ours. The operating activities of Funding LLC are restricted to the transfer and sale of the monetized receivables to a third-party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included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September 30, 2013 and December 31, 2012.</w:t>
      </w:r>
    </w:p>
    <w:p>
      <w:pPr>
        <w:spacing w:after="0" w:line="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on our condensed consolidated balance sheet as of September 30, 2013 and December 31, 2012. The servicing fees are recorded as a component of other income (expense), net.</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cash payments on transfers that are included within net cash provided by operating activities in our condensed consolidated statement of cash flows were $367 million for the nine months ended September 30, 2013. The net cash proceeds on transfers that are included within net cash provided by operating activities in our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condensed consolidated statement of cash flows were $70 million for the nine months ended September 30, 2012. The receivables monetization program did not have a material effect on our condensed consolidated statement of income for the periods presented.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720" w:type="dxa"/>
            <w:vAlign w:val="bottom"/>
            <w:gridSpan w:val="2"/>
          </w:tcPr>
          <w:p>
            <w:pPr>
              <w:ind w:left="350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w w:val="90"/>
              </w:rPr>
              <w:t>December 31,</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19"/>
              <w:spacing w:after="0" w:line="159" w:lineRule="exact"/>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rPr>
              <w:t>2012</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660" w:type="dxa"/>
            <w:vAlign w:val="bottom"/>
            <w:shd w:val="clear" w:color="auto" w:fill="E5E5E5"/>
          </w:tcPr>
          <w:p>
            <w:pPr>
              <w:ind w:left="35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359"/>
              <w:spacing w:after="0"/>
              <w:rPr>
                <w:sz w:val="20"/>
                <w:szCs w:val="20"/>
                <w:color w:val="auto"/>
              </w:rPr>
            </w:pPr>
            <w:r>
              <w:rPr>
                <w:rFonts w:ascii="Arial" w:cs="Arial" w:eastAsia="Arial" w:hAnsi="Arial"/>
                <w:sz w:val="18"/>
                <w:szCs w:val="18"/>
                <w:color w:val="auto"/>
              </w:rPr>
              <w:t>642</w:t>
            </w:r>
          </w:p>
        </w:tc>
        <w:tc>
          <w:tcPr>
            <w:tcW w:w="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791</w:t>
            </w:r>
          </w:p>
        </w:tc>
      </w:tr>
      <w:tr>
        <w:trPr>
          <w:trHeight w:val="216"/>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660" w:type="dxa"/>
            <w:vAlign w:val="bottom"/>
            <w:tcBorders>
              <w:bottom w:val="single" w:sz="8" w:color="auto"/>
            </w:tcBorders>
          </w:tcPr>
          <w:p>
            <w:pPr>
              <w:ind w:left="3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rPr>
              <w:t>217</w:t>
            </w:r>
          </w:p>
        </w:tc>
        <w:tc>
          <w:tcPr>
            <w:tcW w:w="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$616 million and $882 million payable to our monetization programs as of September 30, 2013 and December 31, 2012, respectively. These amounts represent cash receipts that were not yet remitted to the monetization programs as of the balance sheet date and are recorded to accounts payable and accrued expenses related to trade creditors.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our cable television production operations, and our related digital media properties.</w:t>
      </w:r>
    </w:p>
    <w:p>
      <w:pPr>
        <w:spacing w:after="0" w:line="25"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filmed entertainment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color w:val="auto"/>
              </w:rPr>
              <w:t>Three Months Ended September 30, 2013</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170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60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8"/>
              </w:rPr>
              <w:t>Operating Income (Loss) Before</w:t>
            </w:r>
          </w:p>
        </w:tc>
        <w:tc>
          <w:tcPr>
            <w:tcW w:w="1760" w:type="dxa"/>
            <w:vAlign w:val="bottom"/>
            <w:gridSpan w:val="2"/>
          </w:tcPr>
          <w:p>
            <w:pPr>
              <w:ind w:left="360"/>
              <w:spacing w:after="0" w:line="129" w:lineRule="exact"/>
              <w:rPr>
                <w:sz w:val="20"/>
                <w:szCs w:val="20"/>
                <w:color w:val="auto"/>
              </w:rPr>
            </w:pPr>
            <w:r>
              <w:rPr>
                <w:rFonts w:ascii="Arial" w:cs="Arial" w:eastAsia="Arial" w:hAnsi="Arial"/>
                <w:sz w:val="14"/>
                <w:szCs w:val="14"/>
                <w:color w:val="auto"/>
              </w:rPr>
              <w:t>Depreciation and</w:t>
            </w:r>
          </w:p>
        </w:tc>
        <w:tc>
          <w:tcPr>
            <w:tcW w:w="380" w:type="dxa"/>
            <w:vAlign w:val="bottom"/>
          </w:tcPr>
          <w:p>
            <w:pPr>
              <w:spacing w:after="0"/>
              <w:rPr>
                <w:sz w:val="11"/>
                <w:szCs w:val="11"/>
                <w:color w:val="auto"/>
              </w:rPr>
            </w:pPr>
          </w:p>
        </w:tc>
        <w:tc>
          <w:tcPr>
            <w:tcW w:w="1100" w:type="dxa"/>
            <w:vAlign w:val="bottom"/>
          </w:tcPr>
          <w:p>
            <w:pPr>
              <w:jc w:val="right"/>
              <w:ind w:right="455"/>
              <w:spacing w:after="0" w:line="129" w:lineRule="exact"/>
              <w:rPr>
                <w:sz w:val="20"/>
                <w:szCs w:val="20"/>
                <w:color w:val="auto"/>
              </w:rPr>
            </w:pPr>
            <w:r>
              <w:rPr>
                <w:rFonts w:ascii="Arial" w:cs="Arial" w:eastAsia="Arial" w:hAnsi="Arial"/>
                <w:sz w:val="14"/>
                <w:szCs w:val="14"/>
                <w:color w:val="auto"/>
                <w:w w:val="87"/>
              </w:rPr>
              <w:t>Operating</w:t>
            </w:r>
          </w:p>
        </w:tc>
        <w:tc>
          <w:tcPr>
            <w:tcW w:w="5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vMerge w:val="continue"/>
          </w:tcPr>
          <w:p>
            <w:pPr>
              <w:spacing w:after="0"/>
              <w:rPr>
                <w:sz w:val="15"/>
                <w:szCs w:val="15"/>
                <w:color w:val="auto"/>
              </w:rPr>
            </w:pPr>
          </w:p>
        </w:tc>
        <w:tc>
          <w:tcPr>
            <w:tcW w:w="2600" w:type="dxa"/>
            <w:vAlign w:val="bottom"/>
            <w:tcBorders>
              <w:bottom w:val="single" w:sz="8" w:color="auto"/>
            </w:tcBorders>
            <w:gridSpan w:val="2"/>
          </w:tcPr>
          <w:p>
            <w:pPr>
              <w:ind w:left="3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w w:val="89"/>
              </w:rPr>
              <w:t>Amortization</w:t>
            </w:r>
          </w:p>
        </w:tc>
        <w:tc>
          <w:tcPr>
            <w:tcW w:w="1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Income (Loss)</w:t>
            </w:r>
          </w:p>
        </w:tc>
        <w:tc>
          <w:tcPr>
            <w:tcW w:w="11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2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2,239</w:t>
            </w:r>
          </w:p>
        </w:tc>
        <w:tc>
          <w:tcPr>
            <w:tcW w:w="8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853</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183</w:t>
            </w:r>
          </w:p>
        </w:tc>
        <w:tc>
          <w:tcPr>
            <w:tcW w:w="380" w:type="dxa"/>
            <w:vAlign w:val="bottom"/>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670</w:t>
            </w:r>
          </w:p>
        </w:tc>
        <w:tc>
          <w:tcPr>
            <w:tcW w:w="500" w:type="dxa"/>
            <w:vAlign w:val="bottom"/>
            <w:shd w:val="clear" w:color="auto" w:fill="E5E5E5"/>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Broadcast Television</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1,644</w:t>
            </w:r>
          </w:p>
        </w:tc>
        <w:tc>
          <w:tcPr>
            <w:tcW w:w="820" w:type="dxa"/>
            <w:vAlign w:val="bottom"/>
          </w:tcPr>
          <w:p>
            <w:pPr>
              <w:spacing w:after="0"/>
              <w:rPr>
                <w:sz w:val="18"/>
                <w:szCs w:val="18"/>
                <w:color w:val="auto"/>
              </w:rPr>
            </w:pPr>
          </w:p>
        </w:tc>
        <w:tc>
          <w:tcPr>
            <w:tcW w:w="1780" w:type="dxa"/>
            <w:vAlign w:val="bottom"/>
          </w:tcPr>
          <w:p>
            <w:pPr>
              <w:jc w:val="right"/>
              <w:ind w:right="335"/>
              <w:spacing w:after="0"/>
              <w:rPr>
                <w:sz w:val="20"/>
                <w:szCs w:val="20"/>
                <w:color w:val="auto"/>
              </w:rPr>
            </w:pPr>
            <w:r>
              <w:rPr>
                <w:rFonts w:ascii="Arial" w:cs="Arial" w:eastAsia="Arial" w:hAnsi="Arial"/>
                <w:sz w:val="18"/>
                <w:szCs w:val="18"/>
                <w:color w:val="auto"/>
              </w:rPr>
              <w:t>34</w:t>
            </w:r>
          </w:p>
        </w:tc>
        <w:tc>
          <w:tcPr>
            <w:tcW w:w="460" w:type="dxa"/>
            <w:vAlign w:val="bottom"/>
          </w:tcPr>
          <w:p>
            <w:pPr>
              <w:spacing w:after="0"/>
              <w:rPr>
                <w:sz w:val="18"/>
                <w:szCs w:val="18"/>
                <w:color w:val="auto"/>
              </w:rPr>
            </w:pPr>
          </w:p>
        </w:tc>
        <w:tc>
          <w:tcPr>
            <w:tcW w:w="1300" w:type="dxa"/>
            <w:vAlign w:val="bottom"/>
          </w:tcPr>
          <w:p>
            <w:pPr>
              <w:jc w:val="right"/>
              <w:ind w:right="395"/>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1,400</w:t>
            </w:r>
          </w:p>
        </w:tc>
        <w:tc>
          <w:tcPr>
            <w:tcW w:w="820" w:type="dxa"/>
            <w:vAlign w:val="bottom"/>
            <w:shd w:val="clear" w:color="auto" w:fill="E5E5E5"/>
          </w:tcPr>
          <w:p>
            <w:pPr>
              <w:spacing w:after="0"/>
              <w:rPr>
                <w:sz w:val="18"/>
                <w:szCs w:val="18"/>
                <w:color w:val="auto"/>
              </w:rPr>
            </w:pPr>
          </w:p>
        </w:tc>
        <w:tc>
          <w:tcPr>
            <w:tcW w:w="17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185</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Theme Parks</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661</w:t>
            </w:r>
          </w:p>
        </w:tc>
        <w:tc>
          <w:tcPr>
            <w:tcW w:w="820" w:type="dxa"/>
            <w:vAlign w:val="bottom"/>
          </w:tcPr>
          <w:p>
            <w:pPr>
              <w:spacing w:after="0"/>
              <w:rPr>
                <w:sz w:val="18"/>
                <w:szCs w:val="18"/>
                <w:color w:val="auto"/>
              </w:rPr>
            </w:pPr>
          </w:p>
        </w:tc>
        <w:tc>
          <w:tcPr>
            <w:tcW w:w="1780" w:type="dxa"/>
            <w:vAlign w:val="bottom"/>
          </w:tcPr>
          <w:p>
            <w:pPr>
              <w:jc w:val="right"/>
              <w:ind w:right="335"/>
              <w:spacing w:after="0"/>
              <w:rPr>
                <w:sz w:val="20"/>
                <w:szCs w:val="20"/>
                <w:color w:val="auto"/>
              </w:rPr>
            </w:pPr>
            <w:r>
              <w:rPr>
                <w:rFonts w:ascii="Arial" w:cs="Arial" w:eastAsia="Arial" w:hAnsi="Arial"/>
                <w:sz w:val="18"/>
                <w:szCs w:val="18"/>
                <w:color w:val="auto"/>
              </w:rPr>
              <w:t>343</w:t>
            </w:r>
          </w:p>
        </w:tc>
        <w:tc>
          <w:tcPr>
            <w:tcW w:w="460" w:type="dxa"/>
            <w:vAlign w:val="bottom"/>
          </w:tcPr>
          <w:p>
            <w:pPr>
              <w:spacing w:after="0"/>
              <w:rPr>
                <w:sz w:val="18"/>
                <w:szCs w:val="18"/>
                <w:color w:val="auto"/>
              </w:rPr>
            </w:pPr>
          </w:p>
        </w:tc>
        <w:tc>
          <w:tcPr>
            <w:tcW w:w="1300" w:type="dxa"/>
            <w:vAlign w:val="bottom"/>
          </w:tcPr>
          <w:p>
            <w:pPr>
              <w:jc w:val="right"/>
              <w:ind w:right="395"/>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270</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7</w:t>
            </w:r>
          </w:p>
        </w:tc>
        <w:tc>
          <w:tcPr>
            <w:tcW w:w="820" w:type="dxa"/>
            <w:vAlign w:val="bottom"/>
            <w:shd w:val="clear" w:color="auto" w:fill="E5E5E5"/>
          </w:tcPr>
          <w:p>
            <w:pPr>
              <w:spacing w:after="0"/>
              <w:rPr>
                <w:sz w:val="18"/>
                <w:szCs w:val="18"/>
                <w:color w:val="auto"/>
              </w:rPr>
            </w:pPr>
          </w:p>
        </w:tc>
        <w:tc>
          <w:tcPr>
            <w:tcW w:w="17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(167)</w:t>
            </w:r>
          </w:p>
        </w:tc>
        <w:tc>
          <w:tcPr>
            <w:tcW w:w="46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69</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(236)</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(100)</w:t>
            </w:r>
          </w:p>
        </w:tc>
        <w:tc>
          <w:tcPr>
            <w:tcW w:w="8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w w:val="97"/>
              </w:rPr>
              <w:t>5,851</w:t>
            </w:r>
          </w:p>
        </w:tc>
        <w:tc>
          <w:tcPr>
            <w:tcW w:w="8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1,250</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352</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898</w:t>
            </w:r>
          </w:p>
        </w:tc>
        <w:tc>
          <w:tcPr>
            <w:tcW w:w="50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284</w:t>
            </w:r>
          </w:p>
        </w:tc>
        <w:tc>
          <w:tcPr>
            <w:tcW w:w="0" w:type="dxa"/>
            <w:vAlign w:val="bottom"/>
          </w:tcPr>
          <w:p>
            <w:pPr>
              <w:spacing w:after="0"/>
              <w:rPr>
                <w:sz w:val="1"/>
                <w:szCs w:val="1"/>
                <w:color w:val="auto"/>
              </w:rPr>
            </w:pPr>
          </w:p>
        </w:tc>
      </w:tr>
      <w:tr>
        <w:trPr>
          <w:trHeight w:val="284"/>
        </w:trPr>
        <w:tc>
          <w:tcPr>
            <w:tcW w:w="27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color w:val="auto"/>
              </w:rPr>
              <w:t>Three Months Ended September 30, 2012</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170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60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8"/>
              </w:rPr>
              <w:t>Operating Income (Loss) Before</w:t>
            </w:r>
          </w:p>
        </w:tc>
        <w:tc>
          <w:tcPr>
            <w:tcW w:w="1760" w:type="dxa"/>
            <w:vAlign w:val="bottom"/>
            <w:gridSpan w:val="2"/>
          </w:tcPr>
          <w:p>
            <w:pPr>
              <w:ind w:left="360"/>
              <w:spacing w:after="0" w:line="129" w:lineRule="exact"/>
              <w:rPr>
                <w:sz w:val="20"/>
                <w:szCs w:val="20"/>
                <w:color w:val="auto"/>
              </w:rPr>
            </w:pPr>
            <w:r>
              <w:rPr>
                <w:rFonts w:ascii="Arial" w:cs="Arial" w:eastAsia="Arial" w:hAnsi="Arial"/>
                <w:sz w:val="14"/>
                <w:szCs w:val="14"/>
                <w:color w:val="auto"/>
              </w:rPr>
              <w:t>Depreciation and</w:t>
            </w:r>
          </w:p>
        </w:tc>
        <w:tc>
          <w:tcPr>
            <w:tcW w:w="380" w:type="dxa"/>
            <w:vAlign w:val="bottom"/>
          </w:tcPr>
          <w:p>
            <w:pPr>
              <w:spacing w:after="0"/>
              <w:rPr>
                <w:sz w:val="11"/>
                <w:szCs w:val="11"/>
                <w:color w:val="auto"/>
              </w:rPr>
            </w:pPr>
          </w:p>
        </w:tc>
        <w:tc>
          <w:tcPr>
            <w:tcW w:w="1100" w:type="dxa"/>
            <w:vAlign w:val="bottom"/>
          </w:tcPr>
          <w:p>
            <w:pPr>
              <w:jc w:val="right"/>
              <w:ind w:right="455"/>
              <w:spacing w:after="0" w:line="129" w:lineRule="exact"/>
              <w:rPr>
                <w:sz w:val="20"/>
                <w:szCs w:val="20"/>
                <w:color w:val="auto"/>
              </w:rPr>
            </w:pPr>
            <w:r>
              <w:rPr>
                <w:rFonts w:ascii="Arial" w:cs="Arial" w:eastAsia="Arial" w:hAnsi="Arial"/>
                <w:sz w:val="14"/>
                <w:szCs w:val="14"/>
                <w:color w:val="auto"/>
                <w:w w:val="87"/>
              </w:rPr>
              <w:t>Operating</w:t>
            </w:r>
          </w:p>
        </w:tc>
        <w:tc>
          <w:tcPr>
            <w:tcW w:w="5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vMerge w:val="continue"/>
          </w:tcPr>
          <w:p>
            <w:pPr>
              <w:spacing w:after="0"/>
              <w:rPr>
                <w:sz w:val="15"/>
                <w:szCs w:val="15"/>
                <w:color w:val="auto"/>
              </w:rPr>
            </w:pPr>
          </w:p>
        </w:tc>
        <w:tc>
          <w:tcPr>
            <w:tcW w:w="2600" w:type="dxa"/>
            <w:vAlign w:val="bottom"/>
            <w:tcBorders>
              <w:bottom w:val="single" w:sz="8" w:color="auto"/>
            </w:tcBorders>
            <w:gridSpan w:val="2"/>
          </w:tcPr>
          <w:p>
            <w:pPr>
              <w:ind w:left="3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w w:val="89"/>
              </w:rPr>
              <w:t>Amortization</w:t>
            </w:r>
          </w:p>
        </w:tc>
        <w:tc>
          <w:tcPr>
            <w:tcW w:w="1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Income (Loss)</w:t>
            </w:r>
          </w:p>
        </w:tc>
        <w:tc>
          <w:tcPr>
            <w:tcW w:w="11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2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2,152</w:t>
            </w:r>
          </w:p>
        </w:tc>
        <w:tc>
          <w:tcPr>
            <w:tcW w:w="82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809</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190</w:t>
            </w:r>
          </w:p>
        </w:tc>
        <w:tc>
          <w:tcPr>
            <w:tcW w:w="380" w:type="dxa"/>
            <w:vAlign w:val="bottom"/>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619</w:t>
            </w:r>
          </w:p>
        </w:tc>
        <w:tc>
          <w:tcPr>
            <w:tcW w:w="500" w:type="dxa"/>
            <w:vAlign w:val="bottom"/>
            <w:shd w:val="clear" w:color="auto" w:fill="E5E5E5"/>
          </w:tcPr>
          <w:p>
            <w:pPr>
              <w:ind w:left="3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Broadcast Television</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2,790</w:t>
            </w:r>
          </w:p>
        </w:tc>
        <w:tc>
          <w:tcPr>
            <w:tcW w:w="820" w:type="dxa"/>
            <w:vAlign w:val="bottom"/>
          </w:tcPr>
          <w:p>
            <w:pPr>
              <w:spacing w:after="0"/>
              <w:rPr>
                <w:sz w:val="18"/>
                <w:szCs w:val="18"/>
                <w:color w:val="auto"/>
              </w:rPr>
            </w:pPr>
          </w:p>
        </w:tc>
        <w:tc>
          <w:tcPr>
            <w:tcW w:w="1780" w:type="dxa"/>
            <w:vAlign w:val="bottom"/>
          </w:tcPr>
          <w:p>
            <w:pPr>
              <w:jc w:val="right"/>
              <w:ind w:right="335"/>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8"/>
                <w:szCs w:val="18"/>
                <w:color w:val="auto"/>
              </w:rPr>
            </w:pPr>
          </w:p>
        </w:tc>
        <w:tc>
          <w:tcPr>
            <w:tcW w:w="1300" w:type="dxa"/>
            <w:vAlign w:val="bottom"/>
          </w:tcPr>
          <w:p>
            <w:pPr>
              <w:jc w:val="right"/>
              <w:ind w:right="395"/>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1,355</w:t>
            </w:r>
          </w:p>
        </w:tc>
        <w:tc>
          <w:tcPr>
            <w:tcW w:w="820" w:type="dxa"/>
            <w:vAlign w:val="bottom"/>
            <w:shd w:val="clear" w:color="auto" w:fill="E5E5E5"/>
          </w:tcPr>
          <w:p>
            <w:pPr>
              <w:spacing w:after="0"/>
              <w:rPr>
                <w:sz w:val="18"/>
                <w:szCs w:val="18"/>
                <w:color w:val="auto"/>
              </w:rPr>
            </w:pPr>
          </w:p>
        </w:tc>
        <w:tc>
          <w:tcPr>
            <w:tcW w:w="178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72</w:t>
            </w:r>
          </w:p>
        </w:tc>
        <w:tc>
          <w:tcPr>
            <w:tcW w:w="46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68</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Theme Parks</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614</w:t>
            </w:r>
          </w:p>
        </w:tc>
        <w:tc>
          <w:tcPr>
            <w:tcW w:w="820" w:type="dxa"/>
            <w:vAlign w:val="bottom"/>
          </w:tcPr>
          <w:p>
            <w:pPr>
              <w:spacing w:after="0"/>
              <w:rPr>
                <w:sz w:val="18"/>
                <w:szCs w:val="18"/>
                <w:color w:val="auto"/>
              </w:rPr>
            </w:pPr>
          </w:p>
        </w:tc>
        <w:tc>
          <w:tcPr>
            <w:tcW w:w="1780" w:type="dxa"/>
            <w:vAlign w:val="bottom"/>
          </w:tcPr>
          <w:p>
            <w:pPr>
              <w:jc w:val="right"/>
              <w:ind w:right="335"/>
              <w:spacing w:after="0"/>
              <w:rPr>
                <w:sz w:val="20"/>
                <w:szCs w:val="20"/>
                <w:color w:val="auto"/>
              </w:rPr>
            </w:pPr>
            <w:r>
              <w:rPr>
                <w:rFonts w:ascii="Arial" w:cs="Arial" w:eastAsia="Arial" w:hAnsi="Arial"/>
                <w:sz w:val="18"/>
                <w:szCs w:val="18"/>
                <w:color w:val="auto"/>
              </w:rPr>
              <w:t>316</w:t>
            </w:r>
          </w:p>
        </w:tc>
        <w:tc>
          <w:tcPr>
            <w:tcW w:w="460" w:type="dxa"/>
            <w:vAlign w:val="bottom"/>
          </w:tcPr>
          <w:p>
            <w:pPr>
              <w:spacing w:after="0"/>
              <w:rPr>
                <w:sz w:val="18"/>
                <w:szCs w:val="18"/>
                <w:color w:val="auto"/>
              </w:rPr>
            </w:pPr>
          </w:p>
        </w:tc>
        <w:tc>
          <w:tcPr>
            <w:tcW w:w="1300" w:type="dxa"/>
            <w:vAlign w:val="bottom"/>
          </w:tcPr>
          <w:p>
            <w:pPr>
              <w:jc w:val="right"/>
              <w:ind w:right="395"/>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251</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7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8</w:t>
            </w:r>
          </w:p>
        </w:tc>
        <w:tc>
          <w:tcPr>
            <w:tcW w:w="820" w:type="dxa"/>
            <w:vAlign w:val="bottom"/>
            <w:shd w:val="clear" w:color="auto" w:fill="E5E5E5"/>
          </w:tcPr>
          <w:p>
            <w:pPr>
              <w:spacing w:after="0"/>
              <w:rPr>
                <w:sz w:val="18"/>
                <w:szCs w:val="18"/>
                <w:color w:val="auto"/>
              </w:rPr>
            </w:pPr>
          </w:p>
        </w:tc>
        <w:tc>
          <w:tcPr>
            <w:tcW w:w="178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E5E5E5"/>
          </w:tcPr>
          <w:p>
            <w:pPr>
              <w:spacing w:after="0"/>
              <w:rPr>
                <w:sz w:val="18"/>
                <w:szCs w:val="18"/>
                <w:color w:val="auto"/>
              </w:rPr>
            </w:pPr>
          </w:p>
        </w:tc>
        <w:tc>
          <w:tcPr>
            <w:tcW w:w="130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53</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(196)</w:t>
            </w:r>
          </w:p>
        </w:tc>
        <w:tc>
          <w:tcPr>
            <w:tcW w:w="50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(97)</w:t>
            </w:r>
          </w:p>
        </w:tc>
        <w:tc>
          <w:tcPr>
            <w:tcW w:w="8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7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w w:val="97"/>
              </w:rPr>
              <w:t>6,822</w:t>
            </w:r>
          </w:p>
        </w:tc>
        <w:tc>
          <w:tcPr>
            <w:tcW w:w="8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1,140</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337</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803</w:t>
            </w:r>
          </w:p>
        </w:tc>
        <w:tc>
          <w:tcPr>
            <w:tcW w:w="50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209</w:t>
            </w:r>
          </w:p>
        </w:tc>
        <w:tc>
          <w:tcPr>
            <w:tcW w:w="0" w:type="dxa"/>
            <w:vAlign w:val="bottom"/>
          </w:tcPr>
          <w:p>
            <w:pPr>
              <w:spacing w:after="0"/>
              <w:rPr>
                <w:sz w:val="1"/>
                <w:szCs w:val="1"/>
                <w:color w:val="auto"/>
              </w:rPr>
            </w:pPr>
          </w:p>
        </w:tc>
      </w:tr>
      <w:tr>
        <w:trPr>
          <w:trHeight w:val="363"/>
        </w:trPr>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80" w:type="dxa"/>
            <w:vAlign w:val="bottom"/>
          </w:tcPr>
          <w:p>
            <w:pPr>
              <w:jc w:val="center"/>
              <w:ind w:right="775"/>
              <w:spacing w:after="0"/>
              <w:rPr>
                <w:sz w:val="20"/>
                <w:szCs w:val="20"/>
                <w:color w:val="auto"/>
              </w:rPr>
            </w:pPr>
            <w:r>
              <w:rPr>
                <w:rFonts w:ascii="Arial" w:cs="Arial" w:eastAsia="Arial" w:hAnsi="Arial"/>
                <w:sz w:val="18"/>
                <w:szCs w:val="18"/>
                <w:color w:val="auto"/>
                <w:w w:val="99"/>
              </w:rPr>
              <w:t>13</w:t>
            </w: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color w:val="auto"/>
              </w:rPr>
              <w:t>Nine Months Ended September 30, 2013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ind w:left="52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560" w:type="dxa"/>
            <w:vAlign w:val="bottom"/>
            <w:gridSpan w:val="2"/>
          </w:tcPr>
          <w:p>
            <w:pPr>
              <w:jc w:val="right"/>
              <w:ind w:right="395"/>
              <w:spacing w:after="0" w:line="129" w:lineRule="exact"/>
              <w:rPr>
                <w:sz w:val="20"/>
                <w:szCs w:val="20"/>
                <w:color w:val="auto"/>
              </w:rPr>
            </w:pPr>
            <w:r>
              <w:rPr>
                <w:rFonts w:ascii="Arial" w:cs="Arial" w:eastAsia="Arial" w:hAnsi="Arial"/>
                <w:sz w:val="14"/>
                <w:szCs w:val="14"/>
                <w:color w:val="auto"/>
              </w:rPr>
              <w:t>Operating Income (Loss) Before</w:t>
            </w:r>
          </w:p>
        </w:tc>
        <w:tc>
          <w:tcPr>
            <w:tcW w:w="1700" w:type="dxa"/>
            <w:vAlign w:val="bottom"/>
            <w:gridSpan w:val="2"/>
          </w:tcPr>
          <w:p>
            <w:pPr>
              <w:ind w:left="320"/>
              <w:spacing w:after="0" w:line="129" w:lineRule="exact"/>
              <w:rPr>
                <w:sz w:val="20"/>
                <w:szCs w:val="20"/>
                <w:color w:val="auto"/>
              </w:rPr>
            </w:pPr>
            <w:r>
              <w:rPr>
                <w:rFonts w:ascii="Arial" w:cs="Arial" w:eastAsia="Arial" w:hAnsi="Arial"/>
                <w:sz w:val="14"/>
                <w:szCs w:val="14"/>
                <w:color w:val="auto"/>
              </w:rPr>
              <w:t>Depreciation and</w:t>
            </w:r>
          </w:p>
        </w:tc>
        <w:tc>
          <w:tcPr>
            <w:tcW w:w="380" w:type="dxa"/>
            <w:vAlign w:val="bottom"/>
          </w:tcPr>
          <w:p>
            <w:pPr>
              <w:spacing w:after="0"/>
              <w:rPr>
                <w:sz w:val="11"/>
                <w:szCs w:val="11"/>
                <w:color w:val="auto"/>
              </w:rPr>
            </w:pPr>
          </w:p>
        </w:tc>
        <w:tc>
          <w:tcPr>
            <w:tcW w:w="1100" w:type="dxa"/>
            <w:vAlign w:val="bottom"/>
          </w:tcPr>
          <w:p>
            <w:pPr>
              <w:jc w:val="right"/>
              <w:ind w:right="475"/>
              <w:spacing w:after="0" w:line="129" w:lineRule="exact"/>
              <w:rPr>
                <w:sz w:val="20"/>
                <w:szCs w:val="20"/>
                <w:color w:val="auto"/>
              </w:rPr>
            </w:pPr>
            <w:r>
              <w:rPr>
                <w:rFonts w:ascii="Arial" w:cs="Arial" w:eastAsia="Arial" w:hAnsi="Arial"/>
                <w:sz w:val="14"/>
                <w:szCs w:val="14"/>
                <w:color w:val="auto"/>
                <w:w w:val="84"/>
              </w:rPr>
              <w:t>Operating</w:t>
            </w:r>
          </w:p>
        </w:tc>
        <w:tc>
          <w:tcPr>
            <w:tcW w:w="46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2560" w:type="dxa"/>
            <w:vAlign w:val="bottom"/>
            <w:tcBorders>
              <w:bottom w:val="single" w:sz="8" w:color="auto"/>
            </w:tcBorders>
            <w:gridSpan w:val="2"/>
          </w:tcPr>
          <w:p>
            <w:pPr>
              <w:ind w:left="30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1700" w:type="dxa"/>
            <w:vAlign w:val="bottom"/>
            <w:tcBorders>
              <w:bottom w:val="single" w:sz="8" w:color="auto"/>
            </w:tcBorders>
            <w:gridSpan w:val="2"/>
          </w:tcPr>
          <w:p>
            <w:pPr>
              <w:jc w:val="right"/>
              <w:ind w:right="474"/>
              <w:spacing w:after="0"/>
              <w:rPr>
                <w:sz w:val="20"/>
                <w:szCs w:val="20"/>
                <w:color w:val="auto"/>
              </w:rPr>
            </w:pPr>
            <w:r>
              <w:rPr>
                <w:rFonts w:ascii="Arial" w:cs="Arial" w:eastAsia="Arial" w:hAnsi="Arial"/>
                <w:sz w:val="14"/>
                <w:szCs w:val="14"/>
                <w:color w:val="auto"/>
              </w:rPr>
              <w:t>Amortization</w:t>
            </w:r>
          </w:p>
        </w:tc>
        <w:tc>
          <w:tcPr>
            <w:tcW w:w="14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Income (Loss)</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40" w:type="dxa"/>
            <w:vAlign w:val="bottom"/>
            <w:gridSpan w:val="2"/>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84"/>
              </w:rPr>
              <w:t>6,877</w:t>
            </w:r>
          </w:p>
        </w:tc>
        <w:tc>
          <w:tcPr>
            <w:tcW w:w="11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2,572</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549</w:t>
            </w:r>
          </w:p>
        </w:tc>
        <w:tc>
          <w:tcPr>
            <w:tcW w:w="380" w:type="dxa"/>
            <w:vAlign w:val="bottom"/>
            <w:shd w:val="clear" w:color="auto" w:fill="E5E5E5"/>
          </w:tcPr>
          <w:p>
            <w:pPr>
              <w:ind w:left="26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color w:val="auto"/>
                <w:w w:val="84"/>
              </w:rPr>
              <w:t>4,893</w:t>
            </w:r>
          </w:p>
        </w:tc>
        <w:tc>
          <w:tcPr>
            <w:tcW w:w="1100" w:type="dxa"/>
            <w:vAlign w:val="bottom"/>
          </w:tcPr>
          <w:p>
            <w:pPr>
              <w:spacing w:after="0"/>
              <w:rPr>
                <w:sz w:val="18"/>
                <w:szCs w:val="18"/>
                <w:color w:val="auto"/>
              </w:rPr>
            </w:pPr>
          </w:p>
        </w:tc>
        <w:tc>
          <w:tcPr>
            <w:tcW w:w="1460" w:type="dxa"/>
            <w:vAlign w:val="bottom"/>
          </w:tcPr>
          <w:p>
            <w:pPr>
              <w:jc w:val="right"/>
              <w:ind w:right="355"/>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131</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84"/>
              </w:rPr>
              <w:t>4,004</w:t>
            </w:r>
          </w:p>
        </w:tc>
        <w:tc>
          <w:tcPr>
            <w:tcW w:w="11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355"/>
              <w:spacing w:after="0"/>
              <w:rPr>
                <w:sz w:val="20"/>
                <w:szCs w:val="20"/>
                <w:color w:val="auto"/>
              </w:rPr>
            </w:pPr>
            <w:r>
              <w:rPr>
                <w:rFonts w:ascii="Arial" w:cs="Arial" w:eastAsia="Arial" w:hAnsi="Arial"/>
                <w:sz w:val="18"/>
                <w:szCs w:val="18"/>
                <w:color w:val="auto"/>
              </w:rPr>
              <w:t>291</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11</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color w:val="auto"/>
                <w:w w:val="84"/>
              </w:rPr>
              <w:t>1,669</w:t>
            </w:r>
          </w:p>
        </w:tc>
        <w:tc>
          <w:tcPr>
            <w:tcW w:w="1100" w:type="dxa"/>
            <w:vAlign w:val="bottom"/>
          </w:tcPr>
          <w:p>
            <w:pPr>
              <w:spacing w:after="0"/>
              <w:rPr>
                <w:sz w:val="18"/>
                <w:szCs w:val="18"/>
                <w:color w:val="auto"/>
              </w:rPr>
            </w:pPr>
          </w:p>
        </w:tc>
        <w:tc>
          <w:tcPr>
            <w:tcW w:w="1460" w:type="dxa"/>
            <w:vAlign w:val="bottom"/>
          </w:tcPr>
          <w:p>
            <w:pPr>
              <w:jc w:val="right"/>
              <w:ind w:right="355"/>
              <w:spacing w:after="0"/>
              <w:rPr>
                <w:sz w:val="20"/>
                <w:szCs w:val="20"/>
                <w:color w:val="auto"/>
              </w:rPr>
            </w:pPr>
            <w:r>
              <w:rPr>
                <w:rFonts w:ascii="Arial" w:cs="Arial" w:eastAsia="Arial" w:hAnsi="Arial"/>
                <w:sz w:val="18"/>
                <w:szCs w:val="18"/>
                <w:color w:val="auto"/>
              </w:rPr>
              <w:t>747</w:t>
            </w:r>
          </w:p>
        </w:tc>
        <w:tc>
          <w:tcPr>
            <w:tcW w:w="460" w:type="dxa"/>
            <w:vAlign w:val="bottom"/>
          </w:tcPr>
          <w:p>
            <w:pPr>
              <w:spacing w:after="0"/>
              <w:rPr>
                <w:sz w:val="18"/>
                <w:szCs w:val="18"/>
                <w:color w:val="auto"/>
              </w:rPr>
            </w:pPr>
          </w:p>
        </w:tc>
        <w:tc>
          <w:tcPr>
            <w:tcW w:w="1240" w:type="dxa"/>
            <w:vAlign w:val="bottom"/>
          </w:tcPr>
          <w:p>
            <w:pPr>
              <w:jc w:val="right"/>
              <w:ind w:right="374"/>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8"/>
                <w:szCs w:val="18"/>
                <w:color w:val="auto"/>
              </w:rPr>
            </w:pPr>
          </w:p>
        </w:tc>
        <w:tc>
          <w:tcPr>
            <w:tcW w:w="1100" w:type="dxa"/>
            <w:vAlign w:val="bottom"/>
          </w:tcPr>
          <w:p>
            <w:pPr>
              <w:jc w:val="right"/>
              <w:ind w:right="335"/>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25</w:t>
            </w:r>
          </w:p>
        </w:tc>
        <w:tc>
          <w:tcPr>
            <w:tcW w:w="11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295"/>
              <w:spacing w:after="0"/>
              <w:rPr>
                <w:sz w:val="20"/>
                <w:szCs w:val="20"/>
                <w:color w:val="auto"/>
              </w:rPr>
            </w:pPr>
            <w:r>
              <w:rPr>
                <w:rFonts w:ascii="Arial" w:cs="Arial" w:eastAsia="Arial" w:hAnsi="Arial"/>
                <w:sz w:val="18"/>
                <w:szCs w:val="18"/>
                <w:color w:val="auto"/>
              </w:rPr>
              <w:t>(416)</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(609)</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(282)</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3"/>
            <w:shd w:val="clear" w:color="auto" w:fill="E5E5E5"/>
          </w:tcPr>
          <w:p>
            <w:pPr>
              <w:jc w:val="right"/>
              <w:ind w:right="372"/>
              <w:spacing w:after="0"/>
              <w:rPr>
                <w:sz w:val="20"/>
                <w:szCs w:val="20"/>
                <w:color w:val="auto"/>
              </w:rPr>
            </w:pPr>
            <w:r>
              <w:rPr>
                <w:rFonts w:ascii="Arial" w:cs="Arial" w:eastAsia="Arial" w:hAnsi="Arial"/>
                <w:sz w:val="18"/>
                <w:szCs w:val="18"/>
                <w:b w:val="1"/>
                <w:bCs w:val="1"/>
                <w:color w:val="auto"/>
              </w:rPr>
              <w:t>$ 17,186</w:t>
            </w:r>
          </w:p>
        </w:tc>
        <w:tc>
          <w:tcPr>
            <w:tcW w:w="110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E5E5E5"/>
          </w:tcPr>
          <w:p>
            <w:pPr>
              <w:jc w:val="right"/>
              <w:ind w:right="355"/>
              <w:spacing w:after="0"/>
              <w:rPr>
                <w:sz w:val="20"/>
                <w:szCs w:val="20"/>
                <w:color w:val="auto"/>
              </w:rPr>
            </w:pPr>
            <w:r>
              <w:rPr>
                <w:rFonts w:ascii="Arial" w:cs="Arial" w:eastAsia="Arial" w:hAnsi="Arial"/>
                <w:sz w:val="18"/>
                <w:szCs w:val="18"/>
                <w:b w:val="1"/>
                <w:bCs w:val="1"/>
                <w:color w:val="auto"/>
              </w:rPr>
              <w:t>3,394</w:t>
            </w:r>
          </w:p>
        </w:tc>
        <w:tc>
          <w:tcPr>
            <w:tcW w:w="46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E5E5E5"/>
          </w:tcPr>
          <w:p>
            <w:pPr>
              <w:jc w:val="right"/>
              <w:ind w:right="374"/>
              <w:spacing w:after="0"/>
              <w:rPr>
                <w:sz w:val="20"/>
                <w:szCs w:val="20"/>
                <w:color w:val="auto"/>
              </w:rPr>
            </w:pPr>
            <w:r>
              <w:rPr>
                <w:rFonts w:ascii="Arial" w:cs="Arial" w:eastAsia="Arial" w:hAnsi="Arial"/>
                <w:sz w:val="18"/>
                <w:szCs w:val="18"/>
                <w:b w:val="1"/>
                <w:bCs w:val="1"/>
                <w:color w:val="auto"/>
              </w:rPr>
              <w:t>1,045</w:t>
            </w:r>
          </w:p>
        </w:tc>
        <w:tc>
          <w:tcPr>
            <w:tcW w:w="3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2,349</w:t>
            </w:r>
          </w:p>
        </w:tc>
        <w:tc>
          <w:tcPr>
            <w:tcW w:w="46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807</w:t>
            </w:r>
          </w:p>
        </w:tc>
        <w:tc>
          <w:tcPr>
            <w:tcW w:w="0" w:type="dxa"/>
            <w:vAlign w:val="bottom"/>
          </w:tcPr>
          <w:p>
            <w:pPr>
              <w:spacing w:after="0"/>
              <w:rPr>
                <w:sz w:val="1"/>
                <w:szCs w:val="1"/>
                <w:color w:val="auto"/>
              </w:rPr>
            </w:pPr>
          </w:p>
        </w:tc>
      </w:tr>
      <w:tr>
        <w:trPr>
          <w:trHeight w:val="28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color w:val="auto"/>
              </w:rPr>
              <w:t>Nine Months Ended September 30, 2012</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(c)</w:t>
            </w:r>
          </w:p>
        </w:tc>
        <w:tc>
          <w:tcPr>
            <w:tcW w:w="2560" w:type="dxa"/>
            <w:vAlign w:val="bottom"/>
            <w:gridSpan w:val="2"/>
          </w:tcPr>
          <w:p>
            <w:pPr>
              <w:jc w:val="right"/>
              <w:ind w:right="315"/>
              <w:spacing w:after="0" w:line="129" w:lineRule="exact"/>
              <w:rPr>
                <w:sz w:val="20"/>
                <w:szCs w:val="20"/>
                <w:color w:val="auto"/>
              </w:rPr>
            </w:pPr>
            <w:r>
              <w:rPr>
                <w:rFonts w:ascii="Arial" w:cs="Arial" w:eastAsia="Arial" w:hAnsi="Arial"/>
                <w:sz w:val="14"/>
                <w:szCs w:val="14"/>
                <w:color w:val="auto"/>
              </w:rPr>
              <w:t>Operating Income (Loss) Before</w:t>
            </w:r>
          </w:p>
        </w:tc>
        <w:tc>
          <w:tcPr>
            <w:tcW w:w="1700" w:type="dxa"/>
            <w:vAlign w:val="bottom"/>
            <w:gridSpan w:val="2"/>
          </w:tcPr>
          <w:p>
            <w:pPr>
              <w:ind w:left="360"/>
              <w:spacing w:after="0" w:line="129" w:lineRule="exact"/>
              <w:rPr>
                <w:sz w:val="20"/>
                <w:szCs w:val="20"/>
                <w:color w:val="auto"/>
              </w:rPr>
            </w:pPr>
            <w:r>
              <w:rPr>
                <w:rFonts w:ascii="Arial" w:cs="Arial" w:eastAsia="Arial" w:hAnsi="Arial"/>
                <w:sz w:val="14"/>
                <w:szCs w:val="14"/>
                <w:color w:val="auto"/>
              </w:rPr>
              <w:t>Depreciation and</w:t>
            </w:r>
          </w:p>
        </w:tc>
        <w:tc>
          <w:tcPr>
            <w:tcW w:w="380" w:type="dxa"/>
            <w:vAlign w:val="bottom"/>
          </w:tcPr>
          <w:p>
            <w:pPr>
              <w:spacing w:after="0"/>
              <w:rPr>
                <w:sz w:val="11"/>
                <w:szCs w:val="11"/>
                <w:color w:val="auto"/>
              </w:rPr>
            </w:pPr>
          </w:p>
        </w:tc>
        <w:tc>
          <w:tcPr>
            <w:tcW w:w="1100" w:type="dxa"/>
            <w:vAlign w:val="bottom"/>
          </w:tcPr>
          <w:p>
            <w:pPr>
              <w:jc w:val="right"/>
              <w:ind w:right="435"/>
              <w:spacing w:after="0" w:line="129" w:lineRule="exact"/>
              <w:rPr>
                <w:sz w:val="20"/>
                <w:szCs w:val="20"/>
                <w:color w:val="auto"/>
              </w:rPr>
            </w:pPr>
            <w:r>
              <w:rPr>
                <w:rFonts w:ascii="Arial" w:cs="Arial" w:eastAsia="Arial" w:hAnsi="Arial"/>
                <w:sz w:val="14"/>
                <w:szCs w:val="14"/>
                <w:color w:val="auto"/>
                <w:w w:val="91"/>
              </w:rPr>
              <w:t>Operating</w:t>
            </w:r>
          </w:p>
        </w:tc>
        <w:tc>
          <w:tcPr>
            <w:tcW w:w="46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2560" w:type="dxa"/>
            <w:vAlign w:val="bottom"/>
            <w:tcBorders>
              <w:bottom w:val="single" w:sz="8" w:color="auto"/>
            </w:tcBorders>
            <w:gridSpan w:val="2"/>
          </w:tcPr>
          <w:p>
            <w:pPr>
              <w:ind w:left="38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(d)</w:t>
            </w: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w w:val="89"/>
              </w:rPr>
              <w:t>Amortization</w:t>
            </w:r>
          </w:p>
        </w:tc>
        <w:tc>
          <w:tcPr>
            <w:tcW w:w="148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color w:val="auto"/>
              </w:rPr>
              <w:t>Income (Loss)</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w w:val="90"/>
              </w:rPr>
              <w:t>Expenditures</w:t>
            </w:r>
          </w:p>
        </w:tc>
        <w:tc>
          <w:tcPr>
            <w:tcW w:w="0" w:type="dxa"/>
            <w:vAlign w:val="bottom"/>
          </w:tcPr>
          <w:p>
            <w:pPr>
              <w:spacing w:after="0"/>
              <w:rPr>
                <w:sz w:val="1"/>
                <w:szCs w:val="1"/>
                <w:color w:val="auto"/>
              </w:rPr>
            </w:pPr>
          </w:p>
        </w:tc>
      </w:tr>
      <w:tr>
        <w:trPr>
          <w:trHeight w:val="210"/>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40" w:type="dxa"/>
            <w:vAlign w:val="bottom"/>
            <w:gridSpan w:val="2"/>
            <w:shd w:val="clear" w:color="auto" w:fill="E5E5E5"/>
          </w:tcPr>
          <w:p>
            <w:pPr>
              <w:ind w:left="7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6,520</w:t>
            </w:r>
          </w:p>
        </w:tc>
        <w:tc>
          <w:tcPr>
            <w:tcW w:w="110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2,408</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548</w:t>
            </w:r>
          </w:p>
        </w:tc>
        <w:tc>
          <w:tcPr>
            <w:tcW w:w="380" w:type="dxa"/>
            <w:vAlign w:val="bottom"/>
            <w:shd w:val="clear" w:color="auto" w:fill="E5E5E5"/>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1,860</w:t>
            </w:r>
          </w:p>
        </w:tc>
        <w:tc>
          <w:tcPr>
            <w:tcW w:w="460" w:type="dxa"/>
            <w:vAlign w:val="bottom"/>
            <w:shd w:val="clear" w:color="auto" w:fill="E5E5E5"/>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Broadcast Television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6,203</w:t>
            </w:r>
          </w:p>
        </w:tc>
        <w:tc>
          <w:tcPr>
            <w:tcW w:w="1100" w:type="dxa"/>
            <w:vAlign w:val="bottom"/>
          </w:tcPr>
          <w:p>
            <w:pPr>
              <w:spacing w:after="0"/>
              <w:rPr>
                <w:sz w:val="18"/>
                <w:szCs w:val="18"/>
                <w:color w:val="auto"/>
              </w:rPr>
            </w:pP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8"/>
                <w:szCs w:val="18"/>
                <w:color w:val="auto"/>
              </w:rPr>
            </w:pPr>
          </w:p>
        </w:tc>
        <w:tc>
          <w:tcPr>
            <w:tcW w:w="1100" w:type="dxa"/>
            <w:vAlign w:val="bottom"/>
          </w:tcPr>
          <w:p>
            <w:pPr>
              <w:jc w:val="right"/>
              <w:ind w:right="315"/>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3,778</w:t>
            </w:r>
          </w:p>
        </w:tc>
        <w:tc>
          <w:tcPr>
            <w:tcW w:w="11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(5)</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12</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(17)</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Theme Parks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1,565</w:t>
            </w:r>
          </w:p>
        </w:tc>
        <w:tc>
          <w:tcPr>
            <w:tcW w:w="1100" w:type="dxa"/>
            <w:vAlign w:val="bottom"/>
          </w:tcPr>
          <w:p>
            <w:pPr>
              <w:spacing w:after="0"/>
              <w:rPr>
                <w:sz w:val="18"/>
                <w:szCs w:val="18"/>
                <w:color w:val="auto"/>
              </w:rPr>
            </w:pPr>
          </w:p>
        </w:tc>
        <w:tc>
          <w:tcPr>
            <w:tcW w:w="1460" w:type="dxa"/>
            <w:vAlign w:val="bottom"/>
          </w:tcPr>
          <w:p>
            <w:pPr>
              <w:jc w:val="right"/>
              <w:ind w:right="275"/>
              <w:spacing w:after="0"/>
              <w:rPr>
                <w:sz w:val="20"/>
                <w:szCs w:val="20"/>
                <w:color w:val="auto"/>
              </w:rPr>
            </w:pPr>
            <w:r>
              <w:rPr>
                <w:rFonts w:ascii="Arial" w:cs="Arial" w:eastAsia="Arial" w:hAnsi="Arial"/>
                <w:sz w:val="18"/>
                <w:szCs w:val="18"/>
                <w:color w:val="auto"/>
              </w:rPr>
              <w:t>708</w:t>
            </w:r>
          </w:p>
        </w:tc>
        <w:tc>
          <w:tcPr>
            <w:tcW w:w="46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Arial" w:cs="Arial" w:eastAsia="Arial" w:hAnsi="Arial"/>
                <w:sz w:val="18"/>
                <w:szCs w:val="18"/>
                <w:color w:val="auto"/>
              </w:rPr>
              <w:t>190</w:t>
            </w:r>
          </w:p>
        </w:tc>
        <w:tc>
          <w:tcPr>
            <w:tcW w:w="380" w:type="dxa"/>
            <w:vAlign w:val="bottom"/>
          </w:tcPr>
          <w:p>
            <w:pPr>
              <w:spacing w:after="0"/>
              <w:rPr>
                <w:sz w:val="18"/>
                <w:szCs w:val="18"/>
                <w:color w:val="auto"/>
              </w:rPr>
            </w:pPr>
          </w:p>
        </w:tc>
        <w:tc>
          <w:tcPr>
            <w:tcW w:w="1100" w:type="dxa"/>
            <w:vAlign w:val="bottom"/>
          </w:tcPr>
          <w:p>
            <w:pPr>
              <w:jc w:val="right"/>
              <w:ind w:right="315"/>
              <w:spacing w:after="0"/>
              <w:rPr>
                <w:sz w:val="20"/>
                <w:szCs w:val="20"/>
                <w:color w:val="auto"/>
              </w:rPr>
            </w:pPr>
            <w:r>
              <w:rPr>
                <w:rFonts w:ascii="Arial" w:cs="Arial" w:eastAsia="Arial" w:hAnsi="Arial"/>
                <w:sz w:val="18"/>
                <w:szCs w:val="18"/>
                <w:color w:val="auto"/>
              </w:rPr>
              <w:t>518</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88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(a)</w:t>
            </w:r>
          </w:p>
        </w:tc>
        <w:tc>
          <w:tcPr>
            <w:tcW w:w="1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31</w:t>
            </w:r>
          </w:p>
        </w:tc>
        <w:tc>
          <w:tcPr>
            <w:tcW w:w="1100" w:type="dxa"/>
            <w:vAlign w:val="bottom"/>
            <w:shd w:val="clear" w:color="auto" w:fill="E5E5E5"/>
          </w:tcPr>
          <w:p>
            <w:pPr>
              <w:spacing w:after="0"/>
              <w:rPr>
                <w:sz w:val="18"/>
                <w:szCs w:val="18"/>
                <w:color w:val="auto"/>
              </w:rPr>
            </w:pPr>
          </w:p>
        </w:tc>
        <w:tc>
          <w:tcPr>
            <w:tcW w:w="14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(444)</w:t>
            </w:r>
          </w:p>
        </w:tc>
        <w:tc>
          <w:tcPr>
            <w:tcW w:w="460" w:type="dxa"/>
            <w:vAlign w:val="bottom"/>
            <w:shd w:val="clear" w:color="auto" w:fill="E5E5E5"/>
          </w:tcPr>
          <w:p>
            <w:pPr>
              <w:spacing w:after="0"/>
              <w:rPr>
                <w:sz w:val="18"/>
                <w:szCs w:val="18"/>
                <w:color w:val="auto"/>
              </w:rPr>
            </w:pPr>
          </w:p>
        </w:tc>
        <w:tc>
          <w:tcPr>
            <w:tcW w:w="124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(593)</w:t>
            </w:r>
          </w:p>
        </w:tc>
        <w:tc>
          <w:tcPr>
            <w:tcW w:w="4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(299)</w:t>
            </w: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3"/>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$ 17,798</w:t>
            </w:r>
          </w:p>
        </w:tc>
        <w:tc>
          <w:tcPr>
            <w:tcW w:w="110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b w:val="1"/>
                <w:bCs w:val="1"/>
                <w:color w:val="auto"/>
              </w:rPr>
              <w:t>2,935</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969</w:t>
            </w:r>
          </w:p>
        </w:tc>
        <w:tc>
          <w:tcPr>
            <w:tcW w:w="3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1,966</w:t>
            </w:r>
          </w:p>
        </w:tc>
        <w:tc>
          <w:tcPr>
            <w:tcW w:w="46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476</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Headquarters and Other activities included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operations, and our related digital media properties. Our Cable Networks segment generates revenue primarily from the distribution of our cable network programming to multichannel video providers, the sale of advertising and the licensing of our owned programming.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our broadcast television production operations, and our related digital media properties. Our Broadcast Television segment generates revenue primarily from the sale of advertising, the licensing and sale of our owned programming and the fees received under retransmission consent agreements.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produces, acquires, markets and distributes filmed entertainment worldwide. We also develop, produce and license live stage plays. Our Filmed Entertainment segment generates revenue primarily from the worldwide distribution of our owned and acquired films and the licensing and sale of our owned and acquired films. Our Filmed Entertainment segment also generates revenue from producing and licensing live stage plays and distributing filmed entertainment produced by third parties.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and Hollywood. We also receive fees from third parties that own and operate Universal Studios Japan and Universal Studios Singapore for intellectual property licenses and other services. Our Theme Parks segment generates revenue primarily from theme park attendance and per capita spending at our Universal theme parks in Orlando and Hollywood, as well as from licensing and other fees. Per capita spending includes ticket price and in-park spending on food, beverages and merchandise.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business interests primarily include equity method investments, such as The Weather Channel Holding Corp. (“The Weather Channel”) and Hulu, LLC (“Hulu”). For information on the performance of our equity method investments, see “Consolidated Other Income (Expense) Items, Net” below and refer to the “Equity in Net Income (Losses) of Investees, Net” heading within that section.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Transactions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19, 2013, Comcast acquired GE’s remaining 49% common equity interest in NBCUniversal Holdings for approximately $16.7 billion (the “Redemption Transaction”). In addition to this transaction, we purchased from GE certain properties we occupy at 30 Rockefeller Plaza in New York City and CNBC’s headquarters in Englewood Cliffs, New Jersey for approximately $1.4 billion. See Note 2 to our condensed consolidated financial statements for additional information on these transactions.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tcPr>
          <w:p>
            <w:pPr>
              <w:jc w:val="right"/>
              <w:ind w:right="274"/>
              <w:spacing w:after="0"/>
              <w:rPr>
                <w:sz w:val="20"/>
                <w:szCs w:val="20"/>
                <w:color w:val="auto"/>
              </w:rPr>
            </w:pPr>
            <w:r>
              <w:rPr>
                <w:rFonts w:ascii="Arial" w:cs="Arial" w:eastAsia="Arial" w:hAnsi="Arial"/>
                <w:sz w:val="14"/>
                <w:szCs w:val="14"/>
                <w:color w:val="auto"/>
                <w:w w:val="90"/>
              </w:rPr>
              <w:t>Three Months Ended</w:t>
            </w:r>
          </w:p>
        </w:tc>
        <w:tc>
          <w:tcPr>
            <w:tcW w:w="1120" w:type="dxa"/>
            <w:vAlign w:val="bottom"/>
          </w:tcPr>
          <w:p>
            <w:pPr>
              <w:jc w:val="right"/>
              <w:ind w:right="375"/>
              <w:spacing w:after="0"/>
              <w:rPr>
                <w:sz w:val="20"/>
                <w:szCs w:val="20"/>
                <w:color w:val="auto"/>
              </w:rPr>
            </w:pPr>
            <w:r>
              <w:rPr>
                <w:rFonts w:ascii="Arial" w:cs="Arial" w:eastAsia="Arial" w:hAnsi="Arial"/>
                <w:sz w:val="14"/>
                <w:szCs w:val="14"/>
                <w:color w:val="auto"/>
              </w:rPr>
              <w:t>Increase/</w:t>
            </w:r>
          </w:p>
        </w:tc>
        <w:tc>
          <w:tcPr>
            <w:tcW w:w="260" w:type="dxa"/>
            <w:vAlign w:val="bottom"/>
          </w:tcPr>
          <w:p>
            <w:pPr>
              <w:spacing w:after="0"/>
              <w:rPr>
                <w:sz w:val="14"/>
                <w:szCs w:val="14"/>
                <w:color w:val="auto"/>
              </w:rPr>
            </w:pPr>
          </w:p>
        </w:tc>
        <w:tc>
          <w:tcPr>
            <w:tcW w:w="1720" w:type="dxa"/>
            <w:vAlign w:val="bottom"/>
            <w:gridSpan w:val="3"/>
          </w:tcPr>
          <w:p>
            <w:pPr>
              <w:jc w:val="right"/>
              <w:ind w:right="394"/>
              <w:spacing w:after="0"/>
              <w:rPr>
                <w:sz w:val="20"/>
                <w:szCs w:val="20"/>
                <w:color w:val="auto"/>
              </w:rPr>
            </w:pPr>
            <w:r>
              <w:rPr>
                <w:rFonts w:ascii="Arial" w:cs="Arial" w:eastAsia="Arial" w:hAnsi="Arial"/>
                <w:sz w:val="14"/>
                <w:szCs w:val="14"/>
                <w:color w:val="auto"/>
                <w:w w:val="99"/>
              </w:rPr>
              <w:t>Nine Months Ended</w:t>
            </w:r>
          </w:p>
        </w:tc>
        <w:tc>
          <w:tcPr>
            <w:tcW w:w="1040" w:type="dxa"/>
            <w:vAlign w:val="bottom"/>
          </w:tcPr>
          <w:p>
            <w:pPr>
              <w:jc w:val="right"/>
              <w:ind w:right="255"/>
              <w:spacing w:after="0"/>
              <w:rPr>
                <w:sz w:val="20"/>
                <w:szCs w:val="20"/>
                <w:color w:val="auto"/>
              </w:rPr>
            </w:pPr>
            <w:r>
              <w:rPr>
                <w:rFonts w:ascii="Arial" w:cs="Arial" w:eastAsia="Arial" w:hAnsi="Arial"/>
                <w:sz w:val="14"/>
                <w:szCs w:val="14"/>
                <w:color w:val="auto"/>
              </w:rPr>
              <w:t>Increase/</w:t>
            </w:r>
          </w:p>
        </w:tc>
      </w:tr>
      <w:tr>
        <w:trPr>
          <w:trHeight w:val="159"/>
        </w:trPr>
        <w:tc>
          <w:tcPr>
            <w:tcW w:w="53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474"/>
              <w:spacing w:after="0" w:line="159" w:lineRule="exact"/>
              <w:rPr>
                <w:sz w:val="20"/>
                <w:szCs w:val="20"/>
                <w:color w:val="auto"/>
              </w:rPr>
            </w:pPr>
            <w:r>
              <w:rPr>
                <w:rFonts w:ascii="Arial" w:cs="Arial" w:eastAsia="Arial" w:hAnsi="Arial"/>
                <w:sz w:val="14"/>
                <w:szCs w:val="14"/>
                <w:color w:val="auto"/>
              </w:rPr>
              <w:t>September 30</w:t>
            </w:r>
          </w:p>
        </w:tc>
        <w:tc>
          <w:tcPr>
            <w:tcW w:w="1120" w:type="dxa"/>
            <w:vAlign w:val="bottom"/>
            <w:tcBorders>
              <w:bottom w:val="single" w:sz="8" w:color="auto"/>
            </w:tcBorders>
          </w:tcPr>
          <w:p>
            <w:pPr>
              <w:jc w:val="right"/>
              <w:ind w:right="335"/>
              <w:spacing w:after="0" w:line="159" w:lineRule="exact"/>
              <w:rPr>
                <w:sz w:val="20"/>
                <w:szCs w:val="20"/>
                <w:color w:val="auto"/>
              </w:rPr>
            </w:pPr>
            <w:r>
              <w:rPr>
                <w:rFonts w:ascii="Arial" w:cs="Arial" w:eastAsia="Arial" w:hAnsi="Arial"/>
                <w:sz w:val="14"/>
                <w:szCs w:val="14"/>
                <w:color w:val="auto"/>
                <w:w w:val="98"/>
              </w:rPr>
              <w:t>(Decrease)</w:t>
            </w: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3"/>
              </w:rPr>
              <w:t>2013</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2012</w:t>
            </w: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spacing w:after="0"/>
              <w:rPr>
                <w:sz w:val="20"/>
                <w:szCs w:val="20"/>
                <w:color w:val="auto"/>
              </w:rPr>
            </w:pP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88"/>
              </w:rPr>
              <w:t>5,851</w:t>
            </w:r>
          </w:p>
        </w:tc>
        <w:tc>
          <w:tcPr>
            <w:tcW w:w="9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$ 6,822</w:t>
            </w:r>
          </w:p>
        </w:tc>
        <w:tc>
          <w:tcPr>
            <w:tcW w:w="112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w w:val="87"/>
              </w:rPr>
              <w:t>17,186</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w w:val="87"/>
              </w:rPr>
              <w:t>17,798</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88"/>
              </w:rPr>
              <w:t>2,803</w:t>
            </w:r>
          </w:p>
        </w:tc>
        <w:tc>
          <w:tcPr>
            <w:tcW w:w="9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3,922</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8,496</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9,608</w:t>
            </w:r>
          </w:p>
        </w:tc>
        <w:tc>
          <w:tcPr>
            <w:tcW w:w="10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(11.6)</w:t>
            </w: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w w:val="88"/>
              </w:rPr>
              <w:t>1,251</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1,244</w:t>
            </w: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3,623</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3,492</w:t>
            </w:r>
          </w:p>
        </w:tc>
        <w:tc>
          <w:tcPr>
            <w:tcW w:w="1040" w:type="dxa"/>
            <w:vAlign w:val="bottom"/>
          </w:tcPr>
          <w:p>
            <w:pPr>
              <w:jc w:val="right"/>
              <w:ind w:right="195"/>
              <w:spacing w:after="0"/>
              <w:rPr>
                <w:sz w:val="20"/>
                <w:szCs w:val="20"/>
                <w:color w:val="auto"/>
              </w:rPr>
            </w:pPr>
            <w:r>
              <w:rPr>
                <w:rFonts w:ascii="Arial" w:cs="Arial" w:eastAsia="Arial" w:hAnsi="Arial"/>
                <w:sz w:val="18"/>
                <w:szCs w:val="18"/>
                <w:color w:val="auto"/>
              </w:rPr>
              <w:t>3.8</w:t>
            </w: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547</w:t>
            </w:r>
          </w:p>
        </w:tc>
        <w:tc>
          <w:tcPr>
            <w:tcW w:w="9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516</w:t>
            </w:r>
          </w:p>
        </w:tc>
        <w:tc>
          <w:tcPr>
            <w:tcW w:w="11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1,673</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1,763</w:t>
            </w:r>
          </w:p>
        </w:tc>
        <w:tc>
          <w:tcPr>
            <w:tcW w:w="10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(5.1)</w:t>
            </w: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color w:val="auto"/>
              </w:rPr>
              <w:t>160</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141</w:t>
            </w:r>
          </w:p>
        </w:tc>
        <w:tc>
          <w:tcPr>
            <w:tcW w:w="1120" w:type="dxa"/>
            <w:vAlign w:val="bottom"/>
          </w:tcPr>
          <w:p>
            <w:pPr>
              <w:jc w:val="right"/>
              <w:ind w:right="335"/>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402</w:t>
            </w:r>
          </w:p>
        </w:tc>
        <w:tc>
          <w:tcPr>
            <w:tcW w:w="1040" w:type="dxa"/>
            <w:vAlign w:val="bottom"/>
          </w:tcPr>
          <w:p>
            <w:pPr>
              <w:jc w:val="right"/>
              <w:ind w:right="195"/>
              <w:spacing w:after="0"/>
              <w:rPr>
                <w:sz w:val="20"/>
                <w:szCs w:val="20"/>
                <w:color w:val="auto"/>
              </w:rPr>
            </w:pPr>
            <w:r>
              <w:rPr>
                <w:rFonts w:ascii="Arial" w:cs="Arial" w:eastAsia="Arial" w:hAnsi="Arial"/>
                <w:sz w:val="18"/>
                <w:szCs w:val="18"/>
                <w:color w:val="auto"/>
              </w:rPr>
              <w:t>16.1</w:t>
            </w:r>
          </w:p>
        </w:tc>
      </w:tr>
      <w:tr>
        <w:trPr>
          <w:trHeight w:val="216"/>
        </w:trPr>
        <w:tc>
          <w:tcPr>
            <w:tcW w:w="53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192</w:t>
            </w:r>
          </w:p>
        </w:tc>
        <w:tc>
          <w:tcPr>
            <w:tcW w:w="9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196</w:t>
            </w:r>
          </w:p>
        </w:tc>
        <w:tc>
          <w:tcPr>
            <w:tcW w:w="112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578</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567</w:t>
            </w:r>
          </w:p>
        </w:tc>
        <w:tc>
          <w:tcPr>
            <w:tcW w:w="104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1.9</w:t>
            </w:r>
          </w:p>
        </w:tc>
      </w:tr>
      <w:tr>
        <w:trPr>
          <w:trHeight w:val="210"/>
        </w:trPr>
        <w:tc>
          <w:tcPr>
            <w:tcW w:w="5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88"/>
              </w:rPr>
              <w:t>4,953</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6,019</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87"/>
              </w:rPr>
              <w:t>14,837</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7"/>
              </w:rPr>
              <w:t>15,832</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(6.3)</w:t>
            </w: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898</w:t>
            </w:r>
          </w:p>
        </w:tc>
        <w:tc>
          <w:tcPr>
            <w:tcW w:w="9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803</w:t>
            </w:r>
          </w:p>
        </w:tc>
        <w:tc>
          <w:tcPr>
            <w:tcW w:w="112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2,349</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1,966</w:t>
            </w:r>
          </w:p>
        </w:tc>
        <w:tc>
          <w:tcPr>
            <w:tcW w:w="10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19.5</w:t>
            </w:r>
          </w:p>
        </w:tc>
      </w:tr>
      <w:tr>
        <w:trPr>
          <w:trHeight w:val="216"/>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items, net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(558)</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990</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(156.4)</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(868)</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875</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(199.3)</w:t>
            </w: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340</w:t>
            </w:r>
          </w:p>
        </w:tc>
        <w:tc>
          <w:tcPr>
            <w:tcW w:w="9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1,793</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1,481</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2,841</w:t>
            </w:r>
          </w:p>
        </w:tc>
        <w:tc>
          <w:tcPr>
            <w:tcW w:w="10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(47.9)</w:t>
            </w:r>
          </w:p>
        </w:tc>
      </w:tr>
      <w:tr>
        <w:trPr>
          <w:trHeight w:val="216"/>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(62)</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(72)</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(162)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(154)</w:t>
            </w: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5.3</w:t>
            </w: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278</w:t>
            </w:r>
          </w:p>
        </w:tc>
        <w:tc>
          <w:tcPr>
            <w:tcW w:w="9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1,721</w:t>
            </w:r>
          </w:p>
        </w:tc>
        <w:tc>
          <w:tcPr>
            <w:tcW w:w="112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(83.8)</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1,319</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2,687</w:t>
            </w:r>
          </w:p>
        </w:tc>
        <w:tc>
          <w:tcPr>
            <w:tcW w:w="10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(50.9)</w:t>
            </w:r>
          </w:p>
        </w:tc>
      </w:tr>
      <w:tr>
        <w:trPr>
          <w:trHeight w:val="216"/>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(42)</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(117)</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(9.6)</w:t>
            </w:r>
          </w:p>
        </w:tc>
      </w:tr>
      <w:tr>
        <w:trPr>
          <w:trHeight w:val="217"/>
        </w:trPr>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236</w:t>
            </w:r>
          </w:p>
        </w:tc>
        <w:tc>
          <w:tcPr>
            <w:tcW w:w="9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$ 1,672</w:t>
            </w:r>
          </w:p>
        </w:tc>
        <w:tc>
          <w:tcPr>
            <w:tcW w:w="11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b w:val="1"/>
                <w:bCs w:val="1"/>
                <w:color w:val="auto"/>
              </w:rPr>
              <w:t>(85.9)%</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b w:val="1"/>
                <w:bCs w:val="1"/>
                <w:color w:val="auto"/>
              </w:rPr>
              <w:t>1,214</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2,570</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(52.8)%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of our businesses is subject to seasonal and cyclical variations. Revenue and operating costs and expenses in our Broadcast Television segment are cyclical as a result of our periodic broadcasts of the Olympic Games and the Super Bowl. Our advertising revenue and programming and production costs for the nine months ended September 30, 2012 include amounts attributable to our broadcasts of the 2012 Super Bowl and the 2012 London Olympics. There were no such broadcasts in the current year period. All of the revenue and operating costs and expenses associated with our broadcasts of the 2012 Super Bowl and 2012 London Olympics are reported in our Broadcast Television segment.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Consolidated revenue decreased for the three and nine months ended September 30, 2013 compared to the same periods in 2012 primarily as a result of decreases in our Broadcast Television segment due to our broadcasts of the Super Bowl in February 2012 and the London Olympics in August 2012 in the prior year periods, partially offset by increases in our Cable Networks, Filmed Entertainment and Theme Parks segments. Excluding the revenue associated with these events, consolidated revenue increased 3.9% and 5.1%, respectively, for the three and nine months ended September 30, 2013.</w:t>
      </w:r>
    </w:p>
    <w:p>
      <w:pPr>
        <w:spacing w:after="0" w:line="18" w:lineRule="exact"/>
        <w:rPr>
          <w:sz w:val="20"/>
          <w:szCs w:val="20"/>
          <w:color w:val="auto"/>
        </w:rPr>
      </w:pPr>
    </w:p>
    <w:p>
      <w:pPr>
        <w:ind w:right="4000"/>
        <w:spacing w:after="0" w:line="352" w:lineRule="auto"/>
        <w:rPr>
          <w:sz w:val="20"/>
          <w:szCs w:val="20"/>
          <w:color w:val="auto"/>
        </w:rPr>
      </w:pPr>
      <w:r>
        <w:rPr>
          <w:rFonts w:ascii="Arial" w:cs="Arial" w:eastAsia="Arial" w:hAnsi="Arial"/>
          <w:sz w:val="18"/>
          <w:szCs w:val="18"/>
          <w:color w:val="auto"/>
        </w:rPr>
        <w:t xml:space="preserve">Revenue for our segments is discussed separately below under the heading “Segment Operating Results.” </w:t>
      </w:r>
      <w:r>
        <w:rPr>
          <w:rFonts w:ascii="Arial" w:cs="Arial" w:eastAsia="Arial" w:hAnsi="Arial"/>
          <w:sz w:val="18"/>
          <w:szCs w:val="18"/>
          <w:b w:val="1"/>
          <w:bCs w:val="1"/>
          <w:color w:val="auto"/>
        </w:rPr>
        <w:t>Consolidated Costs and Expenses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costs and expenses, excluding depreciation and amortization (“operating costs and expenses”), decreased for the three and nine months ended September 30, 2013 compared to the same periods in 2012 primarily as a result of decreases in our Broadcast Television segment due to our broadcasts of the Super Bowl in February 2012 and the London Olympics in August 2012 in the prior year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 for our segments are discussed separately below under the heading “Segment Operating Results.”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depreciation and amortization increased for the three and nine months ended September 30, 2013 compared to the same periods in 2012 primarily due to the incremental depreciation expense associated with the properties purchased in connection with the Redemption Transaction and higher capital expenditures in our Theme Parks segment.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the business segment footnote to our condensed consolidated financial statements (see Note 12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Reclassifications have been made to the prior year periods to conform to classifications used in the current year periods. The presentation of operating costs and expenses in our Cable Networks, Broadcast Television and Filmed Entertainment segments was also expanded to present programming and production costs, other operating and administrative expenses, and advertising, marketing and promotion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514"/>
              <w:spacing w:after="0"/>
              <w:rPr>
                <w:sz w:val="20"/>
                <w:szCs w:val="20"/>
                <w:color w:val="auto"/>
              </w:rPr>
            </w:pPr>
            <w:r>
              <w:rPr>
                <w:rFonts w:ascii="Arial" w:cs="Arial" w:eastAsia="Arial" w:hAnsi="Arial"/>
                <w:sz w:val="14"/>
                <w:szCs w:val="14"/>
                <w:color w:val="auto"/>
                <w:w w:val="97"/>
              </w:rPr>
              <w:t>Three Months Ended</w:t>
            </w:r>
          </w:p>
        </w:tc>
        <w:tc>
          <w:tcPr>
            <w:tcW w:w="3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Increase/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w w:val="83"/>
              </w:rPr>
              <w:t>2013</w:t>
            </w: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color w:val="auto"/>
                <w:w w:val="89"/>
              </w:rPr>
              <w:t>2012</w:t>
            </w: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2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6"/>
              <w:spacing w:after="0"/>
              <w:rPr>
                <w:sz w:val="20"/>
                <w:szCs w:val="20"/>
                <w:color w:val="auto"/>
              </w:rPr>
            </w:pPr>
            <w:r>
              <w:rPr>
                <w:rFonts w:ascii="Arial" w:cs="Arial" w:eastAsia="Arial" w:hAnsi="Arial"/>
                <w:sz w:val="18"/>
                <w:szCs w:val="18"/>
                <w:color w:val="auto"/>
                <w:w w:val="88"/>
              </w:rPr>
              <w:t>2,239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4"/>
              <w:spacing w:after="0"/>
              <w:rPr>
                <w:sz w:val="20"/>
                <w:szCs w:val="20"/>
                <w:color w:val="auto"/>
              </w:rPr>
            </w:pPr>
            <w:r>
              <w:rPr>
                <w:rFonts w:ascii="Arial" w:cs="Arial" w:eastAsia="Arial" w:hAnsi="Arial"/>
                <w:sz w:val="18"/>
                <w:szCs w:val="18"/>
                <w:color w:val="auto"/>
                <w:w w:val="93"/>
              </w:rPr>
              <w:t>2,152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87</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15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88"/>
              </w:rPr>
              <w:t>1,644</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w w:val="93"/>
              </w:rPr>
              <w:t>2,790</w:t>
            </w:r>
          </w:p>
        </w:tc>
        <w:tc>
          <w:tcPr>
            <w:tcW w:w="3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w w:val="87"/>
              </w:rPr>
              <w:t>(1,146)</w:t>
            </w:r>
          </w:p>
        </w:tc>
        <w:tc>
          <w:tcPr>
            <w:tcW w:w="74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93"/>
              </w:rPr>
              <w:t>(41.1)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w w:val="88"/>
              </w:rPr>
              <w:t>1,400</w:t>
            </w:r>
          </w:p>
        </w:tc>
        <w:tc>
          <w:tcPr>
            <w:tcW w:w="3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w w:val="93"/>
              </w:rPr>
              <w:t>1,355</w:t>
            </w:r>
          </w:p>
        </w:tc>
        <w:tc>
          <w:tcPr>
            <w:tcW w:w="380" w:type="dxa"/>
            <w:vAlign w:val="bottom"/>
          </w:tcPr>
          <w:p>
            <w:pPr>
              <w:spacing w:after="0"/>
              <w:rPr>
                <w:sz w:val="18"/>
                <w:szCs w:val="18"/>
                <w:color w:val="auto"/>
              </w:rPr>
            </w:pP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45</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15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661</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614</w:t>
            </w:r>
          </w:p>
        </w:tc>
        <w:tc>
          <w:tcPr>
            <w:tcW w:w="3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47</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1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(89)</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(4)</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20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b w:val="1"/>
                <w:bCs w:val="1"/>
                <w:color w:val="auto"/>
                <w:w w:val="88"/>
              </w:rPr>
              <w:t>5,851</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b w:val="1"/>
                <w:bCs w:val="1"/>
                <w:color w:val="auto"/>
                <w:w w:val="93"/>
              </w:rPr>
              <w:t>6,822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b w:val="1"/>
                <w:bCs w:val="1"/>
                <w:color w:val="auto"/>
              </w:rPr>
              <w:t>(971)</w:t>
            </w:r>
          </w:p>
        </w:tc>
        <w:tc>
          <w:tcPr>
            <w:tcW w:w="7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8"/>
              </w:rPr>
              <w:t>(14.2)%</w:t>
            </w:r>
          </w:p>
        </w:tc>
        <w:tc>
          <w:tcPr>
            <w:tcW w:w="0" w:type="dxa"/>
            <w:vAlign w:val="bottom"/>
          </w:tcPr>
          <w:p>
            <w:pPr>
              <w:spacing w:after="0"/>
              <w:rPr>
                <w:sz w:val="1"/>
                <w:szCs w:val="1"/>
                <w:color w:val="auto"/>
              </w:rPr>
            </w:pPr>
          </w:p>
        </w:tc>
      </w:tr>
      <w:tr>
        <w:trPr>
          <w:trHeight w:val="310"/>
        </w:trPr>
        <w:tc>
          <w:tcPr>
            <w:tcW w:w="5300" w:type="dxa"/>
            <w:vAlign w:val="bottom"/>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22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853</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809</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44</w:t>
            </w:r>
          </w:p>
        </w:tc>
        <w:tc>
          <w:tcPr>
            <w:tcW w:w="7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900" w:type="dxa"/>
            <w:vAlign w:val="bottom"/>
          </w:tcPr>
          <w:p>
            <w:pPr>
              <w:jc w:val="right"/>
              <w:ind w:right="296"/>
              <w:spacing w:after="0"/>
              <w:rPr>
                <w:sz w:val="20"/>
                <w:szCs w:val="20"/>
                <w:color w:val="auto"/>
              </w:rPr>
            </w:pPr>
            <w:r>
              <w:rPr>
                <w:rFonts w:ascii="Arial" w:cs="Arial" w:eastAsia="Arial" w:hAnsi="Arial"/>
                <w:sz w:val="18"/>
                <w:szCs w:val="18"/>
                <w:color w:val="auto"/>
              </w:rPr>
              <w:t>(54)</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w w:val="93"/>
              </w:rPr>
              <w:t>(61.1)</w:t>
            </w:r>
          </w:p>
        </w:tc>
        <w:tc>
          <w:tcPr>
            <w:tcW w:w="0" w:type="dxa"/>
            <w:vAlign w:val="bottom"/>
          </w:tcPr>
          <w:p>
            <w:pPr>
              <w:spacing w:after="0"/>
              <w:rPr>
                <w:sz w:val="1"/>
                <w:szCs w:val="1"/>
                <w:color w:val="auto"/>
              </w:rPr>
            </w:pPr>
          </w:p>
        </w:tc>
      </w:tr>
      <w:tr>
        <w:trPr>
          <w:trHeight w:val="216"/>
        </w:trPr>
        <w:tc>
          <w:tcPr>
            <w:tcW w:w="5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72</w:t>
            </w:r>
          </w:p>
        </w:tc>
        <w:tc>
          <w:tcPr>
            <w:tcW w:w="3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117</w:t>
            </w:r>
          </w:p>
        </w:tc>
        <w:tc>
          <w:tcPr>
            <w:tcW w:w="74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4"/>
              </w:rPr>
              <w:t>164.1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1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343</w:t>
            </w:r>
          </w:p>
        </w:tc>
        <w:tc>
          <w:tcPr>
            <w:tcW w:w="380" w:type="dxa"/>
            <w:vAlign w:val="bottom"/>
          </w:tcPr>
          <w:p>
            <w:pPr>
              <w:spacing w:after="0"/>
              <w:rPr>
                <w:sz w:val="18"/>
                <w:szCs w:val="18"/>
                <w:color w:val="auto"/>
              </w:rPr>
            </w:pPr>
          </w:p>
        </w:tc>
        <w:tc>
          <w:tcPr>
            <w:tcW w:w="760" w:type="dxa"/>
            <w:vAlign w:val="bottom"/>
          </w:tcPr>
          <w:p>
            <w:pPr>
              <w:jc w:val="right"/>
              <w:ind w:right="234"/>
              <w:spacing w:after="0"/>
              <w:rPr>
                <w:sz w:val="20"/>
                <w:szCs w:val="20"/>
                <w:color w:val="auto"/>
              </w:rPr>
            </w:pPr>
            <w:r>
              <w:rPr>
                <w:rFonts w:ascii="Arial" w:cs="Arial" w:eastAsia="Arial" w:hAnsi="Arial"/>
                <w:sz w:val="18"/>
                <w:szCs w:val="18"/>
                <w:color w:val="auto"/>
              </w:rPr>
              <w:t>316</w:t>
            </w:r>
          </w:p>
        </w:tc>
        <w:tc>
          <w:tcPr>
            <w:tcW w:w="380" w:type="dxa"/>
            <w:vAlign w:val="bottom"/>
          </w:tcPr>
          <w:p>
            <w:pPr>
              <w:spacing w:after="0"/>
              <w:rPr>
                <w:sz w:val="18"/>
                <w:szCs w:val="18"/>
                <w:color w:val="auto"/>
              </w:rPr>
            </w:pP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27</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15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(169)</w:t>
            </w:r>
          </w:p>
        </w:tc>
        <w:tc>
          <w:tcPr>
            <w:tcW w:w="3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(24)</w:t>
            </w:r>
          </w:p>
        </w:tc>
        <w:tc>
          <w:tcPr>
            <w:tcW w:w="74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Total operating income (loss) before depreciation and amortization</w:t>
            </w:r>
          </w:p>
        </w:tc>
        <w:tc>
          <w:tcPr>
            <w:tcW w:w="2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88"/>
              </w:rPr>
              <w:t>1,250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3"/>
              </w:rPr>
              <w:t>1,140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110</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363"/>
        </w:trPr>
        <w:tc>
          <w:tcPr>
            <w:tcW w:w="5300" w:type="dxa"/>
            <w:vAlign w:val="bottom"/>
          </w:tcPr>
          <w:p>
            <w:pPr>
              <w:spacing w:after="0"/>
              <w:rPr>
                <w:sz w:val="24"/>
                <w:szCs w:val="24"/>
                <w:color w:val="auto"/>
              </w:rPr>
            </w:pPr>
          </w:p>
        </w:tc>
        <w:tc>
          <w:tcPr>
            <w:tcW w:w="1580" w:type="dxa"/>
            <w:vAlign w:val="bottom"/>
          </w:tcPr>
          <w:p>
            <w:pPr>
              <w:jc w:val="right"/>
              <w:ind w:right="972"/>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gridSpan w:val="3"/>
          </w:tcPr>
          <w:p>
            <w:pPr>
              <w:jc w:val="right"/>
              <w:ind w:right="594"/>
              <w:spacing w:after="0"/>
              <w:rPr>
                <w:sz w:val="20"/>
                <w:szCs w:val="20"/>
                <w:color w:val="auto"/>
              </w:rPr>
            </w:pPr>
            <w:r>
              <w:rPr>
                <w:rFonts w:ascii="Arial" w:cs="Arial" w:eastAsia="Arial" w:hAnsi="Arial"/>
                <w:sz w:val="14"/>
                <w:szCs w:val="14"/>
                <w:color w:val="auto"/>
              </w:rPr>
              <w:t>Nine Months Ended</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Increase/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7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w:t>
            </w:r>
          </w:p>
        </w:tc>
        <w:tc>
          <w:tcPr>
            <w:tcW w:w="8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(Decrease)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616"/>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7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6,877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6,520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357</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6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4,893</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6,203</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16"/>
              <w:spacing w:after="0"/>
              <w:rPr>
                <w:sz w:val="20"/>
                <w:szCs w:val="20"/>
                <w:color w:val="auto"/>
              </w:rPr>
            </w:pPr>
            <w:r>
              <w:rPr>
                <w:rFonts w:ascii="Arial" w:cs="Arial" w:eastAsia="Arial" w:hAnsi="Arial"/>
                <w:sz w:val="18"/>
                <w:szCs w:val="18"/>
                <w:color w:val="auto"/>
                <w:w w:val="87"/>
              </w:rPr>
              <w:t>(1,310)</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9"/>
              </w:rPr>
              <w:t>(21.1)</w:t>
            </w: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60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4,004</w:t>
            </w:r>
          </w:p>
        </w:tc>
        <w:tc>
          <w:tcPr>
            <w:tcW w:w="380" w:type="dxa"/>
            <w:vAlign w:val="bottom"/>
          </w:tcPr>
          <w:p>
            <w:pPr>
              <w:spacing w:after="0"/>
              <w:rPr>
                <w:sz w:val="18"/>
                <w:szCs w:val="18"/>
                <w:color w:val="auto"/>
              </w:rPr>
            </w:pP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3,778</w:t>
            </w:r>
          </w:p>
        </w:tc>
        <w:tc>
          <w:tcPr>
            <w:tcW w:w="380" w:type="dxa"/>
            <w:vAlign w:val="bottom"/>
          </w:tcPr>
          <w:p>
            <w:pPr>
              <w:spacing w:after="0"/>
              <w:rPr>
                <w:sz w:val="18"/>
                <w:szCs w:val="18"/>
                <w:color w:val="auto"/>
              </w:rPr>
            </w:pP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226</w:t>
            </w:r>
          </w:p>
        </w:tc>
        <w:tc>
          <w:tcPr>
            <w:tcW w:w="720" w:type="dxa"/>
            <w:vAlign w:val="bottom"/>
          </w:tcPr>
          <w:p>
            <w:pPr>
              <w:jc w:val="right"/>
              <w:ind w:right="25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6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1,669</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1,565</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(257)</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(268)</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rPr>
              <w:t>11</w:t>
            </w: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6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b w:val="1"/>
                <w:bCs w:val="1"/>
                <w:color w:val="auto"/>
                <w:w w:val="83"/>
              </w:rPr>
              <w:t>17,186</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b w:val="1"/>
                <w:bCs w:val="1"/>
                <w:color w:val="auto"/>
                <w:w w:val="87"/>
              </w:rPr>
              <w:t>17,798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16"/>
              <w:spacing w:after="0"/>
              <w:rPr>
                <w:sz w:val="20"/>
                <w:szCs w:val="20"/>
                <w:color w:val="auto"/>
              </w:rPr>
            </w:pPr>
            <w:r>
              <w:rPr>
                <w:rFonts w:ascii="Arial" w:cs="Arial" w:eastAsia="Arial" w:hAnsi="Arial"/>
                <w:sz w:val="18"/>
                <w:szCs w:val="18"/>
                <w:b w:val="1"/>
                <w:bCs w:val="1"/>
                <w:color w:val="auto"/>
              </w:rPr>
              <w:t>(612)</w:t>
            </w:r>
          </w:p>
        </w:tc>
        <w:tc>
          <w:tcPr>
            <w:tcW w:w="7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310"/>
        </w:trPr>
        <w:tc>
          <w:tcPr>
            <w:tcW w:w="6780" w:type="dxa"/>
            <w:vAlign w:val="bottom"/>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2,572</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2,408</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164</w:t>
            </w:r>
          </w:p>
        </w:tc>
        <w:tc>
          <w:tcPr>
            <w:tcW w:w="7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60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8"/>
                <w:szCs w:val="18"/>
                <w:color w:val="auto"/>
              </w:rPr>
            </w:pP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18"/>
                <w:szCs w:val="18"/>
                <w:color w:val="auto"/>
              </w:rPr>
            </w:pPr>
          </w:p>
        </w:tc>
        <w:tc>
          <w:tcPr>
            <w:tcW w:w="920" w:type="dxa"/>
            <w:vAlign w:val="bottom"/>
          </w:tcPr>
          <w:p>
            <w:pPr>
              <w:jc w:val="right"/>
              <w:ind w:right="316"/>
              <w:spacing w:after="0"/>
              <w:rPr>
                <w:sz w:val="20"/>
                <w:szCs w:val="20"/>
                <w:color w:val="auto"/>
              </w:rPr>
            </w:pPr>
            <w:r>
              <w:rPr>
                <w:rFonts w:ascii="Arial" w:cs="Arial" w:eastAsia="Arial" w:hAnsi="Arial"/>
                <w:sz w:val="18"/>
                <w:szCs w:val="18"/>
                <w:color w:val="auto"/>
              </w:rPr>
              <w:t>(63)</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w w:val="89"/>
              </w:rPr>
              <w:t>(23.4)</w:t>
            </w:r>
          </w:p>
        </w:tc>
        <w:tc>
          <w:tcPr>
            <w:tcW w:w="0" w:type="dxa"/>
            <w:vAlign w:val="bottom"/>
          </w:tcPr>
          <w:p>
            <w:pPr>
              <w:spacing w:after="0"/>
              <w:rPr>
                <w:sz w:val="1"/>
                <w:szCs w:val="1"/>
                <w:color w:val="auto"/>
              </w:rPr>
            </w:pPr>
          </w:p>
        </w:tc>
      </w:tr>
      <w:tr>
        <w:trPr>
          <w:trHeight w:val="216"/>
        </w:trPr>
        <w:tc>
          <w:tcPr>
            <w:tcW w:w="6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6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(5)</w:t>
            </w:r>
          </w:p>
        </w:tc>
        <w:tc>
          <w:tcPr>
            <w:tcW w:w="38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6"/>
              <w:spacing w:after="0"/>
              <w:rPr>
                <w:sz w:val="20"/>
                <w:szCs w:val="20"/>
                <w:color w:val="auto"/>
              </w:rPr>
            </w:pPr>
            <w:r>
              <w:rPr>
                <w:rFonts w:ascii="Arial" w:cs="Arial" w:eastAsia="Arial" w:hAnsi="Arial"/>
                <w:sz w:val="18"/>
                <w:szCs w:val="18"/>
                <w:color w:val="auto"/>
              </w:rPr>
              <w:t>296</w:t>
            </w:r>
          </w:p>
        </w:tc>
        <w:tc>
          <w:tcPr>
            <w:tcW w:w="7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600" w:type="dxa"/>
            <w:vAlign w:val="bottom"/>
          </w:tcPr>
          <w:p>
            <w:pPr>
              <w:spacing w:after="0"/>
              <w:rPr>
                <w:sz w:val="18"/>
                <w:szCs w:val="18"/>
                <w:color w:val="auto"/>
              </w:rPr>
            </w:pP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747</w:t>
            </w:r>
          </w:p>
        </w:tc>
        <w:tc>
          <w:tcPr>
            <w:tcW w:w="380" w:type="dxa"/>
            <w:vAlign w:val="bottom"/>
          </w:tcPr>
          <w:p>
            <w:pPr>
              <w:spacing w:after="0"/>
              <w:rPr>
                <w:sz w:val="18"/>
                <w:szCs w:val="18"/>
                <w:color w:val="auto"/>
              </w:rPr>
            </w:pP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708</w:t>
            </w:r>
          </w:p>
        </w:tc>
        <w:tc>
          <w:tcPr>
            <w:tcW w:w="380" w:type="dxa"/>
            <w:vAlign w:val="bottom"/>
          </w:tcPr>
          <w:p>
            <w:pPr>
              <w:spacing w:after="0"/>
              <w:rPr>
                <w:sz w:val="18"/>
                <w:szCs w:val="18"/>
                <w:color w:val="auto"/>
              </w:rPr>
            </w:pP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39</w:t>
            </w:r>
          </w:p>
        </w:tc>
        <w:tc>
          <w:tcPr>
            <w:tcW w:w="720" w:type="dxa"/>
            <w:vAlign w:val="bottom"/>
          </w:tcPr>
          <w:p>
            <w:pPr>
              <w:jc w:val="right"/>
              <w:ind w:right="25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6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(421)</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(444)</w:t>
            </w:r>
          </w:p>
        </w:tc>
        <w:tc>
          <w:tcPr>
            <w:tcW w:w="38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jc w:val="right"/>
              <w:ind w:right="376"/>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income (loss) before depreciation and amortization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3,394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2,935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b w:val="1"/>
                <w:bCs w:val="1"/>
                <w:color w:val="auto"/>
              </w:rPr>
              <w:t>459</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3"/>
          </w:tcPr>
          <w:p>
            <w:pPr>
              <w:jc w:val="center"/>
              <w:ind w:left="112"/>
              <w:spacing w:after="0"/>
              <w:rPr>
                <w:sz w:val="20"/>
                <w:szCs w:val="20"/>
                <w:color w:val="auto"/>
              </w:rPr>
            </w:pPr>
            <w:r>
              <w:rPr>
                <w:rFonts w:ascii="Arial" w:cs="Arial" w:eastAsia="Arial" w:hAnsi="Arial"/>
                <w:sz w:val="14"/>
                <w:szCs w:val="14"/>
                <w:color w:val="auto"/>
                <w:w w:val="87"/>
              </w:rPr>
              <w:t>Three Months Ended</w:t>
            </w: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86"/>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left="732"/>
              <w:spacing w:after="0" w:line="159" w:lineRule="exact"/>
              <w:rPr>
                <w:sz w:val="20"/>
                <w:szCs w:val="20"/>
                <w:color w:val="auto"/>
              </w:rPr>
            </w:pPr>
            <w:r>
              <w:rPr>
                <w:rFonts w:ascii="Arial" w:cs="Arial" w:eastAsia="Arial" w:hAnsi="Arial"/>
                <w:sz w:val="14"/>
                <w:szCs w:val="14"/>
                <w:color w:val="auto"/>
                <w:w w:val="86"/>
              </w:rPr>
              <w:t>September 30</w:t>
            </w:r>
          </w:p>
        </w:tc>
        <w:tc>
          <w:tcPr>
            <w:tcW w:w="6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800" w:type="dxa"/>
            <w:vAlign w:val="bottom"/>
          </w:tcPr>
          <w:p>
            <w:pPr>
              <w:spacing w:after="0"/>
              <w:rPr>
                <w:sz w:val="12"/>
                <w:szCs w:val="12"/>
                <w:color w:val="auto"/>
              </w:rPr>
            </w:pPr>
          </w:p>
        </w:tc>
        <w:tc>
          <w:tcPr>
            <w:tcW w:w="1200" w:type="dxa"/>
            <w:vAlign w:val="bottom"/>
            <w:gridSpan w:val="2"/>
          </w:tcPr>
          <w:p>
            <w:pPr>
              <w:jc w:val="right"/>
              <w:ind w:right="312"/>
              <w:spacing w:after="0" w:line="142"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color w:val="auto"/>
              </w:rPr>
              <w:t>2012</w:t>
            </w:r>
          </w:p>
        </w:tc>
        <w:tc>
          <w:tcPr>
            <w:tcW w:w="800" w:type="dxa"/>
            <w:vAlign w:val="bottom"/>
          </w:tcPr>
          <w:p>
            <w:pPr>
              <w:jc w:val="right"/>
              <w:ind w:right="27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800" w:type="dxa"/>
            <w:vAlign w:val="bottom"/>
            <w:tcBorders>
              <w:top w:val="single" w:sz="8" w:color="auto"/>
            </w:tcBorders>
            <w:shd w:val="clear" w:color="auto" w:fill="E5E5E5"/>
          </w:tcPr>
          <w:p>
            <w:pPr>
              <w:spacing w:after="0"/>
              <w:rPr>
                <w:sz w:val="18"/>
                <w:szCs w:val="18"/>
                <w:color w:val="auto"/>
              </w:rPr>
            </w:pPr>
          </w:p>
        </w:tc>
        <w:tc>
          <w:tcPr>
            <w:tcW w:w="2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4000" w:type="dxa"/>
            <w:vAlign w:val="bottom"/>
            <w:gridSpan w:val="3"/>
          </w:tcPr>
          <w:p>
            <w:pPr>
              <w:jc w:val="right"/>
              <w:ind w:right="172"/>
              <w:spacing w:after="0"/>
              <w:rPr>
                <w:sz w:val="20"/>
                <w:szCs w:val="20"/>
                <w:color w:val="auto"/>
              </w:rPr>
            </w:pPr>
            <w:r>
              <w:rPr>
                <w:rFonts w:ascii="Arial" w:cs="Arial" w:eastAsia="Arial" w:hAnsi="Arial"/>
                <w:sz w:val="18"/>
                <w:szCs w:val="18"/>
                <w:color w:val="auto"/>
              </w:rPr>
              <w:t>$ 1,219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w w:val="84"/>
              </w:rPr>
              <w:t>1,157</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$ 62</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400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835</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798</w:t>
            </w:r>
          </w:p>
        </w:tc>
        <w:tc>
          <w:tcPr>
            <w:tcW w:w="800" w:type="dxa"/>
            <w:vAlign w:val="bottom"/>
            <w:shd w:val="clear" w:color="auto" w:fill="E5E5E5"/>
          </w:tcPr>
          <w:p>
            <w:pPr>
              <w:jc w:val="center"/>
              <w:ind w:left="77"/>
              <w:spacing w:after="0"/>
              <w:rPr>
                <w:sz w:val="20"/>
                <w:szCs w:val="20"/>
                <w:color w:val="auto"/>
              </w:rPr>
            </w:pPr>
            <w:r>
              <w:rPr>
                <w:rFonts w:ascii="Arial" w:cs="Arial" w:eastAsia="Arial" w:hAnsi="Arial"/>
                <w:sz w:val="18"/>
                <w:szCs w:val="18"/>
                <w:color w:val="auto"/>
                <w:w w:val="79"/>
              </w:rPr>
              <w:t>37</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40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color w:val="auto"/>
              </w:rPr>
              <w:t>185</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197</w:t>
            </w:r>
          </w:p>
        </w:tc>
        <w:tc>
          <w:tcPr>
            <w:tcW w:w="80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87"/>
              </w:rPr>
              <w:t>(12)</w:t>
            </w: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0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2,239</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b w:val="1"/>
                <w:bCs w:val="1"/>
                <w:color w:val="auto"/>
                <w:w w:val="84"/>
              </w:rPr>
              <w:t>2,152</w:t>
            </w:r>
          </w:p>
        </w:tc>
        <w:tc>
          <w:tcPr>
            <w:tcW w:w="800" w:type="dxa"/>
            <w:vAlign w:val="bottom"/>
            <w:shd w:val="clear" w:color="auto" w:fill="E5E5E5"/>
          </w:tcPr>
          <w:p>
            <w:pPr>
              <w:jc w:val="center"/>
              <w:ind w:left="77"/>
              <w:spacing w:after="0"/>
              <w:rPr>
                <w:sz w:val="20"/>
                <w:szCs w:val="20"/>
                <w:color w:val="auto"/>
              </w:rPr>
            </w:pPr>
            <w:r>
              <w:rPr>
                <w:rFonts w:ascii="Arial" w:cs="Arial" w:eastAsia="Arial" w:hAnsi="Arial"/>
                <w:sz w:val="18"/>
                <w:szCs w:val="18"/>
                <w:b w:val="1"/>
                <w:bCs w:val="1"/>
                <w:color w:val="auto"/>
                <w:w w:val="79"/>
              </w:rPr>
              <w:t>87</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000" w:type="dxa"/>
            <w:vAlign w:val="bottom"/>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953</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918</w:t>
            </w:r>
          </w:p>
        </w:tc>
        <w:tc>
          <w:tcPr>
            <w:tcW w:w="800" w:type="dxa"/>
            <w:vAlign w:val="bottom"/>
            <w:shd w:val="clear" w:color="auto" w:fill="E5E5E5"/>
          </w:tcPr>
          <w:p>
            <w:pPr>
              <w:jc w:val="center"/>
              <w:ind w:left="77"/>
              <w:spacing w:after="0"/>
              <w:rPr>
                <w:sz w:val="20"/>
                <w:szCs w:val="20"/>
                <w:color w:val="auto"/>
              </w:rPr>
            </w:pPr>
            <w:r>
              <w:rPr>
                <w:rFonts w:ascii="Arial" w:cs="Arial" w:eastAsia="Arial" w:hAnsi="Arial"/>
                <w:sz w:val="18"/>
                <w:szCs w:val="18"/>
                <w:color w:val="auto"/>
                <w:w w:val="79"/>
              </w:rPr>
              <w:t>35</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000" w:type="dxa"/>
            <w:vAlign w:val="bottom"/>
            <w:gridSpan w:val="3"/>
          </w:tcPr>
          <w:p>
            <w:pPr>
              <w:jc w:val="right"/>
              <w:ind w:right="172"/>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318</w:t>
            </w:r>
          </w:p>
        </w:tc>
        <w:tc>
          <w:tcPr>
            <w:tcW w:w="800" w:type="dxa"/>
            <w:vAlign w:val="bottom"/>
          </w:tcPr>
          <w:p>
            <w:pPr>
              <w:jc w:val="right"/>
              <w:ind w:right="97"/>
              <w:spacing w:after="0"/>
              <w:rPr>
                <w:sz w:val="20"/>
                <w:szCs w:val="20"/>
                <w:color w:val="auto"/>
              </w:rPr>
            </w:pPr>
            <w:r>
              <w:rPr>
                <w:rFonts w:ascii="Arial" w:cs="Arial" w:eastAsia="Arial" w:hAnsi="Arial"/>
                <w:sz w:val="18"/>
                <w:szCs w:val="18"/>
                <w:color w:val="auto"/>
              </w:rPr>
              <w:t>(5)</w:t>
            </w:r>
          </w:p>
        </w:tc>
        <w:tc>
          <w:tcPr>
            <w:tcW w:w="70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000" w:type="dxa"/>
            <w:vAlign w:val="bottom"/>
            <w:tcBorders>
              <w:bottom w:val="single" w:sz="8" w:color="auto"/>
            </w:tcBorders>
            <w:gridSpan w:val="3"/>
            <w:shd w:val="clear" w:color="auto" w:fill="E5E5E5"/>
          </w:tcPr>
          <w:p>
            <w:pPr>
              <w:jc w:val="right"/>
              <w:ind w:right="172"/>
              <w:spacing w:after="0"/>
              <w:rPr>
                <w:sz w:val="20"/>
                <w:szCs w:val="20"/>
                <w:color w:val="auto"/>
              </w:rPr>
            </w:pPr>
            <w:r>
              <w:rPr>
                <w:rFonts w:ascii="Arial" w:cs="Arial" w:eastAsia="Arial" w:hAnsi="Arial"/>
                <w:sz w:val="18"/>
                <w:szCs w:val="18"/>
                <w:color w:val="auto"/>
              </w:rPr>
              <w:t>120</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107</w:t>
            </w:r>
          </w:p>
        </w:tc>
        <w:tc>
          <w:tcPr>
            <w:tcW w:w="800" w:type="dxa"/>
            <w:vAlign w:val="bottom"/>
            <w:tcBorders>
              <w:bottom w:val="single" w:sz="8" w:color="auto"/>
            </w:tcBorders>
            <w:shd w:val="clear" w:color="auto" w:fill="E5E5E5"/>
          </w:tcPr>
          <w:p>
            <w:pPr>
              <w:jc w:val="center"/>
              <w:ind w:left="77"/>
              <w:spacing w:after="0"/>
              <w:rPr>
                <w:sz w:val="20"/>
                <w:szCs w:val="20"/>
                <w:color w:val="auto"/>
              </w:rPr>
            </w:pPr>
            <w:r>
              <w:rPr>
                <w:rFonts w:ascii="Arial" w:cs="Arial" w:eastAsia="Arial" w:hAnsi="Arial"/>
                <w:sz w:val="18"/>
                <w:szCs w:val="18"/>
                <w:color w:val="auto"/>
                <w:w w:val="79"/>
              </w:rPr>
              <w:t>13</w:t>
            </w: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40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8"/>
                <w:szCs w:val="18"/>
                <w:color w:val="auto"/>
              </w:rPr>
              <w:t>1,386</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4"/>
              </w:rPr>
              <w:t>1,343</w:t>
            </w:r>
          </w:p>
        </w:tc>
        <w:tc>
          <w:tcPr>
            <w:tcW w:w="80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79"/>
              </w:rPr>
              <w:t>43</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000" w:type="dxa"/>
            <w:vAlign w:val="bottom"/>
            <w:tcBorders>
              <w:bottom w:val="single" w:sz="8" w:color="auto"/>
            </w:tcBorders>
            <w:gridSpan w:val="3"/>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  853</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809</w:t>
            </w:r>
          </w:p>
        </w:tc>
        <w:tc>
          <w:tcPr>
            <w:tcW w:w="80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$ 44</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3"/>
          </w:tcPr>
          <w:p>
            <w:pPr>
              <w:jc w:val="center"/>
              <w:ind w:left="132"/>
              <w:spacing w:after="0"/>
              <w:rPr>
                <w:sz w:val="20"/>
                <w:szCs w:val="20"/>
                <w:color w:val="auto"/>
              </w:rPr>
            </w:pPr>
            <w:r>
              <w:rPr>
                <w:rFonts w:ascii="Arial" w:cs="Arial" w:eastAsia="Arial" w:hAnsi="Arial"/>
                <w:sz w:val="14"/>
                <w:szCs w:val="14"/>
                <w:color w:val="auto"/>
                <w:w w:val="87"/>
              </w:rPr>
              <w:t>Nine Months Ended</w:t>
            </w: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bottom w:val="single" w:sz="8" w:color="auto"/>
            </w:tcBorders>
            <w:gridSpan w:val="3"/>
          </w:tcPr>
          <w:p>
            <w:pPr>
              <w:jc w:val="center"/>
              <w:ind w:left="112"/>
              <w:spacing w:after="0" w:line="159" w:lineRule="exact"/>
              <w:rPr>
                <w:sz w:val="20"/>
                <w:szCs w:val="20"/>
                <w:color w:val="auto"/>
              </w:rPr>
            </w:pPr>
            <w:r>
              <w:rPr>
                <w:rFonts w:ascii="Arial" w:cs="Arial" w:eastAsia="Arial" w:hAnsi="Arial"/>
                <w:sz w:val="14"/>
                <w:szCs w:val="14"/>
                <w:color w:val="auto"/>
                <w:w w:val="84"/>
              </w:rPr>
              <w:t>September 30</w:t>
            </w:r>
          </w:p>
        </w:tc>
        <w:tc>
          <w:tcPr>
            <w:tcW w:w="15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820" w:type="dxa"/>
            <w:vAlign w:val="bottom"/>
            <w:gridSpan w:val="2"/>
          </w:tcPr>
          <w:p>
            <w:pPr>
              <w:spacing w:after="0"/>
              <w:rPr>
                <w:sz w:val="12"/>
                <w:szCs w:val="12"/>
                <w:color w:val="auto"/>
              </w:rPr>
            </w:pPr>
          </w:p>
        </w:tc>
        <w:tc>
          <w:tcPr>
            <w:tcW w:w="1180" w:type="dxa"/>
            <w:vAlign w:val="bottom"/>
          </w:tcPr>
          <w:p>
            <w:pPr>
              <w:jc w:val="right"/>
              <w:ind w:right="292"/>
              <w:spacing w:after="0" w:line="142"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Arial" w:cs="Arial" w:eastAsia="Arial" w:hAnsi="Arial"/>
                <w:sz w:val="14"/>
                <w:szCs w:val="14"/>
                <w:color w:val="auto"/>
              </w:rPr>
              <w:t>2012</w:t>
            </w:r>
          </w:p>
        </w:tc>
        <w:tc>
          <w:tcPr>
            <w:tcW w:w="80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800" w:type="dxa"/>
            <w:vAlign w:val="bottom"/>
            <w:tcBorders>
              <w:top w:val="single" w:sz="8" w:color="auto"/>
            </w:tcBorders>
            <w:shd w:val="clear" w:color="auto" w:fill="E5E5E5"/>
          </w:tcPr>
          <w:p>
            <w:pPr>
              <w:spacing w:after="0"/>
              <w:rPr>
                <w:sz w:val="18"/>
                <w:szCs w:val="18"/>
                <w:color w:val="auto"/>
              </w:rPr>
            </w:pPr>
          </w:p>
        </w:tc>
        <w:tc>
          <w:tcPr>
            <w:tcW w:w="2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4000" w:type="dxa"/>
            <w:vAlign w:val="bottom"/>
            <w:gridSpan w:val="3"/>
          </w:tcPr>
          <w:p>
            <w:pPr>
              <w:jc w:val="right"/>
              <w:ind w:right="152"/>
              <w:spacing w:after="0"/>
              <w:rPr>
                <w:sz w:val="20"/>
                <w:szCs w:val="20"/>
                <w:color w:val="auto"/>
              </w:rPr>
            </w:pPr>
            <w:r>
              <w:rPr>
                <w:rFonts w:ascii="Arial" w:cs="Arial" w:eastAsia="Arial" w:hAnsi="Arial"/>
                <w:sz w:val="18"/>
                <w:szCs w:val="18"/>
                <w:color w:val="auto"/>
              </w:rPr>
              <w:t>$ 3,679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w w:val="88"/>
              </w:rPr>
              <w:t>3,467</w:t>
            </w: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$212</w:t>
            </w: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4000" w:type="dxa"/>
            <w:vAlign w:val="bottom"/>
            <w:gridSpan w:val="3"/>
            <w:shd w:val="clear" w:color="auto" w:fill="E5E5E5"/>
          </w:tcPr>
          <w:p>
            <w:pPr>
              <w:jc w:val="right"/>
              <w:ind w:right="152"/>
              <w:spacing w:after="0"/>
              <w:rPr>
                <w:sz w:val="20"/>
                <w:szCs w:val="20"/>
                <w:color w:val="auto"/>
              </w:rPr>
            </w:pPr>
            <w:r>
              <w:rPr>
                <w:rFonts w:ascii="Arial" w:cs="Arial" w:eastAsia="Arial" w:hAnsi="Arial"/>
                <w:sz w:val="18"/>
                <w:szCs w:val="18"/>
                <w:color w:val="auto"/>
              </w:rPr>
              <w:t>2,629</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2,520</w:t>
            </w:r>
          </w:p>
        </w:tc>
        <w:tc>
          <w:tcPr>
            <w:tcW w:w="800" w:type="dxa"/>
            <w:vAlign w:val="bottom"/>
            <w:shd w:val="clear" w:color="auto" w:fill="E5E5E5"/>
          </w:tcPr>
          <w:p>
            <w:pPr>
              <w:jc w:val="center"/>
              <w:ind w:left="57"/>
              <w:spacing w:after="0"/>
              <w:rPr>
                <w:sz w:val="20"/>
                <w:szCs w:val="20"/>
                <w:color w:val="auto"/>
              </w:rPr>
            </w:pPr>
            <w:r>
              <w:rPr>
                <w:rFonts w:ascii="Arial" w:cs="Arial" w:eastAsia="Arial" w:hAnsi="Arial"/>
                <w:sz w:val="18"/>
                <w:szCs w:val="18"/>
                <w:color w:val="auto"/>
                <w:w w:val="86"/>
              </w:rPr>
              <w:t>109</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40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color w:val="auto"/>
              </w:rPr>
              <w:t>569</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533</w:t>
            </w: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36</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000" w:type="dxa"/>
            <w:vAlign w:val="bottom"/>
            <w:gridSpan w:val="3"/>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6,877</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8"/>
              </w:rPr>
              <w:t>6,520</w:t>
            </w:r>
          </w:p>
        </w:tc>
        <w:tc>
          <w:tcPr>
            <w:tcW w:w="800" w:type="dxa"/>
            <w:vAlign w:val="bottom"/>
            <w:shd w:val="clear" w:color="auto" w:fill="E5E5E5"/>
          </w:tcPr>
          <w:p>
            <w:pPr>
              <w:jc w:val="center"/>
              <w:ind w:left="57"/>
              <w:spacing w:after="0"/>
              <w:rPr>
                <w:sz w:val="20"/>
                <w:szCs w:val="20"/>
                <w:color w:val="auto"/>
              </w:rPr>
            </w:pPr>
            <w:r>
              <w:rPr>
                <w:rFonts w:ascii="Arial" w:cs="Arial" w:eastAsia="Arial" w:hAnsi="Arial"/>
                <w:sz w:val="18"/>
                <w:szCs w:val="18"/>
                <w:b w:val="1"/>
                <w:bCs w:val="1"/>
                <w:color w:val="auto"/>
                <w:w w:val="86"/>
              </w:rPr>
              <w:t>357</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000" w:type="dxa"/>
            <w:vAlign w:val="bottom"/>
            <w:gridSpan w:val="3"/>
            <w:shd w:val="clear" w:color="auto" w:fill="E5E5E5"/>
          </w:tcPr>
          <w:p>
            <w:pPr>
              <w:jc w:val="right"/>
              <w:ind w:right="152"/>
              <w:spacing w:after="0"/>
              <w:rPr>
                <w:sz w:val="20"/>
                <w:szCs w:val="20"/>
                <w:color w:val="auto"/>
              </w:rPr>
            </w:pPr>
            <w:r>
              <w:rPr>
                <w:rFonts w:ascii="Arial" w:cs="Arial" w:eastAsia="Arial" w:hAnsi="Arial"/>
                <w:sz w:val="18"/>
                <w:szCs w:val="18"/>
                <w:color w:val="auto"/>
              </w:rPr>
              <w:t>2,945</w:t>
            </w:r>
          </w:p>
        </w:tc>
        <w:tc>
          <w:tcPr>
            <w:tcW w:w="3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2,797</w:t>
            </w:r>
          </w:p>
        </w:tc>
        <w:tc>
          <w:tcPr>
            <w:tcW w:w="800" w:type="dxa"/>
            <w:vAlign w:val="bottom"/>
            <w:shd w:val="clear" w:color="auto" w:fill="E5E5E5"/>
          </w:tcPr>
          <w:p>
            <w:pPr>
              <w:jc w:val="center"/>
              <w:ind w:left="57"/>
              <w:spacing w:after="0"/>
              <w:rPr>
                <w:sz w:val="20"/>
                <w:szCs w:val="20"/>
                <w:color w:val="auto"/>
              </w:rPr>
            </w:pPr>
            <w:r>
              <w:rPr>
                <w:rFonts w:ascii="Arial" w:cs="Arial" w:eastAsia="Arial" w:hAnsi="Arial"/>
                <w:sz w:val="18"/>
                <w:szCs w:val="18"/>
                <w:color w:val="auto"/>
                <w:w w:val="86"/>
              </w:rPr>
              <w:t>148</w:t>
            </w:r>
          </w:p>
        </w:tc>
        <w:tc>
          <w:tcPr>
            <w:tcW w:w="70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000" w:type="dxa"/>
            <w:vAlign w:val="bottom"/>
            <w:gridSpan w:val="3"/>
          </w:tcPr>
          <w:p>
            <w:pPr>
              <w:jc w:val="right"/>
              <w:ind w:right="152"/>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949</w:t>
            </w:r>
          </w:p>
        </w:tc>
        <w:tc>
          <w:tcPr>
            <w:tcW w:w="800" w:type="dxa"/>
            <w:vAlign w:val="bottom"/>
          </w:tcPr>
          <w:p>
            <w:pPr>
              <w:jc w:val="right"/>
              <w:ind w:right="117"/>
              <w:spacing w:after="0"/>
              <w:rPr>
                <w:sz w:val="20"/>
                <w:szCs w:val="20"/>
                <w:color w:val="auto"/>
              </w:rPr>
            </w:pPr>
            <w:r>
              <w:rPr>
                <w:rFonts w:ascii="Arial" w:cs="Arial" w:eastAsia="Arial" w:hAnsi="Arial"/>
                <w:sz w:val="18"/>
                <w:szCs w:val="18"/>
                <w:color w:val="auto"/>
              </w:rPr>
              <w:t>36</w:t>
            </w: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000" w:type="dxa"/>
            <w:vAlign w:val="bottom"/>
            <w:tcBorders>
              <w:bottom w:val="single" w:sz="8" w:color="auto"/>
            </w:tcBorders>
            <w:gridSpan w:val="3"/>
            <w:shd w:val="clear" w:color="auto" w:fill="E5E5E5"/>
          </w:tcPr>
          <w:p>
            <w:pPr>
              <w:jc w:val="right"/>
              <w:ind w:right="152"/>
              <w:spacing w:after="0"/>
              <w:rPr>
                <w:sz w:val="20"/>
                <w:szCs w:val="20"/>
                <w:color w:val="auto"/>
              </w:rPr>
            </w:pPr>
            <w:r>
              <w:rPr>
                <w:rFonts w:ascii="Arial" w:cs="Arial" w:eastAsia="Arial" w:hAnsi="Arial"/>
                <w:sz w:val="18"/>
                <w:szCs w:val="18"/>
                <w:color w:val="auto"/>
              </w:rPr>
              <w:t>375</w:t>
            </w:r>
          </w:p>
        </w:tc>
        <w:tc>
          <w:tcPr>
            <w:tcW w:w="3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366</w:t>
            </w:r>
          </w:p>
        </w:tc>
        <w:tc>
          <w:tcPr>
            <w:tcW w:w="8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40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color w:val="auto"/>
              </w:rPr>
              <w:t>4,305</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8"/>
              </w:rPr>
              <w:t>4,112</w:t>
            </w:r>
          </w:p>
        </w:tc>
        <w:tc>
          <w:tcPr>
            <w:tcW w:w="800" w:type="dxa"/>
            <w:vAlign w:val="bottom"/>
            <w:tcBorders>
              <w:bottom w:val="single" w:sz="8" w:color="auto"/>
            </w:tcBorders>
          </w:tcPr>
          <w:p>
            <w:pPr>
              <w:jc w:val="center"/>
              <w:ind w:left="57"/>
              <w:spacing w:after="0"/>
              <w:rPr>
                <w:sz w:val="20"/>
                <w:szCs w:val="20"/>
                <w:color w:val="auto"/>
              </w:rPr>
            </w:pPr>
            <w:r>
              <w:rPr>
                <w:rFonts w:ascii="Arial" w:cs="Arial" w:eastAsia="Arial" w:hAnsi="Arial"/>
                <w:sz w:val="18"/>
                <w:szCs w:val="18"/>
                <w:color w:val="auto"/>
                <w:w w:val="86"/>
              </w:rPr>
              <w:t>193</w:t>
            </w: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4000" w:type="dxa"/>
            <w:vAlign w:val="bottom"/>
            <w:tcBorders>
              <w:bottom w:val="single" w:sz="8" w:color="auto"/>
            </w:tcBorders>
            <w:gridSpan w:val="3"/>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$ 2,572</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8"/>
              </w:rPr>
              <w:t>2,408</w:t>
            </w:r>
          </w:p>
        </w:tc>
        <w:tc>
          <w:tcPr>
            <w:tcW w:w="8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b w:val="1"/>
                <w:bCs w:val="1"/>
                <w:color w:val="auto"/>
              </w:rPr>
              <w:t>$164</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0" w:type="dxa"/>
            <w:vAlign w:val="bottom"/>
          </w:tcPr>
          <w:p>
            <w:pPr>
              <w:jc w:val="right"/>
              <w:ind w:right="1792"/>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Cable Networks revenue increased for the three and nine months ended September 30, 2013 compared to the same periods in 2012 due to increases in distribution and advertising revenue. The increases in distribution revenue for both periods were primarily due to increases in the contractual rates charged under distribution agreements. Advertising revenue increased 4.6% and 4.3% for the three and nine months ended September 30, 2013, respectively. Higher prices and volume of advertising units sold contributed to increases in the three and nine months ended September 30, 2013 of 7% and 10%, respectively. These increases were partially offset by continuing declines in audience ratings at some of our networks.</w:t>
      </w:r>
    </w:p>
    <w:p>
      <w:pPr>
        <w:spacing w:after="0" w:line="21" w:lineRule="exact"/>
        <w:rPr>
          <w:sz w:val="20"/>
          <w:szCs w:val="20"/>
          <w:color w:val="auto"/>
        </w:rPr>
      </w:pPr>
    </w:p>
    <w:p>
      <w:pPr>
        <w:ind w:right="40"/>
        <w:spacing w:after="0" w:line="352" w:lineRule="auto"/>
        <w:rPr>
          <w:sz w:val="20"/>
          <w:szCs w:val="20"/>
          <w:color w:val="auto"/>
        </w:rPr>
      </w:pPr>
      <w:r>
        <w:rPr>
          <w:rFonts w:ascii="Arial" w:cs="Arial" w:eastAsia="Arial" w:hAnsi="Arial"/>
          <w:sz w:val="18"/>
          <w:szCs w:val="18"/>
          <w:color w:val="auto"/>
        </w:rPr>
        <w:t xml:space="preserve">For the three and nine months ended September 30, 2013 and 2012, 13% of our Cable Networks segment revenue was generated from transactions with Comcast. </w:t>
      </w:r>
      <w:r>
        <w:rPr>
          <w:rFonts w:ascii="Arial" w:cs="Arial" w:eastAsia="Arial" w:hAnsi="Arial"/>
          <w:sz w:val="18"/>
          <w:szCs w:val="18"/>
          <w:b w:val="1"/>
          <w:bCs w:val="1"/>
          <w:color w:val="auto"/>
        </w:rPr>
        <w:t>Cable Networks Segment—Operating Costs and Expenses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three and nine months ended September 30, 2013 compared to the same periods in 2012 primarily due to increases in programming and production costs from our continued investment in original programming at certain of our cable networks and higher sports programming rights costs.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w w:val="96"/>
              </w:rPr>
              <w:t>Three Months Ended</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w w:val="83"/>
              </w:rPr>
              <w:t>Increase/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74"/>
              <w:spacing w:after="0" w:line="159" w:lineRule="exact"/>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6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498"/>
              <w:spacing w:after="0" w:line="142" w:lineRule="exact"/>
              <w:rPr>
                <w:sz w:val="20"/>
                <w:szCs w:val="20"/>
                <w:color w:val="auto"/>
              </w:rPr>
            </w:pPr>
            <w:r>
              <w:rPr>
                <w:rFonts w:ascii="Arial" w:cs="Arial" w:eastAsia="Arial" w:hAnsi="Arial"/>
                <w:sz w:val="14"/>
                <w:szCs w:val="14"/>
                <w:color w:val="auto"/>
                <w:w w:val="83"/>
              </w:rPr>
              <w:t>2013</w:t>
            </w:r>
          </w:p>
        </w:tc>
        <w:tc>
          <w:tcPr>
            <w:tcW w:w="1080" w:type="dxa"/>
            <w:vAlign w:val="bottom"/>
            <w:gridSpan w:val="2"/>
          </w:tcPr>
          <w:p>
            <w:pPr>
              <w:jc w:val="right"/>
              <w:ind w:right="434"/>
              <w:spacing w:after="0" w:line="142"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2"/>
                <w:szCs w:val="12"/>
                <w:color w:val="auto"/>
              </w:rPr>
            </w:pPr>
          </w:p>
        </w:tc>
        <w:tc>
          <w:tcPr>
            <w:tcW w:w="720" w:type="dxa"/>
            <w:vAlign w:val="bottom"/>
          </w:tcPr>
          <w:p>
            <w:pPr>
              <w:jc w:val="right"/>
              <w:ind w:right="51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1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3620" w:type="dxa"/>
            <w:vAlign w:val="bottom"/>
            <w:gridSpan w:val="4"/>
          </w:tcPr>
          <w:p>
            <w:pPr>
              <w:jc w:val="right"/>
              <w:ind w:right="358"/>
              <w:spacing w:after="0"/>
              <w:rPr>
                <w:sz w:val="20"/>
                <w:szCs w:val="20"/>
                <w:color w:val="auto"/>
              </w:rPr>
            </w:pPr>
            <w:r>
              <w:rPr>
                <w:rFonts w:ascii="Arial" w:cs="Arial" w:eastAsia="Arial" w:hAnsi="Arial"/>
                <w:sz w:val="18"/>
                <w:szCs w:val="18"/>
                <w:color w:val="auto"/>
              </w:rPr>
              <w:t>$ 1,104</w:t>
            </w:r>
          </w:p>
        </w:tc>
        <w:tc>
          <w:tcPr>
            <w:tcW w:w="1080" w:type="dxa"/>
            <w:vAlign w:val="bottom"/>
            <w:gridSpan w:val="2"/>
          </w:tcPr>
          <w:p>
            <w:pPr>
              <w:jc w:val="right"/>
              <w:ind w:right="314"/>
              <w:spacing w:after="0"/>
              <w:rPr>
                <w:sz w:val="20"/>
                <w:szCs w:val="20"/>
                <w:color w:val="auto"/>
              </w:rPr>
            </w:pPr>
            <w:r>
              <w:rPr>
                <w:rFonts w:ascii="Arial" w:cs="Arial" w:eastAsia="Arial" w:hAnsi="Arial"/>
                <w:sz w:val="18"/>
                <w:szCs w:val="18"/>
                <w:color w:val="auto"/>
              </w:rPr>
              <w:t>$ 1,998</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8"/>
              <w:spacing w:after="0"/>
              <w:rPr>
                <w:sz w:val="20"/>
                <w:szCs w:val="20"/>
                <w:color w:val="auto"/>
              </w:rPr>
            </w:pPr>
            <w:r>
              <w:rPr>
                <w:rFonts w:ascii="Arial" w:cs="Arial" w:eastAsia="Arial" w:hAnsi="Arial"/>
                <w:sz w:val="18"/>
                <w:szCs w:val="18"/>
                <w:color w:val="auto"/>
                <w:w w:val="95"/>
              </w:rPr>
              <w:t>(894)</w:t>
            </w:r>
          </w:p>
        </w:tc>
        <w:tc>
          <w:tcPr>
            <w:tcW w:w="720" w:type="dxa"/>
            <w:vAlign w:val="bottom"/>
          </w:tcPr>
          <w:p>
            <w:pPr>
              <w:jc w:val="right"/>
              <w:ind w:right="54"/>
              <w:spacing w:after="0"/>
              <w:rPr>
                <w:sz w:val="20"/>
                <w:szCs w:val="20"/>
                <w:color w:val="auto"/>
              </w:rPr>
            </w:pPr>
            <w:r>
              <w:rPr>
                <w:rFonts w:ascii="Arial" w:cs="Arial" w:eastAsia="Arial" w:hAnsi="Arial"/>
                <w:sz w:val="18"/>
                <w:szCs w:val="18"/>
                <w:color w:val="auto"/>
                <w:w w:val="88"/>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rPr>
              <w:t>355</w:t>
            </w:r>
          </w:p>
        </w:tc>
        <w:tc>
          <w:tcPr>
            <w:tcW w:w="1080" w:type="dxa"/>
            <w:vAlign w:val="bottom"/>
            <w:gridSpan w:val="2"/>
            <w:shd w:val="clear" w:color="auto" w:fill="E5E5E5"/>
          </w:tcPr>
          <w:p>
            <w:pPr>
              <w:jc w:val="right"/>
              <w:ind w:right="314"/>
              <w:spacing w:after="0"/>
              <w:rPr>
                <w:sz w:val="20"/>
                <w:szCs w:val="20"/>
                <w:color w:val="auto"/>
              </w:rPr>
            </w:pPr>
            <w:r>
              <w:rPr>
                <w:rFonts w:ascii="Arial" w:cs="Arial" w:eastAsia="Arial" w:hAnsi="Arial"/>
                <w:sz w:val="18"/>
                <w:szCs w:val="18"/>
                <w:color w:val="auto"/>
              </w:rPr>
              <w:t>385</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(30)</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rPr>
              <w:t>185</w:t>
            </w:r>
          </w:p>
        </w:tc>
        <w:tc>
          <w:tcPr>
            <w:tcW w:w="10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8"/>
                <w:szCs w:val="18"/>
                <w:color w:val="auto"/>
              </w:rPr>
              <w:t>407</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w w:val="95"/>
              </w:rPr>
              <w:t>(222)</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9"/>
              </w:rPr>
              <w:t>(54.9)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8"/>
              <w:spacing w:after="0"/>
              <w:rPr>
                <w:sz w:val="20"/>
                <w:szCs w:val="20"/>
                <w:color w:val="auto"/>
              </w:rPr>
            </w:pPr>
            <w:r>
              <w:rPr>
                <w:rFonts w:ascii="Arial" w:cs="Arial" w:eastAsia="Arial" w:hAnsi="Arial"/>
                <w:sz w:val="18"/>
                <w:szCs w:val="18"/>
                <w:b w:val="1"/>
                <w:bCs w:val="1"/>
                <w:color w:val="auto"/>
                <w:w w:val="88"/>
              </w:rPr>
              <w:t>1,644</w:t>
            </w:r>
          </w:p>
        </w:tc>
        <w:tc>
          <w:tcPr>
            <w:tcW w:w="1080" w:type="dxa"/>
            <w:vAlign w:val="bottom"/>
            <w:gridSpan w:val="2"/>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2,790</w:t>
            </w:r>
          </w:p>
        </w:tc>
        <w:tc>
          <w:tcPr>
            <w:tcW w:w="1100" w:type="dxa"/>
            <w:vAlign w:val="bottom"/>
            <w:gridSpan w:val="2"/>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(1,146)</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89"/>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58"/>
              <w:spacing w:after="0"/>
              <w:rPr>
                <w:sz w:val="20"/>
                <w:szCs w:val="20"/>
                <w:color w:val="auto"/>
              </w:rPr>
            </w:pPr>
            <w:r>
              <w:rPr>
                <w:rFonts w:ascii="Arial" w:cs="Arial" w:eastAsia="Arial" w:hAnsi="Arial"/>
                <w:sz w:val="18"/>
                <w:szCs w:val="18"/>
                <w:color w:val="auto"/>
                <w:w w:val="88"/>
              </w:rPr>
              <w:t>1,194</w:t>
            </w:r>
          </w:p>
        </w:tc>
        <w:tc>
          <w:tcPr>
            <w:tcW w:w="1080" w:type="dxa"/>
            <w:vAlign w:val="bottom"/>
            <w:gridSpan w:val="2"/>
            <w:shd w:val="clear" w:color="auto" w:fill="E5E5E5"/>
          </w:tcPr>
          <w:p>
            <w:pPr>
              <w:jc w:val="right"/>
              <w:ind w:right="314"/>
              <w:spacing w:after="0"/>
              <w:rPr>
                <w:sz w:val="20"/>
                <w:szCs w:val="20"/>
                <w:color w:val="auto"/>
              </w:rPr>
            </w:pPr>
            <w:r>
              <w:rPr>
                <w:rFonts w:ascii="Arial" w:cs="Arial" w:eastAsia="Arial" w:hAnsi="Arial"/>
                <w:sz w:val="18"/>
                <w:szCs w:val="18"/>
                <w:color w:val="auto"/>
              </w:rPr>
              <w:t>2,278</w:t>
            </w:r>
          </w:p>
        </w:tc>
        <w:tc>
          <w:tcPr>
            <w:tcW w:w="1100" w:type="dxa"/>
            <w:vAlign w:val="bottom"/>
            <w:gridSpan w:val="2"/>
            <w:shd w:val="clear" w:color="auto" w:fill="E5E5E5"/>
          </w:tcPr>
          <w:p>
            <w:pPr>
              <w:jc w:val="right"/>
              <w:ind w:right="218"/>
              <w:spacing w:after="0"/>
              <w:rPr>
                <w:sz w:val="20"/>
                <w:szCs w:val="20"/>
                <w:color w:val="auto"/>
              </w:rPr>
            </w:pPr>
            <w:r>
              <w:rPr>
                <w:rFonts w:ascii="Arial" w:cs="Arial" w:eastAsia="Arial" w:hAnsi="Arial"/>
                <w:sz w:val="18"/>
                <w:szCs w:val="18"/>
                <w:color w:val="auto"/>
              </w:rPr>
              <w:t>(1,084)</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9"/>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58"/>
              <w:spacing w:after="0"/>
              <w:rPr>
                <w:sz w:val="20"/>
                <w:szCs w:val="20"/>
                <w:color w:val="auto"/>
              </w:rPr>
            </w:pPr>
            <w:r>
              <w:rPr>
                <w:rFonts w:ascii="Arial" w:cs="Arial" w:eastAsia="Arial" w:hAnsi="Arial"/>
                <w:sz w:val="18"/>
                <w:szCs w:val="18"/>
                <w:color w:val="auto"/>
              </w:rPr>
              <w:t>295</w:t>
            </w:r>
          </w:p>
        </w:tc>
        <w:tc>
          <w:tcPr>
            <w:tcW w:w="1080" w:type="dxa"/>
            <w:vAlign w:val="bottom"/>
            <w:gridSpan w:val="2"/>
          </w:tcPr>
          <w:p>
            <w:pPr>
              <w:jc w:val="right"/>
              <w:ind w:right="314"/>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18"/>
                <w:szCs w:val="18"/>
                <w:color w:val="auto"/>
              </w:rPr>
            </w:pPr>
          </w:p>
        </w:tc>
        <w:tc>
          <w:tcPr>
            <w:tcW w:w="720" w:type="dxa"/>
            <w:vAlign w:val="bottom"/>
          </w:tcPr>
          <w:p>
            <w:pPr>
              <w:jc w:val="right"/>
              <w:ind w:right="218"/>
              <w:spacing w:after="0"/>
              <w:rPr>
                <w:sz w:val="20"/>
                <w:szCs w:val="20"/>
                <w:color w:val="auto"/>
              </w:rPr>
            </w:pPr>
            <w:r>
              <w:rPr>
                <w:rFonts w:ascii="Arial" w:cs="Arial" w:eastAsia="Arial" w:hAnsi="Arial"/>
                <w:sz w:val="18"/>
                <w:szCs w:val="18"/>
                <w:color w:val="auto"/>
              </w:rPr>
              <w:t>(13)</w:t>
            </w:r>
          </w:p>
        </w:tc>
        <w:tc>
          <w:tcPr>
            <w:tcW w:w="720" w:type="dxa"/>
            <w:vAlign w:val="bottom"/>
          </w:tcPr>
          <w:p>
            <w:pPr>
              <w:jc w:val="right"/>
              <w:ind w:right="19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color w:val="auto"/>
              </w:rPr>
              <w:t>121</w:t>
            </w:r>
          </w:p>
        </w:tc>
        <w:tc>
          <w:tcPr>
            <w:tcW w:w="1080" w:type="dxa"/>
            <w:vAlign w:val="bottom"/>
            <w:tcBorders>
              <w:bottom w:val="single" w:sz="8" w:color="auto"/>
            </w:tcBorders>
            <w:gridSpan w:val="2"/>
            <w:shd w:val="clear" w:color="auto" w:fill="E5E5E5"/>
          </w:tcPr>
          <w:p>
            <w:pPr>
              <w:jc w:val="right"/>
              <w:ind w:right="314"/>
              <w:spacing w:after="0"/>
              <w:rPr>
                <w:sz w:val="20"/>
                <w:szCs w:val="20"/>
                <w:color w:val="auto"/>
              </w:rPr>
            </w:pPr>
            <w:r>
              <w:rPr>
                <w:rFonts w:ascii="Arial" w:cs="Arial" w:eastAsia="Arial" w:hAnsi="Arial"/>
                <w:sz w:val="18"/>
                <w:szCs w:val="18"/>
                <w:color w:val="auto"/>
              </w:rPr>
              <w:t>116</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78"/>
              <w:spacing w:after="0"/>
              <w:rPr>
                <w:sz w:val="20"/>
                <w:szCs w:val="20"/>
                <w:color w:val="auto"/>
              </w:rPr>
            </w:pPr>
            <w:r>
              <w:rPr>
                <w:rFonts w:ascii="Arial" w:cs="Arial" w:eastAsia="Arial" w:hAnsi="Arial"/>
                <w:sz w:val="18"/>
                <w:szCs w:val="18"/>
                <w:color w:val="auto"/>
              </w:rPr>
              <w:t>5</w:t>
            </w:r>
          </w:p>
        </w:tc>
        <w:tc>
          <w:tcPr>
            <w:tcW w:w="7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color w:val="auto"/>
                <w:w w:val="88"/>
              </w:rPr>
              <w:t>1,610</w:t>
            </w:r>
          </w:p>
        </w:tc>
        <w:tc>
          <w:tcPr>
            <w:tcW w:w="10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8"/>
                <w:szCs w:val="18"/>
                <w:color w:val="auto"/>
              </w:rPr>
              <w:t>2,702</w:t>
            </w:r>
          </w:p>
        </w:tc>
        <w:tc>
          <w:tcPr>
            <w:tcW w:w="110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8"/>
                <w:szCs w:val="18"/>
                <w:color w:val="auto"/>
              </w:rPr>
              <w:t>(1,092)</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9"/>
              </w:rPr>
              <w:t>(40.4)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760" w:type="dxa"/>
            <w:vAlign w:val="bottom"/>
            <w:tcBorders>
              <w:bottom w:val="single" w:sz="8" w:color="auto"/>
            </w:tcBorders>
            <w:gridSpan w:val="3"/>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358"/>
              <w:spacing w:after="0"/>
              <w:rPr>
                <w:sz w:val="20"/>
                <w:szCs w:val="20"/>
                <w:color w:val="auto"/>
              </w:rPr>
            </w:pPr>
            <w:r>
              <w:rPr>
                <w:rFonts w:ascii="Arial" w:cs="Arial" w:eastAsia="Arial" w:hAnsi="Arial"/>
                <w:sz w:val="18"/>
                <w:szCs w:val="18"/>
                <w:b w:val="1"/>
                <w:bCs w:val="1"/>
                <w:color w:val="auto"/>
              </w:rPr>
              <w:t>34</w:t>
            </w:r>
          </w:p>
        </w:tc>
        <w:tc>
          <w:tcPr>
            <w:tcW w:w="4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w w:val="89"/>
              </w:rPr>
              <w:t>88</w:t>
            </w:r>
          </w:p>
        </w:tc>
        <w:tc>
          <w:tcPr>
            <w:tcW w:w="3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18"/>
              <w:spacing w:after="0"/>
              <w:rPr>
                <w:sz w:val="20"/>
                <w:szCs w:val="20"/>
                <w:color w:val="auto"/>
              </w:rPr>
            </w:pPr>
            <w:r>
              <w:rPr>
                <w:rFonts w:ascii="Arial" w:cs="Arial" w:eastAsia="Arial" w:hAnsi="Arial"/>
                <w:sz w:val="18"/>
                <w:szCs w:val="18"/>
                <w:b w:val="1"/>
                <w:bCs w:val="1"/>
                <w:color w:val="auto"/>
              </w:rPr>
              <w:t>(54)</w:t>
            </w:r>
          </w:p>
        </w:tc>
        <w:tc>
          <w:tcPr>
            <w:tcW w:w="7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5"/>
              </w:rPr>
              <w:t>(61.1)%</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color w:val="auto"/>
              </w:rPr>
              <w:t>Nine Months Ended</w:t>
            </w:r>
          </w:p>
        </w:tc>
        <w:tc>
          <w:tcPr>
            <w:tcW w:w="380" w:type="dxa"/>
            <w:vAlign w:val="bottom"/>
          </w:tcPr>
          <w:p>
            <w:pPr>
              <w:spacing w:after="0"/>
              <w:rPr>
                <w:sz w:val="23"/>
                <w:szCs w:val="23"/>
                <w:color w:val="auto"/>
              </w:rPr>
            </w:pPr>
          </w:p>
        </w:tc>
        <w:tc>
          <w:tcPr>
            <w:tcW w:w="1440" w:type="dxa"/>
            <w:vAlign w:val="bottom"/>
            <w:gridSpan w:val="2"/>
          </w:tcPr>
          <w:p>
            <w:pPr>
              <w:jc w:val="right"/>
              <w:ind w:right="61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78"/>
              <w:spacing w:after="0" w:line="142" w:lineRule="exact"/>
              <w:rPr>
                <w:sz w:val="20"/>
                <w:szCs w:val="20"/>
                <w:color w:val="auto"/>
              </w:rPr>
            </w:pPr>
            <w:r>
              <w:rPr>
                <w:rFonts w:ascii="Arial" w:cs="Arial" w:eastAsia="Arial" w:hAnsi="Arial"/>
                <w:sz w:val="14"/>
                <w:szCs w:val="14"/>
                <w:color w:val="auto"/>
              </w:rPr>
              <w:t>2013</w:t>
            </w:r>
          </w:p>
        </w:tc>
        <w:tc>
          <w:tcPr>
            <w:tcW w:w="48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color w:val="auto"/>
                <w:w w:val="83"/>
              </w:rPr>
              <w:t>2012</w:t>
            </w:r>
          </w:p>
        </w:tc>
        <w:tc>
          <w:tcPr>
            <w:tcW w:w="380" w:type="dxa"/>
            <w:vAlign w:val="bottom"/>
          </w:tcPr>
          <w:p>
            <w:pPr>
              <w:spacing w:after="0"/>
              <w:rPr>
                <w:sz w:val="12"/>
                <w:szCs w:val="12"/>
                <w:color w:val="auto"/>
              </w:rPr>
            </w:pPr>
          </w:p>
        </w:tc>
        <w:tc>
          <w:tcPr>
            <w:tcW w:w="720" w:type="dxa"/>
            <w:vAlign w:val="bottom"/>
          </w:tcPr>
          <w:p>
            <w:pPr>
              <w:jc w:val="right"/>
              <w:ind w:right="418"/>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1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$ 3,323</w:t>
            </w:r>
          </w:p>
        </w:tc>
        <w:tc>
          <w:tcPr>
            <w:tcW w:w="1080" w:type="dxa"/>
            <w:vAlign w:val="bottom"/>
            <w:gridSpan w:val="2"/>
          </w:tcPr>
          <w:p>
            <w:pPr>
              <w:jc w:val="right"/>
              <w:ind w:right="114"/>
              <w:spacing w:after="0"/>
              <w:rPr>
                <w:sz w:val="20"/>
                <w:szCs w:val="20"/>
                <w:color w:val="auto"/>
              </w:rPr>
            </w:pPr>
            <w:r>
              <w:rPr>
                <w:rFonts w:ascii="Arial" w:cs="Arial" w:eastAsia="Arial" w:hAnsi="Arial"/>
                <w:sz w:val="18"/>
                <w:szCs w:val="18"/>
                <w:color w:val="auto"/>
              </w:rPr>
              <w:t>$ 4,393</w:t>
            </w:r>
          </w:p>
        </w:tc>
        <w:tc>
          <w:tcPr>
            <w:tcW w:w="1100" w:type="dxa"/>
            <w:vAlign w:val="bottom"/>
            <w:gridSpan w:val="2"/>
          </w:tcPr>
          <w:p>
            <w:pPr>
              <w:jc w:val="right"/>
              <w:ind w:right="118"/>
              <w:spacing w:after="0"/>
              <w:rPr>
                <w:sz w:val="20"/>
                <w:szCs w:val="20"/>
                <w:color w:val="auto"/>
              </w:rPr>
            </w:pPr>
            <w:r>
              <w:rPr>
                <w:rFonts w:ascii="Arial" w:cs="Arial" w:eastAsia="Arial" w:hAnsi="Arial"/>
                <w:sz w:val="18"/>
                <w:szCs w:val="18"/>
                <w:color w:val="auto"/>
              </w:rPr>
              <w:t>$(1,070)</w:t>
            </w:r>
          </w:p>
        </w:tc>
        <w:tc>
          <w:tcPr>
            <w:tcW w:w="720" w:type="dxa"/>
            <w:vAlign w:val="bottom"/>
          </w:tcPr>
          <w:p>
            <w:pPr>
              <w:jc w:val="right"/>
              <w:ind w:right="54"/>
              <w:spacing w:after="0"/>
              <w:rPr>
                <w:sz w:val="20"/>
                <w:szCs w:val="20"/>
                <w:color w:val="auto"/>
              </w:rPr>
            </w:pPr>
            <w:r>
              <w:rPr>
                <w:rFonts w:ascii="Arial" w:cs="Arial" w:eastAsia="Arial" w:hAnsi="Arial"/>
                <w:sz w:val="18"/>
                <w:szCs w:val="18"/>
                <w:color w:val="auto"/>
                <w:w w:val="88"/>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2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1,048</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4"/>
              </w:rPr>
              <w:t>1,173</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(125)</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9"/>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2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522</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637</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(115)</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9"/>
              </w:rPr>
              <w:t>(18.1)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4,893</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b w:val="1"/>
                <w:bCs w:val="1"/>
                <w:color w:val="auto"/>
                <w:w w:val="84"/>
              </w:rPr>
              <w:t>6,203</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8"/>
              <w:spacing w:after="0"/>
              <w:rPr>
                <w:sz w:val="20"/>
                <w:szCs w:val="20"/>
                <w:color w:val="auto"/>
              </w:rPr>
            </w:pPr>
            <w:r>
              <w:rPr>
                <w:rFonts w:ascii="Arial" w:cs="Arial" w:eastAsia="Arial" w:hAnsi="Arial"/>
                <w:sz w:val="18"/>
                <w:szCs w:val="18"/>
                <w:b w:val="1"/>
                <w:bCs w:val="1"/>
                <w:color w:val="auto"/>
                <w:w w:val="87"/>
              </w:rPr>
              <w:t>(1,310)</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w w:val="89"/>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21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38"/>
              <w:spacing w:after="0"/>
              <w:rPr>
                <w:sz w:val="20"/>
                <w:szCs w:val="20"/>
                <w:color w:val="auto"/>
              </w:rPr>
            </w:pPr>
            <w:r>
              <w:rPr>
                <w:rFonts w:ascii="Arial" w:cs="Arial" w:eastAsia="Arial" w:hAnsi="Arial"/>
                <w:sz w:val="18"/>
                <w:szCs w:val="18"/>
                <w:color w:val="auto"/>
              </w:rPr>
              <w:t>3,508</w:t>
            </w: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84"/>
              </w:rPr>
              <w:t>4,791</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w w:val="87"/>
              </w:rPr>
              <w:t>(1,283)</w:t>
            </w:r>
          </w:p>
        </w:tc>
        <w:tc>
          <w:tcPr>
            <w:tcW w:w="72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9"/>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879</w:t>
            </w:r>
          </w:p>
        </w:tc>
        <w:tc>
          <w:tcPr>
            <w:tcW w:w="480" w:type="dxa"/>
            <w:vAlign w:val="bottom"/>
          </w:tcPr>
          <w:p>
            <w:pPr>
              <w:spacing w:after="0"/>
              <w:rPr>
                <w:sz w:val="18"/>
                <w:szCs w:val="18"/>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869</w:t>
            </w:r>
          </w:p>
        </w:tc>
        <w:tc>
          <w:tcPr>
            <w:tcW w:w="380" w:type="dxa"/>
            <w:vAlign w:val="bottom"/>
          </w:tcPr>
          <w:p>
            <w:pPr>
              <w:spacing w:after="0"/>
              <w:rPr>
                <w:sz w:val="18"/>
                <w:szCs w:val="18"/>
                <w:color w:val="auto"/>
              </w:rPr>
            </w:pPr>
          </w:p>
        </w:tc>
        <w:tc>
          <w:tcPr>
            <w:tcW w:w="720" w:type="dxa"/>
            <w:vAlign w:val="bottom"/>
          </w:tcPr>
          <w:p>
            <w:pPr>
              <w:jc w:val="right"/>
              <w:ind w:right="178"/>
              <w:spacing w:after="0"/>
              <w:rPr>
                <w:sz w:val="20"/>
                <w:szCs w:val="20"/>
                <w:color w:val="auto"/>
              </w:rPr>
            </w:pPr>
            <w:r>
              <w:rPr>
                <w:rFonts w:ascii="Arial" w:cs="Arial" w:eastAsia="Arial" w:hAnsi="Arial"/>
                <w:sz w:val="18"/>
                <w:szCs w:val="18"/>
                <w:color w:val="auto"/>
              </w:rPr>
              <w:t>10</w:t>
            </w:r>
          </w:p>
        </w:tc>
        <w:tc>
          <w:tcPr>
            <w:tcW w:w="720" w:type="dxa"/>
            <w:vAlign w:val="bottom"/>
          </w:tcPr>
          <w:p>
            <w:pPr>
              <w:jc w:val="right"/>
              <w:ind w:right="25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2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color w:val="auto"/>
              </w:rPr>
              <w:t>301</w:t>
            </w:r>
          </w:p>
        </w:tc>
        <w:tc>
          <w:tcPr>
            <w:tcW w:w="4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275</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78"/>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2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4,688</w:t>
            </w: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84"/>
              </w:rPr>
              <w:t>5,935</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w w:val="87"/>
              </w:rPr>
              <w:t>(1,247)</w:t>
            </w: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9"/>
              </w:rPr>
              <w:t>(21.0)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1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38"/>
              <w:spacing w:after="0"/>
              <w:rPr>
                <w:sz w:val="20"/>
                <w:szCs w:val="20"/>
                <w:color w:val="auto"/>
              </w:rPr>
            </w:pPr>
            <w:r>
              <w:rPr>
                <w:rFonts w:ascii="Arial" w:cs="Arial" w:eastAsia="Arial" w:hAnsi="Arial"/>
                <w:sz w:val="18"/>
                <w:szCs w:val="18"/>
                <w:b w:val="1"/>
                <w:bCs w:val="1"/>
                <w:color w:val="auto"/>
              </w:rPr>
              <w:t>$  205</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268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8"/>
              <w:spacing w:after="0"/>
              <w:rPr>
                <w:sz w:val="20"/>
                <w:szCs w:val="20"/>
                <w:color w:val="auto"/>
              </w:rPr>
            </w:pPr>
            <w:r>
              <w:rPr>
                <w:rFonts w:ascii="Arial" w:cs="Arial" w:eastAsia="Arial" w:hAnsi="Arial"/>
                <w:sz w:val="18"/>
                <w:szCs w:val="18"/>
                <w:b w:val="1"/>
                <w:bCs w:val="1"/>
                <w:color w:val="auto"/>
              </w:rPr>
              <w:t>(63)</w:t>
            </w:r>
          </w:p>
        </w:tc>
        <w:tc>
          <w:tcPr>
            <w:tcW w:w="7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5"/>
              </w:rPr>
              <w:t>(23.4)%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40" w:type="dxa"/>
            <w:vAlign w:val="bottom"/>
          </w:tcPr>
          <w:p>
            <w:pPr>
              <w:jc w:val="right"/>
              <w:ind w:right="1132"/>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Our Broadcast Television revenue decreased for the three months ended September 30, 2013 compared to the same period in 2012 primarily due to our broadcast of the 2012 London Olympics in the prior year period. Excluding $1.2 billion of revenue associated with this event, Broadcast Television revenue increased 2.6% primarily due to an increase in other revenue from fees recognized under our retransmission consent agreements and higher advertising revenue.</w:t>
      </w:r>
    </w:p>
    <w:p>
      <w:pPr>
        <w:spacing w:after="0" w:line="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Broadcast Television revenue decreased for the nine months ended September 30, 2013 compared to the same period in 2012 primarily due to our broadcasts of the 2012 Super Bowl and the 2012 London Olympics in the prior year period. Excluding $1.4 billion of revenue associated with these events, Broadcast Television revenue increased 2.9% primarily due to fees recognized under our retransmission consent agreements and higher advertising revenue, partially offset by lower content licensing revenue associated with the timing of licensing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decreased for the three months ended September 30, 2013 compared to the same period in 2012 due to lower programming and production costs associated with our broadcast of the 2012 London Olympics in the prior year period. Excluding $1.1 billion of operating costs and expenses associated with this event, operating costs and expenses remained relatively flat.</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costs and expenses decreased for the nine months ended September 30, 2013 compared to the same period in 2012 primarily due to lower programming and production costs associated with our broadcasts of the 2012 Super Bowl and the 2012 London Olympics in the prior year period. Excluding the impact of these events, operating costs and expenses increased primarily due to higher costs associated with our 2013 primetime schedule.</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gridSpan w:val="3"/>
          </w:tcPr>
          <w:p>
            <w:pPr>
              <w:jc w:val="right"/>
              <w:ind w:right="454"/>
              <w:spacing w:after="0"/>
              <w:rPr>
                <w:sz w:val="20"/>
                <w:szCs w:val="20"/>
                <w:color w:val="auto"/>
              </w:rPr>
            </w:pPr>
            <w:r>
              <w:rPr>
                <w:rFonts w:ascii="Arial" w:cs="Arial" w:eastAsia="Arial" w:hAnsi="Arial"/>
                <w:sz w:val="14"/>
                <w:szCs w:val="14"/>
                <w:color w:val="auto"/>
                <w:w w:val="96"/>
              </w:rPr>
              <w:t>Three Months Ended</w:t>
            </w:r>
          </w:p>
        </w:tc>
        <w:tc>
          <w:tcPr>
            <w:tcW w:w="1800" w:type="dxa"/>
            <w:vAlign w:val="bottom"/>
            <w:gridSpan w:val="2"/>
          </w:tcPr>
          <w:p>
            <w:pPr>
              <w:jc w:val="right"/>
              <w:ind w:right="59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2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55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color w:val="auto"/>
                <w:w w:val="83"/>
              </w:rPr>
              <w:t>2013</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2012</w:t>
            </w: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2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7"/>
              <w:spacing w:after="0"/>
              <w:rPr>
                <w:sz w:val="20"/>
                <w:szCs w:val="20"/>
                <w:color w:val="auto"/>
              </w:rPr>
            </w:pPr>
            <w:r>
              <w:rPr>
                <w:rFonts w:ascii="Arial" w:cs="Arial" w:eastAsia="Arial" w:hAnsi="Arial"/>
                <w:sz w:val="18"/>
                <w:szCs w:val="18"/>
                <w:color w:val="auto"/>
              </w:rPr>
              <w:t>559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410</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$ 149</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2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368</w:t>
            </w:r>
          </w:p>
        </w:tc>
        <w:tc>
          <w:tcPr>
            <w:tcW w:w="9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11</w:t>
            </w:r>
          </w:p>
        </w:tc>
        <w:tc>
          <w:tcPr>
            <w:tcW w:w="9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482</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(123)</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103</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95</w:t>
            </w:r>
          </w:p>
        </w:tc>
        <w:tc>
          <w:tcPr>
            <w:tcW w:w="90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8</w:t>
            </w:r>
          </w:p>
        </w:tc>
        <w:tc>
          <w:tcPr>
            <w:tcW w:w="90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b w:val="1"/>
                <w:bCs w:val="1"/>
                <w:color w:val="auto"/>
                <w:w w:val="88"/>
              </w:rPr>
              <w:t>1,400</w:t>
            </w:r>
          </w:p>
        </w:tc>
        <w:tc>
          <w:tcPr>
            <w:tcW w:w="40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b w:val="1"/>
                <w:bCs w:val="1"/>
                <w:color w:val="auto"/>
                <w:w w:val="88"/>
              </w:rPr>
              <w:t>1,355</w:t>
            </w:r>
          </w:p>
        </w:tc>
        <w:tc>
          <w:tcPr>
            <w:tcW w:w="900" w:type="dxa"/>
            <w:vAlign w:val="bottom"/>
          </w:tcPr>
          <w:p>
            <w:pPr>
              <w:jc w:val="right"/>
              <w:ind w:right="117"/>
              <w:spacing w:after="0"/>
              <w:rPr>
                <w:sz w:val="20"/>
                <w:szCs w:val="20"/>
                <w:color w:val="auto"/>
              </w:rPr>
            </w:pPr>
            <w:r>
              <w:rPr>
                <w:rFonts w:ascii="Arial" w:cs="Arial" w:eastAsia="Arial" w:hAnsi="Arial"/>
                <w:sz w:val="18"/>
                <w:szCs w:val="18"/>
                <w:b w:val="1"/>
                <w:bCs w:val="1"/>
                <w:color w:val="auto"/>
              </w:rPr>
              <w:t>45</w:t>
            </w:r>
          </w:p>
        </w:tc>
        <w:tc>
          <w:tcPr>
            <w:tcW w:w="900" w:type="dxa"/>
            <w:vAlign w:val="bottom"/>
          </w:tcPr>
          <w:p>
            <w:pPr>
              <w:jc w:val="right"/>
              <w:ind w:right="254"/>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2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2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ind w:right="197"/>
              <w:spacing w:after="0"/>
              <w:rPr>
                <w:sz w:val="20"/>
                <w:szCs w:val="20"/>
                <w:color w:val="auto"/>
              </w:rPr>
            </w:pPr>
            <w:r>
              <w:rPr>
                <w:rFonts w:ascii="Arial" w:cs="Arial" w:eastAsia="Arial" w:hAnsi="Arial"/>
                <w:sz w:val="18"/>
                <w:szCs w:val="18"/>
                <w:color w:val="auto"/>
              </w:rPr>
              <w:t>720</w:t>
            </w:r>
          </w:p>
        </w:tc>
        <w:tc>
          <w:tcPr>
            <w:tcW w:w="400" w:type="dxa"/>
            <w:vAlign w:val="bottom"/>
          </w:tcPr>
          <w:p>
            <w:pPr>
              <w:spacing w:after="0"/>
              <w:rPr>
                <w:sz w:val="18"/>
                <w:szCs w:val="18"/>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816</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(96)</w:t>
            </w:r>
          </w:p>
        </w:tc>
        <w:tc>
          <w:tcPr>
            <w:tcW w:w="900" w:type="dxa"/>
            <w:vAlign w:val="bottom"/>
          </w:tcPr>
          <w:p>
            <w:pPr>
              <w:jc w:val="right"/>
              <w:ind w:right="19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22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170</w:t>
            </w:r>
          </w:p>
        </w:tc>
        <w:tc>
          <w:tcPr>
            <w:tcW w:w="90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18</w:t>
            </w:r>
          </w:p>
        </w:tc>
        <w:tc>
          <w:tcPr>
            <w:tcW w:w="90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2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303</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297</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w w:val="88"/>
              </w:rPr>
              <w:t>1,211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w w:val="88"/>
              </w:rPr>
              <w:t>1,283</w:t>
            </w:r>
          </w:p>
        </w:tc>
        <w:tc>
          <w:tcPr>
            <w:tcW w:w="900" w:type="dxa"/>
            <w:vAlign w:val="bottom"/>
            <w:tcBorders>
              <w:bottom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(72)</w:t>
            </w:r>
          </w:p>
        </w:tc>
        <w:tc>
          <w:tcPr>
            <w:tcW w:w="90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189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72</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$ 117</w:t>
            </w: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164.1%</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260" w:type="dxa"/>
            <w:vAlign w:val="bottom"/>
          </w:tcPr>
          <w:p>
            <w:pPr>
              <w:jc w:val="right"/>
              <w:ind w:right="1252"/>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3"/>
          </w:tcPr>
          <w:p>
            <w:pPr>
              <w:jc w:val="right"/>
              <w:ind w:right="434"/>
              <w:spacing w:after="0"/>
              <w:rPr>
                <w:sz w:val="20"/>
                <w:szCs w:val="20"/>
                <w:color w:val="auto"/>
              </w:rPr>
            </w:pPr>
            <w:r>
              <w:rPr>
                <w:rFonts w:ascii="Arial" w:cs="Arial" w:eastAsia="Arial" w:hAnsi="Arial"/>
                <w:sz w:val="14"/>
                <w:szCs w:val="14"/>
                <w:color w:val="auto"/>
                <w:w w:val="95"/>
              </w:rPr>
              <w:t>Nine Months Ended</w:t>
            </w:r>
          </w:p>
        </w:tc>
        <w:tc>
          <w:tcPr>
            <w:tcW w:w="1620" w:type="dxa"/>
            <w:vAlign w:val="bottom"/>
            <w:gridSpan w:val="2"/>
          </w:tcPr>
          <w:p>
            <w:pPr>
              <w:jc w:val="right"/>
              <w:ind w:right="47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4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color w:val="auto"/>
                <w:w w:val="83"/>
              </w:rPr>
              <w:t>2013</w:t>
            </w: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76"/>
              </w:rPr>
              <w:t>2012</w:t>
            </w:r>
          </w:p>
        </w:tc>
        <w:tc>
          <w:tcPr>
            <w:tcW w:w="8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1,425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1,176</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$ 249</w:t>
            </w: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w w:val="88"/>
              </w:rPr>
              <w:t>1,223</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w w:val="84"/>
              </w:rPr>
              <w:t>1,127</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96</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4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1,069</w:t>
            </w:r>
          </w:p>
        </w:tc>
        <w:tc>
          <w:tcPr>
            <w:tcW w:w="38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1,179</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(110)</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287</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296</w:t>
            </w:r>
          </w:p>
        </w:tc>
        <w:tc>
          <w:tcPr>
            <w:tcW w:w="8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(9)</w:t>
            </w: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b w:val="1"/>
                <w:bCs w:val="1"/>
                <w:color w:val="auto"/>
                <w:w w:val="88"/>
              </w:rPr>
              <w:t>4,004</w:t>
            </w:r>
          </w:p>
        </w:tc>
        <w:tc>
          <w:tcPr>
            <w:tcW w:w="38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b w:val="1"/>
                <w:bCs w:val="1"/>
                <w:color w:val="auto"/>
                <w:w w:val="84"/>
              </w:rPr>
              <w:t>3,778</w:t>
            </w:r>
          </w:p>
        </w:tc>
        <w:tc>
          <w:tcPr>
            <w:tcW w:w="880" w:type="dxa"/>
            <w:vAlign w:val="bottom"/>
          </w:tcPr>
          <w:p>
            <w:pPr>
              <w:jc w:val="right"/>
              <w:ind w:right="137"/>
              <w:spacing w:after="0"/>
              <w:rPr>
                <w:sz w:val="20"/>
                <w:szCs w:val="20"/>
                <w:color w:val="auto"/>
              </w:rPr>
            </w:pPr>
            <w:r>
              <w:rPr>
                <w:rFonts w:ascii="Arial" w:cs="Arial" w:eastAsia="Arial" w:hAnsi="Arial"/>
                <w:sz w:val="18"/>
                <w:szCs w:val="18"/>
                <w:b w:val="1"/>
                <w:bCs w:val="1"/>
                <w:color w:val="auto"/>
              </w:rPr>
              <w:t>226</w:t>
            </w:r>
          </w:p>
        </w:tc>
        <w:tc>
          <w:tcPr>
            <w:tcW w:w="740" w:type="dxa"/>
            <w:vAlign w:val="bottom"/>
          </w:tcPr>
          <w:p>
            <w:pPr>
              <w:jc w:val="right"/>
              <w:ind w:right="134"/>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7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540" w:type="dxa"/>
            <w:vAlign w:val="bottom"/>
          </w:tcPr>
          <w:p>
            <w:pPr>
              <w:spacing w:after="0"/>
              <w:rPr>
                <w:sz w:val="18"/>
                <w:szCs w:val="18"/>
                <w:color w:val="auto"/>
              </w:rPr>
            </w:pPr>
          </w:p>
        </w:tc>
        <w:tc>
          <w:tcPr>
            <w:tcW w:w="660" w:type="dxa"/>
            <w:vAlign w:val="bottom"/>
          </w:tcPr>
          <w:p>
            <w:pPr>
              <w:jc w:val="right"/>
              <w:ind w:right="157"/>
              <w:spacing w:after="0"/>
              <w:rPr>
                <w:sz w:val="20"/>
                <w:szCs w:val="20"/>
                <w:color w:val="auto"/>
              </w:rPr>
            </w:pPr>
            <w:r>
              <w:rPr>
                <w:rFonts w:ascii="Arial" w:cs="Arial" w:eastAsia="Arial" w:hAnsi="Arial"/>
                <w:sz w:val="18"/>
                <w:szCs w:val="18"/>
                <w:color w:val="auto"/>
                <w:w w:val="88"/>
              </w:rPr>
              <w:t>2,235</w:t>
            </w:r>
          </w:p>
        </w:tc>
        <w:tc>
          <w:tcPr>
            <w:tcW w:w="380" w:type="dxa"/>
            <w:vAlign w:val="bottom"/>
          </w:tcPr>
          <w:p>
            <w:pPr>
              <w:spacing w:after="0"/>
              <w:rPr>
                <w:sz w:val="18"/>
                <w:szCs w:val="18"/>
                <w:color w:val="auto"/>
              </w:rPr>
            </w:pP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2,199</w:t>
            </w: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36</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5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519</w:t>
            </w:r>
          </w:p>
        </w:tc>
        <w:tc>
          <w:tcPr>
            <w:tcW w:w="3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4"/>
              <w:spacing w:after="0"/>
              <w:rPr>
                <w:sz w:val="20"/>
                <w:szCs w:val="20"/>
                <w:color w:val="auto"/>
              </w:rPr>
            </w:pPr>
            <w:r>
              <w:rPr>
                <w:rFonts w:ascii="Arial" w:cs="Arial" w:eastAsia="Arial" w:hAnsi="Arial"/>
                <w:sz w:val="18"/>
                <w:szCs w:val="18"/>
                <w:color w:val="auto"/>
              </w:rPr>
              <w:t>469</w:t>
            </w:r>
          </w:p>
        </w:tc>
        <w:tc>
          <w:tcPr>
            <w:tcW w:w="8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50</w:t>
            </w:r>
          </w:p>
        </w:tc>
        <w:tc>
          <w:tcPr>
            <w:tcW w:w="7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959</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w w:val="84"/>
              </w:rPr>
              <w:t>1,115</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(156)</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w w:val="88"/>
              </w:rPr>
              <w:t>3,713</w:t>
            </w:r>
          </w:p>
        </w:tc>
        <w:tc>
          <w:tcPr>
            <w:tcW w:w="3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w w:val="84"/>
              </w:rPr>
              <w:t>3,783</w:t>
            </w:r>
          </w:p>
        </w:tc>
        <w:tc>
          <w:tcPr>
            <w:tcW w:w="8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(70)</w:t>
            </w: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(loss) before depreciation and amortization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291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(5)</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$ 296</w:t>
            </w: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Our Filmed Entertainment revenue increased for the three and nine months ended September 30, 2013 compared to the same periods in 2012 primarily due to increases in theatrical revenue, partially offset by decreases in home entertainment revenue. The increases in theatrical revenue were primarily due to the strong performance of </w:t>
      </w:r>
      <w:r>
        <w:rPr>
          <w:rFonts w:ascii="Arial" w:cs="Arial" w:eastAsia="Arial" w:hAnsi="Arial"/>
          <w:sz w:val="16"/>
          <w:szCs w:val="16"/>
          <w:i w:val="1"/>
          <w:iCs w:val="1"/>
          <w:color w:val="auto"/>
        </w:rPr>
        <w:t>Despicable Me 2</w:t>
      </w:r>
      <w:r>
        <w:rPr>
          <w:rFonts w:ascii="Arial" w:cs="Arial" w:eastAsia="Arial" w:hAnsi="Arial"/>
          <w:sz w:val="16"/>
          <w:szCs w:val="16"/>
          <w:color w:val="auto"/>
        </w:rPr>
        <w:t xml:space="preserve"> in the current quarter, as well as </w:t>
      </w:r>
      <w:r>
        <w:rPr>
          <w:rFonts w:ascii="Arial" w:cs="Arial" w:eastAsia="Arial" w:hAnsi="Arial"/>
          <w:sz w:val="16"/>
          <w:szCs w:val="16"/>
          <w:i w:val="1"/>
          <w:iCs w:val="1"/>
          <w:color w:val="auto"/>
        </w:rPr>
        <w:t>Fast and Furious 6</w:t>
      </w:r>
      <w:r>
        <w:rPr>
          <w:rFonts w:ascii="Arial" w:cs="Arial" w:eastAsia="Arial" w:hAnsi="Arial"/>
          <w:sz w:val="16"/>
          <w:szCs w:val="16"/>
          <w:color w:val="auto"/>
        </w:rPr>
        <w:t xml:space="preserve">, </w:t>
      </w:r>
      <w:r>
        <w:rPr>
          <w:rFonts w:ascii="Arial" w:cs="Arial" w:eastAsia="Arial" w:hAnsi="Arial"/>
          <w:sz w:val="16"/>
          <w:szCs w:val="16"/>
          <w:i w:val="1"/>
          <w:iCs w:val="1"/>
          <w:color w:val="auto"/>
        </w:rPr>
        <w:t>Les Miserables</w:t>
      </w:r>
      <w:r>
        <w:rPr>
          <w:rFonts w:ascii="Arial" w:cs="Arial" w:eastAsia="Arial" w:hAnsi="Arial"/>
          <w:sz w:val="16"/>
          <w:szCs w:val="16"/>
          <w:color w:val="auto"/>
        </w:rPr>
        <w:t xml:space="preserve">, </w:t>
      </w:r>
      <w:r>
        <w:rPr>
          <w:rFonts w:ascii="Arial" w:cs="Arial" w:eastAsia="Arial" w:hAnsi="Arial"/>
          <w:sz w:val="16"/>
          <w:szCs w:val="16"/>
          <w:i w:val="1"/>
          <w:iCs w:val="1"/>
          <w:color w:val="auto"/>
        </w:rPr>
        <w:t>Identity Thief</w:t>
      </w:r>
      <w:r>
        <w:rPr>
          <w:rFonts w:ascii="Arial" w:cs="Arial" w:eastAsia="Arial" w:hAnsi="Arial"/>
          <w:sz w:val="16"/>
          <w:szCs w:val="16"/>
          <w:color w:val="auto"/>
        </w:rPr>
        <w:t xml:space="preserve"> and </w:t>
      </w:r>
      <w:r>
        <w:rPr>
          <w:rFonts w:ascii="Arial" w:cs="Arial" w:eastAsia="Arial" w:hAnsi="Arial"/>
          <w:sz w:val="16"/>
          <w:szCs w:val="16"/>
          <w:i w:val="1"/>
          <w:iCs w:val="1"/>
          <w:color w:val="auto"/>
        </w:rPr>
        <w:t>Mama</w:t>
      </w:r>
      <w:r>
        <w:rPr>
          <w:rFonts w:ascii="Arial" w:cs="Arial" w:eastAsia="Arial" w:hAnsi="Arial"/>
          <w:sz w:val="16"/>
          <w:szCs w:val="16"/>
          <w:color w:val="auto"/>
        </w:rPr>
        <w:t xml:space="preserve"> for the nine months ended September 30, 2013. The decreases in home entertainment revenue were primarily due to fewer releases in the current year periods. Content licensing revenue also increased for the nine months ended September 30, 2013 primarily due to the international licensing of our 2012 theatrical releases.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costs and expenses decreased for the three months ended September 30, 2013 compared to the same period in 2012 primarily due to lower amortization of film costs, including films in production.</w:t>
      </w:r>
    </w:p>
    <w:p>
      <w:pPr>
        <w:spacing w:after="0" w:line="3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Operating costs and expenses decreased for the nine months ended September 30, 2013 compared to the same period in 2012 primarily due to lower advertising, marketing and promotion expenses associated with our 2013 theatrical releases. The decrease was partially offset by higher amortization of film costs and higher other operating and administrative expenses due to the realization of a receivable in the prior year period that was previously reserved for as uncollectible.</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4"/>
          </w:tcPr>
          <w:p>
            <w:pPr>
              <w:ind w:left="160"/>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ind w:left="520"/>
              <w:spacing w:after="0"/>
              <w:rPr>
                <w:sz w:val="20"/>
                <w:szCs w:val="20"/>
                <w:color w:val="auto"/>
              </w:rPr>
            </w:pPr>
            <w:r>
              <w:rPr>
                <w:rFonts w:ascii="Arial" w:cs="Arial" w:eastAsia="Arial" w:hAnsi="Arial"/>
                <w:sz w:val="14"/>
                <w:szCs w:val="14"/>
                <w:color w:val="auto"/>
                <w:w w:val="90"/>
              </w:rPr>
              <w:t>Increase/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480"/>
              <w:spacing w:after="0" w:line="159" w:lineRule="exact"/>
              <w:rPr>
                <w:sz w:val="20"/>
                <w:szCs w:val="20"/>
                <w:color w:val="auto"/>
              </w:rPr>
            </w:pPr>
            <w:r>
              <w:rPr>
                <w:rFonts w:ascii="Arial" w:cs="Arial" w:eastAsia="Arial" w:hAnsi="Arial"/>
                <w:sz w:val="14"/>
                <w:szCs w:val="14"/>
                <w:color w:val="auto"/>
                <w:w w:val="80"/>
              </w:rPr>
              <w:t>(Decrease)</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2013</w:t>
            </w:r>
          </w:p>
        </w:tc>
        <w:tc>
          <w:tcPr>
            <w:tcW w:w="6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415"/>
              <w:spacing w:after="0" w:line="142" w:lineRule="exact"/>
              <w:rPr>
                <w:sz w:val="20"/>
                <w:szCs w:val="20"/>
                <w:color w:val="auto"/>
              </w:rPr>
            </w:pPr>
            <w:r>
              <w:rPr>
                <w:rFonts w:ascii="Arial" w:cs="Arial" w:eastAsia="Arial" w:hAnsi="Arial"/>
                <w:sz w:val="14"/>
                <w:szCs w:val="14"/>
                <w:color w:val="auto"/>
                <w:w w:val="89"/>
              </w:rPr>
              <w:t>2012</w:t>
            </w:r>
          </w:p>
        </w:tc>
        <w:tc>
          <w:tcPr>
            <w:tcW w:w="1060" w:type="dxa"/>
            <w:vAlign w:val="bottom"/>
            <w:tcBorders>
              <w:bottom w:val="single" w:sz="8" w:color="auto"/>
            </w:tcBorders>
          </w:tcPr>
          <w:p>
            <w:pPr>
              <w:jc w:val="center"/>
              <w:ind w:right="202"/>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060" w:type="dxa"/>
            <w:vAlign w:val="bottom"/>
            <w:gridSpan w:val="3"/>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180"/>
              <w:spacing w:after="0"/>
              <w:rPr>
                <w:sz w:val="20"/>
                <w:szCs w:val="20"/>
                <w:color w:val="auto"/>
              </w:rPr>
            </w:pPr>
            <w:r>
              <w:rPr>
                <w:rFonts w:ascii="Arial" w:cs="Arial" w:eastAsia="Arial" w:hAnsi="Arial"/>
                <w:sz w:val="18"/>
                <w:szCs w:val="18"/>
                <w:color w:val="auto"/>
                <w:w w:val="79"/>
              </w:rPr>
              <w:t>661</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spacing w:after="0"/>
              <w:rPr>
                <w:sz w:val="18"/>
                <w:szCs w:val="18"/>
                <w:color w:val="auto"/>
              </w:rPr>
            </w:pPr>
          </w:p>
        </w:tc>
        <w:tc>
          <w:tcPr>
            <w:tcW w:w="640" w:type="dxa"/>
            <w:vAlign w:val="bottom"/>
            <w:shd w:val="clear" w:color="auto" w:fill="E5E5E5"/>
          </w:tcPr>
          <w:p>
            <w:pPr>
              <w:ind w:left="20"/>
              <w:spacing w:after="0"/>
              <w:rPr>
                <w:sz w:val="20"/>
                <w:szCs w:val="20"/>
                <w:color w:val="auto"/>
              </w:rPr>
            </w:pPr>
            <w:r>
              <w:rPr>
                <w:rFonts w:ascii="Arial" w:cs="Arial" w:eastAsia="Arial" w:hAnsi="Arial"/>
                <w:sz w:val="18"/>
                <w:szCs w:val="18"/>
                <w:color w:val="auto"/>
              </w:rPr>
              <w:t>614</w:t>
            </w:r>
          </w:p>
        </w:tc>
        <w:tc>
          <w:tcPr>
            <w:tcW w:w="1060" w:type="dxa"/>
            <w:vAlign w:val="bottom"/>
            <w:shd w:val="clear" w:color="auto" w:fill="E5E5E5"/>
          </w:tcPr>
          <w:p>
            <w:pPr>
              <w:jc w:val="center"/>
              <w:ind w:right="202"/>
              <w:spacing w:after="0"/>
              <w:rPr>
                <w:sz w:val="20"/>
                <w:szCs w:val="20"/>
                <w:color w:val="auto"/>
              </w:rPr>
            </w:pPr>
            <w:r>
              <w:rPr>
                <w:rFonts w:ascii="Arial" w:cs="Arial" w:eastAsia="Arial" w:hAnsi="Arial"/>
                <w:sz w:val="18"/>
                <w:szCs w:val="18"/>
                <w:color w:val="auto"/>
                <w:w w:val="96"/>
              </w:rPr>
              <w:t>$ 47</w:t>
            </w:r>
          </w:p>
        </w:tc>
        <w:tc>
          <w:tcPr>
            <w:tcW w:w="480" w:type="dxa"/>
            <w:vAlign w:val="bottom"/>
            <w:shd w:val="clear" w:color="auto" w:fill="E5E5E5"/>
          </w:tcPr>
          <w:p>
            <w:pPr>
              <w:ind w:lef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318</w:t>
            </w: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298</w:t>
            </w:r>
          </w:p>
        </w:tc>
        <w:tc>
          <w:tcPr>
            <w:tcW w:w="1060" w:type="dxa"/>
            <w:vAlign w:val="bottom"/>
            <w:tcBorders>
              <w:bottom w:val="single" w:sz="8" w:color="auto"/>
            </w:tcBorders>
          </w:tcPr>
          <w:p>
            <w:pPr>
              <w:jc w:val="center"/>
              <w:ind w:right="42"/>
              <w:spacing w:after="0"/>
              <w:rPr>
                <w:sz w:val="20"/>
                <w:szCs w:val="20"/>
                <w:color w:val="auto"/>
              </w:rPr>
            </w:pPr>
            <w:r>
              <w:rPr>
                <w:rFonts w:ascii="Arial" w:cs="Arial" w:eastAsia="Arial" w:hAnsi="Arial"/>
                <w:sz w:val="18"/>
                <w:szCs w:val="18"/>
                <w:color w:val="auto"/>
                <w:w w:val="89"/>
              </w:rPr>
              <w:t>20</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060" w:type="dxa"/>
            <w:vAlign w:val="bottom"/>
            <w:tcBorders>
              <w:bottom w:val="single" w:sz="8" w:color="auto"/>
            </w:tcBorders>
            <w:gridSpan w:val="3"/>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343</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316</w:t>
            </w:r>
          </w:p>
        </w:tc>
        <w:tc>
          <w:tcPr>
            <w:tcW w:w="1060" w:type="dxa"/>
            <w:vAlign w:val="bottom"/>
            <w:tcBorders>
              <w:bottom w:val="single" w:sz="8" w:color="auto"/>
            </w:tcBorders>
            <w:shd w:val="clear" w:color="auto" w:fill="E5E5E5"/>
          </w:tcPr>
          <w:p>
            <w:pPr>
              <w:jc w:val="center"/>
              <w:ind w:right="202"/>
              <w:spacing w:after="0"/>
              <w:rPr>
                <w:sz w:val="20"/>
                <w:szCs w:val="20"/>
                <w:color w:val="auto"/>
              </w:rPr>
            </w:pPr>
            <w:r>
              <w:rPr>
                <w:rFonts w:ascii="Arial" w:cs="Arial" w:eastAsia="Arial" w:hAnsi="Arial"/>
                <w:sz w:val="18"/>
                <w:szCs w:val="18"/>
                <w:b w:val="1"/>
                <w:bCs w:val="1"/>
                <w:color w:val="auto"/>
                <w:w w:val="96"/>
              </w:rPr>
              <w:t>$ 27</w:t>
            </w:r>
          </w:p>
        </w:tc>
        <w:tc>
          <w:tcPr>
            <w:tcW w:w="4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73"/>
        </w:trPr>
        <w:tc>
          <w:tcPr>
            <w:tcW w:w="490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gridSpan w:val="4"/>
          </w:tcPr>
          <w:p>
            <w:pPr>
              <w:ind w:left="400"/>
              <w:spacing w:after="0"/>
              <w:rPr>
                <w:sz w:val="20"/>
                <w:szCs w:val="20"/>
                <w:color w:val="auto"/>
              </w:rPr>
            </w:pPr>
            <w:r>
              <w:rPr>
                <w:rFonts w:ascii="Arial" w:cs="Arial" w:eastAsia="Arial" w:hAnsi="Arial"/>
                <w:sz w:val="14"/>
                <w:szCs w:val="14"/>
                <w:color w:val="auto"/>
              </w:rPr>
              <w:t>Nine Months Ended</w:t>
            </w:r>
          </w:p>
        </w:tc>
        <w:tc>
          <w:tcPr>
            <w:tcW w:w="1060" w:type="dxa"/>
            <w:vAlign w:val="bottom"/>
          </w:tcPr>
          <w:p>
            <w:pPr>
              <w:ind w:left="560"/>
              <w:spacing w:after="0"/>
              <w:rPr>
                <w:sz w:val="20"/>
                <w:szCs w:val="20"/>
                <w:color w:val="auto"/>
              </w:rPr>
            </w:pPr>
            <w:r>
              <w:rPr>
                <w:rFonts w:ascii="Arial" w:cs="Arial" w:eastAsia="Arial" w:hAnsi="Arial"/>
                <w:sz w:val="14"/>
                <w:szCs w:val="14"/>
                <w:color w:val="auto"/>
                <w:w w:val="83"/>
              </w:rPr>
              <w:t>Increase/</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515"/>
              <w:spacing w:after="0" w:line="159" w:lineRule="exact"/>
              <w:rPr>
                <w:sz w:val="20"/>
                <w:szCs w:val="20"/>
                <w:color w:val="auto"/>
              </w:rPr>
            </w:pPr>
            <w:r>
              <w:rPr>
                <w:rFonts w:ascii="Arial" w:cs="Arial" w:eastAsia="Arial" w:hAnsi="Arial"/>
                <w:sz w:val="14"/>
                <w:szCs w:val="14"/>
                <w:color w:val="auto"/>
                <w:w w:val="97"/>
              </w:rPr>
              <w:t>September 30</w:t>
            </w:r>
          </w:p>
        </w:tc>
        <w:tc>
          <w:tcPr>
            <w:tcW w:w="1540" w:type="dxa"/>
            <w:vAlign w:val="bottom"/>
            <w:tcBorders>
              <w:bottom w:val="single" w:sz="8" w:color="auto"/>
            </w:tcBorders>
            <w:gridSpan w:val="2"/>
          </w:tcPr>
          <w:p>
            <w:pPr>
              <w:ind w:left="5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476"/>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jc w:val="center"/>
              <w:ind w:right="42"/>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ind w:left="160"/>
              <w:spacing w:after="0"/>
              <w:rPr>
                <w:sz w:val="20"/>
                <w:szCs w:val="20"/>
                <w:color w:val="auto"/>
              </w:rPr>
            </w:pPr>
            <w:r>
              <w:rPr>
                <w:rFonts w:ascii="Arial" w:cs="Arial" w:eastAsia="Arial" w:hAnsi="Arial"/>
                <w:sz w:val="18"/>
                <w:szCs w:val="18"/>
                <w:color w:val="auto"/>
              </w:rPr>
              <w:t>$ 1,669</w:t>
            </w:r>
          </w:p>
        </w:tc>
        <w:tc>
          <w:tcPr>
            <w:tcW w:w="1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93"/>
              </w:rPr>
              <w:t>1,565</w:t>
            </w:r>
          </w:p>
        </w:tc>
        <w:tc>
          <w:tcPr>
            <w:tcW w:w="1060" w:type="dxa"/>
            <w:vAlign w:val="bottom"/>
            <w:shd w:val="clear" w:color="auto" w:fill="E5E5E5"/>
          </w:tcPr>
          <w:p>
            <w:pPr>
              <w:jc w:val="center"/>
              <w:ind w:right="62"/>
              <w:spacing w:after="0"/>
              <w:rPr>
                <w:sz w:val="20"/>
                <w:szCs w:val="20"/>
                <w:color w:val="auto"/>
              </w:rPr>
            </w:pPr>
            <w:r>
              <w:rPr>
                <w:rFonts w:ascii="Arial" w:cs="Arial" w:eastAsia="Arial" w:hAnsi="Arial"/>
                <w:sz w:val="18"/>
                <w:szCs w:val="18"/>
                <w:color w:val="auto"/>
                <w:w w:val="89"/>
              </w:rPr>
              <w:t>$104</w:t>
            </w:r>
          </w:p>
        </w:tc>
        <w:tc>
          <w:tcPr>
            <w:tcW w:w="480" w:type="dxa"/>
            <w:vAlign w:val="bottom"/>
            <w:shd w:val="clear" w:color="auto" w:fill="E5E5E5"/>
          </w:tcPr>
          <w:p>
            <w:pPr>
              <w:ind w:lef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922</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857</w:t>
            </w: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65</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4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2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336"/>
              <w:spacing w:after="0"/>
              <w:rPr>
                <w:sz w:val="20"/>
                <w:szCs w:val="20"/>
                <w:color w:val="auto"/>
              </w:rPr>
            </w:pPr>
            <w:r>
              <w:rPr>
                <w:rFonts w:ascii="Arial" w:cs="Arial" w:eastAsia="Arial" w:hAnsi="Arial"/>
                <w:sz w:val="18"/>
                <w:szCs w:val="18"/>
                <w:b w:val="1"/>
                <w:bCs w:val="1"/>
                <w:color w:val="auto"/>
                <w:w w:val="79"/>
              </w:rPr>
              <w:t>747</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708</w:t>
            </w:r>
          </w:p>
        </w:tc>
        <w:tc>
          <w:tcPr>
            <w:tcW w:w="1060" w:type="dxa"/>
            <w:vAlign w:val="bottom"/>
            <w:tcBorders>
              <w:bottom w:val="single" w:sz="8" w:color="auto"/>
            </w:tcBorders>
            <w:shd w:val="clear" w:color="auto" w:fill="E5E5E5"/>
          </w:tcPr>
          <w:p>
            <w:pPr>
              <w:jc w:val="center"/>
              <w:ind w:right="62"/>
              <w:spacing w:after="0"/>
              <w:rPr>
                <w:sz w:val="20"/>
                <w:szCs w:val="20"/>
                <w:color w:val="auto"/>
              </w:rPr>
            </w:pPr>
            <w:r>
              <w:rPr>
                <w:rFonts w:ascii="Arial" w:cs="Arial" w:eastAsia="Arial" w:hAnsi="Arial"/>
                <w:sz w:val="18"/>
                <w:szCs w:val="18"/>
                <w:b w:val="1"/>
                <w:bCs w:val="1"/>
                <w:color w:val="auto"/>
              </w:rPr>
              <w:t>$ 39</w:t>
            </w:r>
          </w:p>
        </w:tc>
        <w:tc>
          <w:tcPr>
            <w:tcW w:w="4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440" w:type="dxa"/>
            <w:vAlign w:val="bottom"/>
          </w:tcPr>
          <w:p>
            <w:pPr>
              <w:jc w:val="right"/>
              <w:ind w:right="1432"/>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Theme Parks revenue increased for the three months ended September 30, 2013 compared to the same period in 2012 primarily due to an increase in per capita spending at our Orlando and Hollywood theme parks and higher guest attendance at our Orlando theme park following the launch of the </w:t>
      </w:r>
      <w:r>
        <w:rPr>
          <w:rFonts w:ascii="Arial" w:cs="Arial" w:eastAsia="Arial" w:hAnsi="Arial"/>
          <w:sz w:val="18"/>
          <w:szCs w:val="18"/>
          <w:i w:val="1"/>
          <w:iCs w:val="1"/>
          <w:color w:val="auto"/>
        </w:rPr>
        <w:t>Transformers</w:t>
      </w:r>
      <w:r>
        <w:rPr>
          <w:rFonts w:ascii="Arial" w:cs="Arial" w:eastAsia="Arial" w:hAnsi="Arial"/>
          <w:sz w:val="18"/>
          <w:szCs w:val="18"/>
          <w:color w:val="auto"/>
        </w:rPr>
        <w:t xml:space="preserve"> attraction.</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Theme Parks revenue increased for the nine months ended September 30, 2013 compared to the same period in 2012 primarily due to higher guest attendance at our Orlando and Hollywood theme parks, as well as an increase in per capita spending.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Theme Parks segment operating costs and expenses increased for the three and nine months ended September 30, 2013 compared to the same periods in 2012 primarily due to additional costs at our Orlando and Hollywood theme parks associated with additional attractions as well as the increases in per capita spending and attendance.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operating income (loss) before depreciation and amortization for headquarters, other and eliminations for the three months ended September 30, 2013 compared to the same period in 2012 was primarily due to higher employee costs.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change in operating income (loss) before depreciation and amortization for headquarters, other and eliminations for the nine months ended September 30, 2013 compared to the same period in 2012 was primarily due to lower administrative expenses.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ind w:right="516"/>
              <w:spacing w:after="0"/>
              <w:rPr>
                <w:sz w:val="20"/>
                <w:szCs w:val="20"/>
                <w:color w:val="auto"/>
              </w:rPr>
            </w:pPr>
            <w:r>
              <w:rPr>
                <w:rFonts w:ascii="Arial" w:cs="Arial" w:eastAsia="Arial" w:hAnsi="Arial"/>
                <w:sz w:val="14"/>
                <w:szCs w:val="14"/>
                <w:color w:val="auto"/>
                <w:w w:val="97"/>
              </w:rPr>
              <w:t>Three Months Ended</w:t>
            </w:r>
          </w:p>
        </w:tc>
        <w:tc>
          <w:tcPr>
            <w:tcW w:w="400" w:type="dxa"/>
            <w:vAlign w:val="bottom"/>
          </w:tcPr>
          <w:p>
            <w:pPr>
              <w:spacing w:after="0"/>
              <w:rPr>
                <w:sz w:val="14"/>
                <w:szCs w:val="14"/>
                <w:color w:val="auto"/>
              </w:rPr>
            </w:pPr>
          </w:p>
        </w:tc>
        <w:tc>
          <w:tcPr>
            <w:tcW w:w="1680" w:type="dxa"/>
            <w:vAlign w:val="bottom"/>
            <w:gridSpan w:val="3"/>
          </w:tcPr>
          <w:p>
            <w:pPr>
              <w:jc w:val="right"/>
              <w:ind w:right="31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w w:val="89"/>
              </w:rPr>
              <w:t>2013</w:t>
            </w: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color w:val="auto"/>
                <w:w w:val="89"/>
              </w:rPr>
              <w:t>2012</w:t>
            </w: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w w:val="83"/>
              </w:rPr>
              <w:t>2013</w:t>
            </w: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2012</w:t>
            </w:r>
          </w:p>
        </w:tc>
        <w:tc>
          <w:tcPr>
            <w:tcW w:w="0" w:type="dxa"/>
            <w:vAlign w:val="bottom"/>
          </w:tcPr>
          <w:p>
            <w:pPr>
              <w:spacing w:after="0"/>
              <w:rPr>
                <w:sz w:val="1"/>
                <w:szCs w:val="1"/>
                <w:color w:val="auto"/>
              </w:rPr>
            </w:pPr>
          </w:p>
        </w:tc>
      </w:tr>
      <w:tr>
        <w:trPr>
          <w:trHeight w:val="210"/>
        </w:trPr>
        <w:tc>
          <w:tcPr>
            <w:tcW w:w="68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760" w:type="dxa"/>
            <w:vAlign w:val="bottom"/>
          </w:tcPr>
          <w:p>
            <w:pPr>
              <w:jc w:val="right"/>
              <w:ind w:right="236"/>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8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6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37</w:t>
            </w:r>
          </w:p>
        </w:tc>
        <w:tc>
          <w:tcPr>
            <w:tcW w:w="4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(306)</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3"/>
              </w:rPr>
              <w:t>1,061</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(398)</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3"/>
              </w:rPr>
              <w:t>1,034</w:t>
            </w:r>
          </w:p>
        </w:tc>
        <w:tc>
          <w:tcPr>
            <w:tcW w:w="0" w:type="dxa"/>
            <w:vAlign w:val="bottom"/>
          </w:tcPr>
          <w:p>
            <w:pPr>
              <w:spacing w:after="0"/>
              <w:rPr>
                <w:sz w:val="1"/>
                <w:szCs w:val="1"/>
                <w:color w:val="auto"/>
              </w:rPr>
            </w:pPr>
          </w:p>
        </w:tc>
      </w:tr>
      <w:tr>
        <w:trPr>
          <w:trHeight w:val="217"/>
        </w:trPr>
        <w:tc>
          <w:tcPr>
            <w:tcW w:w="6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(558)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b w:val="1"/>
                <w:bCs w:val="1"/>
                <w:color w:val="auto"/>
              </w:rPr>
              <w:t>990</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00"/>
              <w:spacing w:after="0"/>
              <w:rPr>
                <w:sz w:val="20"/>
                <w:szCs w:val="20"/>
                <w:color w:val="auto"/>
              </w:rPr>
            </w:pPr>
            <w:r>
              <w:rPr>
                <w:rFonts w:ascii="Arial" w:cs="Arial" w:eastAsia="Arial" w:hAnsi="Arial"/>
                <w:sz w:val="18"/>
                <w:szCs w:val="18"/>
                <w:b w:val="1"/>
                <w:bCs w:val="1"/>
                <w:color w:val="auto"/>
              </w:rPr>
              <w:t>(868)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875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for the three and nine months ended September 30, 2013 compared to the same periods in 2012 primarily due to the interest associated with our $2 billion aggregate principal amount of senior notes issued in October 2012, which was partially offset by the impact from the redemption of Universal Orlando’s senior and senior subordinated notes in November 2012.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changes in equity in net income (losses) of investees, net for the three and nine months ended September 30, 2013 compared to the same periods in 2012 were primarily due to $135 million of equity losses recorded in the current year periods that were associated with the application of the equity method of accounting for our investment in Hulu as well as lower equity earnings following the sale of our equity interest in A&amp;E Television Networks LLC in August 2012. See Note 5 to our condensed consolidated financial statements for additional information on our investment in Hulu.</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changes in other income (expense), net for the three and nine months ended September 30, 2013 compared to the same periods in 2012 were primarily due to the $1 billion gain recorded in the prior year periods related to the sale of our investment in A&amp;E Television Networks LLC, as well as an impairment of $236 million of our equity method investment in, and loans with, a regional sports cable network based in Houston, Texas, which was recorded in the current year periods.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and payments for the NBCUniversal Holdings preferred units described below, through our cash flows from operating activities, existing cash, cash equivalents and investments, our available borrowings under our revolving credit agreement with Comcast, and our ability to obtain future external financing.</w:t>
      </w:r>
    </w:p>
    <w:p>
      <w:pPr>
        <w:spacing w:after="0" w:line="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the close of the Redemption Transaction, NBCUniversal Holdings is required to make quarterly payments to NBCUniversal Enterprise at an initial rate of 8.25% per annum on the $9.4 billion aggregate liquidation preference of NBCUniversal Holdings’ preferred units. On March 1, 2018, and thereafter on every fifth anniversary of such date, this rate will reset to 7.44% plus the yield on actively traded United States Treasury securities having a 5 year maturity. NBCUniversal Holdings has the right to redeem all of the preferred units during the 30 day period beginning on March 1, 2018, and NBCUniversal Enterprise has the right to cause NBCUniversal Holdings to redeem 15% of its preferred units during the 30 day period beginning on March 19, 2020. The price and units in a redemption initiated by either party will be based on the liquidation preference plus accrued but unpaid dividends and adjusted, in the case of an exercise of NBCUniversal Enterprise’s right, to the extent the equity value of NBCUniversal Holdings is less than the liquidation preference. Our cash flows are, and will continue to be, the primary source of funding for the required payments and any future redemption of the NBCUniversal Holdings preferred units.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right"/>
              <w:ind w:right="2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6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26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2013</w:t>
            </w:r>
          </w:p>
        </w:tc>
        <w:tc>
          <w:tcPr>
            <w:tcW w:w="8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$ 2,349</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$ 1,966</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1,045</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3,394</w:t>
            </w:r>
          </w:p>
        </w:tc>
        <w:tc>
          <w:tcPr>
            <w:tcW w:w="8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Noncash compensation</w:t>
            </w:r>
          </w:p>
        </w:tc>
        <w:tc>
          <w:tcPr>
            <w:tcW w:w="1280" w:type="dxa"/>
            <w:vAlign w:val="bottom"/>
          </w:tcPr>
          <w:p>
            <w:pPr>
              <w:jc w:val="right"/>
              <w:ind w:right="217"/>
              <w:spacing w:after="0"/>
              <w:rPr>
                <w:sz w:val="20"/>
                <w:szCs w:val="20"/>
                <w:color w:val="auto"/>
              </w:rPr>
            </w:pPr>
            <w:r>
              <w:rPr>
                <w:rFonts w:ascii="Arial" w:cs="Arial" w:eastAsia="Arial" w:hAnsi="Arial"/>
                <w:sz w:val="18"/>
                <w:szCs w:val="18"/>
                <w:color w:val="auto"/>
              </w:rPr>
              <w:t>7</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729</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92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280" w:type="dxa"/>
            <w:vAlign w:val="bottom"/>
          </w:tcPr>
          <w:p>
            <w:pPr>
              <w:jc w:val="right"/>
              <w:ind w:right="217"/>
              <w:spacing w:after="0"/>
              <w:rPr>
                <w:sz w:val="20"/>
                <w:szCs w:val="20"/>
                <w:color w:val="auto"/>
              </w:rPr>
            </w:pPr>
            <w:r>
              <w:rPr>
                <w:rFonts w:ascii="Arial" w:cs="Arial" w:eastAsia="Arial" w:hAnsi="Arial"/>
                <w:sz w:val="18"/>
                <w:szCs w:val="18"/>
                <w:color w:val="auto"/>
              </w:rPr>
              <w:t>4,130</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2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(262)</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(161)</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12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7"/>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$ 3,734</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$ 2,529</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changes in operating assets and liabilities for the nine months ended September 30, 2013 compared to the same period in 2012 were primarily related to the timing of receipts for our accounts receivable and payments of our accounts payable related to trade creditors, a decrease in film and television costs, and the timing of operating items associated with our broadcast of the 2012 London Olympics in the prior year period.</w:t>
      </w:r>
    </w:p>
    <w:p>
      <w:pPr>
        <w:spacing w:after="0" w:line="1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 in proceeds from investments and other for the nine months ended September 30, 2013 compared to the same period in 2012 was primarily due to a reduction in cash received from investees following the sale of our equity interest in A&amp;E Television Networks LLC in August 2012.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cash used in investing activities for the nine months ended September 30, 2013 consisted primarily of our acquisitions of real estate properties, the issuance of a note receivable from Comcast and cash paid for capital expenditures. Our acquisitions of real estate properties included our purchases of the 30 Rockefeller Plaza properties in connection with the Redemption Transaction and of the property located at 10 Universal City Plaza, which is adjacent to Universal Studios in Hollywood, California. The increase in capital expenditures primarily related to our Theme Parks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financing activities for the nine months ended September 30, 2013 consisted primarily of distributions to NBCUniversal Holdings and the effective settlement of the Station Venture liability. The distributions to NBCUniversal Holdings included $3.2 billion related to the Redemption Transaction, $585 million of tax distributions and $353 million to fund NBCUniversal Holdings’ required payments on its $9.4 billion aggregate liquidation preference of preferred units.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Related Party Credit Agreements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connection with the Redemption Transaction, on March 19, 2013, NBCUniversal Enterprise amended and restated our existing credit agreement to, among other things, substitute NBCUniversal Enterprise for us as the sole borrower to the revolving credit facility. As a result, we no longer have a revolving credit facility with third-party banks. Following the amendments to our credit agreement, our commercial paper program was terminated.</w:t>
      </w:r>
    </w:p>
    <w:p>
      <w:pPr>
        <w:spacing w:after="0" w:line="1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19, 2013, as part of the Comcast cash management process, we and Comcast entered into a revolving credit agreement under which we can borrow up to $3 billion from Comcast and Comcast can borrow up to $3 billion from us. Amounts owed by Comcast to us under the revolving credit agreement, including accrued interest, are presented under the caption “note receivable from Comcast” in our condensed consolidated balance sheet. The revolving credit agreements bear interest at floating rates equal to the interest rate under the Comcast and Comcast Cable Communications, LLC revolving credit facility (the “Comcast revolving credit facility”). The interest rate on the Comcast revolving credit facility consists of a base rate plus a borrowing margin that is determined based on Comcast’s credit rating. As of September 30, 2013, the interest rate was 1.252% and the amount outstanding under the note receivable from Comcast was $981 million. As of September 30, 2013, the amount available to us for borrowings under the Comcast revolving credit agreement was $3 billion.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 Structure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2013, we, Comcast and four of Comcast’s wholly owned cable holding company subsidiaries (the “cable guarantors”) entered into a series of agreements and supplemental indentures to include us as a part of Comcast’s existing cross-guarantee structure. As members of the cross-guarantee structure, Comcast and the cable guarantors fully and unconditionally guarantee our public debt securities, and we fully and unconditionally guarantee all of Comcast’s and the cable guarantors’ public debt securities. As of September 30, 2013, we guaranteed $30 billion of outstanding debt securities of Comcast and the cable guarantors. We also fully and unconditionally guarantee the $6.25 billion Comcast revolving credit facility due 2017 of which no amounts were outstanding as of September 30, 2013.</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however, guarantee the obligations of NBCUniversal Enterprise with respect to its $4 billion aggregate principal amount of senior notes, $1.35 billion credit facility or $725 million liquidation preference of Series A cumulative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judgments and related estimates associated with revenue recognition, accounting for film and television costs, the valuation and impairment testing of goodwill and indefinite-lived intangible assets and the valuation of our contractual obligations are critical in the preparation of our condensed consolidated financial statements. We performed our annual impairment testing of our goodwill and indefinite-lived intangible assets as of July 1, 2013 and no impairments were required.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2012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Rules 13a-15(e) and 15d-15(e) of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2012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302 of the Sarbanes-Oxley Act of 2002.</w:t>
      </w:r>
    </w:p>
    <w:p>
      <w:pPr>
        <w:spacing w:after="0" w:line="7" w:lineRule="exact"/>
        <w:rPr>
          <w:rFonts w:ascii="Arial" w:cs="Arial" w:eastAsia="Arial" w:hAnsi="Arial"/>
          <w:sz w:val="18"/>
          <w:szCs w:val="18"/>
          <w:color w:val="auto"/>
        </w:rPr>
      </w:pPr>
    </w:p>
    <w:p>
      <w:pPr>
        <w:ind w:left="840" w:hanging="8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40" w:hanging="832"/>
        <w:spacing w:after="0" w:line="292"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nine months ended September 30, 2013, filed with the Securities and Exchange Commission on October 30, 2013,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2013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30, 2013</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31"/>
    </w:lvl>
  </w:abstractNum>
  <w:abstractNum w:abstractNumId="5">
    <w:nsid w:val="79E2A9E3"/>
    <w:multiLevelType w:val="hybridMultilevel"/>
    <w:lvl w:ilvl="0">
      <w:lvlJc w:val="left"/>
      <w:lvlText w:val="%1"/>
      <w:numFmt w:val="decimal"/>
      <w:start w:val="10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2019-12-06T09:24:09Z</dcterms:created>
  <dcterms:modified xsi:type="dcterms:W3CDTF">2019-12-06T09:24:09Z</dcterms:modified>
</cp:coreProperties>
</file>