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highlight w:val="black"/>
              </w:rPr>
              <w:t>☐</w:t>
            </w:r>
          </w:p>
        </w:tc>
        <w:tc>
          <w:tcPr>
            <w:tcW w:w="10240" w:type="dxa"/>
            <w:vAlign w:val="bottom"/>
            <w:gridSpan w:val="3"/>
          </w:tcPr>
          <w:p>
            <w:pPr>
              <w:ind w:left="160"/>
              <w:spacing w:after="0"/>
              <w:rPr>
                <w:sz w:val="20"/>
                <w:szCs w:val="20"/>
                <w:color w:val="auto"/>
              </w:rPr>
            </w:pPr>
            <w:r>
              <w:rPr>
                <w:rFonts w:ascii="Arial" w:cs="Arial" w:eastAsia="Arial" w:hAnsi="Arial"/>
                <w:sz w:val="18"/>
                <w:szCs w:val="18"/>
                <w:b w:val="1"/>
                <w:bCs w:val="1"/>
                <w:color w:val="auto"/>
                <w:w w:val="99"/>
              </w:rPr>
              <w:t>Transition Report pursuant to Section 13 or 15(d) of the Securities Exchange Act of 1934 for the Transition Period from</w:t>
            </w:r>
          </w:p>
        </w:tc>
        <w:tc>
          <w:tcPr>
            <w:tcW w:w="880" w:type="dxa"/>
            <w:vAlign w:val="bottom"/>
          </w:tcPr>
          <w:p>
            <w:pPr>
              <w:ind w:left="740"/>
              <w:spacing w:after="0"/>
              <w:rPr>
                <w:sz w:val="20"/>
                <w:szCs w:val="20"/>
                <w:color w:val="auto"/>
              </w:rPr>
            </w:pPr>
            <w:r>
              <w:rPr>
                <w:rFonts w:ascii="Arial" w:cs="Arial" w:eastAsia="Arial" w:hAnsi="Arial"/>
                <w:sz w:val="18"/>
                <w:szCs w:val="18"/>
                <w:b w:val="1"/>
                <w:bCs w:val="1"/>
                <w:color w:val="auto"/>
                <w:w w:val="70"/>
              </w:rPr>
              <w:t>to</w:t>
            </w:r>
          </w:p>
        </w:tc>
      </w:tr>
      <w:tr>
        <w:trPr>
          <w:trHeight w:val="228"/>
        </w:trPr>
        <w:tc>
          <w:tcPr>
            <w:tcW w:w="300" w:type="dxa"/>
            <w:vAlign w:val="bottom"/>
          </w:tcPr>
          <w:p>
            <w:pPr>
              <w:spacing w:after="0"/>
              <w:rPr>
                <w:sz w:val="19"/>
                <w:szCs w:val="19"/>
                <w:color w:val="auto"/>
              </w:rPr>
            </w:pPr>
          </w:p>
        </w:tc>
        <w:tc>
          <w:tcPr>
            <w:tcW w:w="4220" w:type="dxa"/>
            <w:vAlign w:val="bottom"/>
          </w:tcPr>
          <w:p>
            <w:pPr>
              <w:jc w:val="right"/>
              <w:ind w:right="3052"/>
              <w:spacing w:after="0"/>
              <w:rPr>
                <w:sz w:val="20"/>
                <w:szCs w:val="20"/>
                <w:color w:val="auto"/>
              </w:rPr>
            </w:pPr>
            <w:r>
              <w:rPr>
                <w:rFonts w:ascii="Arial" w:cs="Arial" w:eastAsia="Arial" w:hAnsi="Arial"/>
                <w:sz w:val="18"/>
                <w:szCs w:val="18"/>
                <w:b w:val="1"/>
                <w:bCs w:val="1"/>
                <w:color w:val="auto"/>
              </w:rPr>
              <w:t>.</w:t>
            </w:r>
          </w:p>
        </w:tc>
        <w:tc>
          <w:tcPr>
            <w:tcW w:w="23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84"/>
        </w:trPr>
        <w:tc>
          <w:tcPr>
            <w:tcW w:w="300" w:type="dxa"/>
            <w:vAlign w:val="bottom"/>
          </w:tcPr>
          <w:p>
            <w:pPr>
              <w:spacing w:after="0"/>
              <w:rPr>
                <w:sz w:val="24"/>
                <w:szCs w:val="24"/>
                <w:color w:val="auto"/>
              </w:rPr>
            </w:pPr>
          </w:p>
        </w:tc>
        <w:tc>
          <w:tcPr>
            <w:tcW w:w="10240" w:type="dxa"/>
            <w:vAlign w:val="bottom"/>
            <w:gridSpan w:val="3"/>
          </w:tcPr>
          <w:p>
            <w:pPr>
              <w:ind w:left="4060"/>
              <w:spacing w:after="0"/>
              <w:rPr>
                <w:sz w:val="20"/>
                <w:szCs w:val="20"/>
                <w:color w:val="auto"/>
              </w:rPr>
            </w:pPr>
            <w:r>
              <w:rPr>
                <w:rFonts w:ascii="Arial" w:cs="Arial" w:eastAsia="Arial" w:hAnsi="Arial"/>
                <w:sz w:val="18"/>
                <w:szCs w:val="18"/>
                <w:b w:val="1"/>
                <w:bCs w:val="1"/>
                <w:color w:val="auto"/>
              </w:rPr>
              <w:t>Commission File Number 001-32871</w:t>
            </w:r>
          </w:p>
        </w:tc>
        <w:tc>
          <w:tcPr>
            <w:tcW w:w="880" w:type="dxa"/>
            <w:vAlign w:val="bottom"/>
          </w:tcPr>
          <w:p>
            <w:pPr>
              <w:spacing w:after="0"/>
              <w:rPr>
                <w:sz w:val="24"/>
                <w:szCs w:val="24"/>
                <w:color w:val="auto"/>
              </w:rPr>
            </w:pPr>
          </w:p>
        </w:tc>
      </w:tr>
      <w:tr>
        <w:trPr>
          <w:trHeight w:val="164"/>
        </w:trPr>
        <w:tc>
          <w:tcPr>
            <w:tcW w:w="3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364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43180</wp:posOffset>
            </wp:positionV>
            <wp:extent cx="2933065" cy="763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3065"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57" w:lineRule="exact"/>
        <w:rPr>
          <w:sz w:val="24"/>
          <w:szCs w:val="24"/>
          <w:color w:val="auto"/>
        </w:rPr>
      </w:pPr>
    </w:p>
    <w:tbl>
      <w:tblPr>
        <w:tblLayout w:type="fixed"/>
        <w:tblInd w:w="1360" w:type="dxa"/>
        <w:tblCellMar>
          <w:top w:w="0" w:type="dxa"/>
          <w:left w:w="0" w:type="dxa"/>
          <w:bottom w:w="0" w:type="dxa"/>
          <w:right w:w="0" w:type="dxa"/>
        </w:tblCellMar>
      </w:tblP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b w:val="1"/>
                <w:bCs w:val="1"/>
                <w:color w:val="auto"/>
                <w:w w:val="94"/>
              </w:rPr>
              <w:t>PENNSYLVANIA</w:t>
            </w:r>
          </w:p>
        </w:tc>
        <w:tc>
          <w:tcPr>
            <w:tcW w:w="32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27-0000798</w:t>
            </w:r>
          </w:p>
        </w:tc>
      </w:tr>
      <w:tr>
        <w:trPr>
          <w:trHeight w:val="216"/>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89"/>
              </w:rPr>
              <w:t>(State or other jurisdiction of</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90"/>
              </w:rPr>
              <w:t>(I.R.S. Employer</w:t>
            </w:r>
          </w:p>
        </w:tc>
      </w:t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89"/>
              </w:rPr>
              <w:t>incorporation or organization)</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4820" w:type="dxa"/>
            <w:vAlign w:val="bottom"/>
          </w:tcPr>
          <w:p>
            <w:pPr>
              <w:jc w:val="center"/>
              <w:ind w:right="1832"/>
              <w:spacing w:after="0"/>
              <w:rPr>
                <w:sz w:val="20"/>
                <w:szCs w:val="20"/>
                <w:color w:val="auto"/>
              </w:rPr>
            </w:pPr>
            <w:r>
              <w:rPr>
                <w:rFonts w:ascii="Arial" w:cs="Arial" w:eastAsia="Arial" w:hAnsi="Arial"/>
                <w:sz w:val="18"/>
                <w:szCs w:val="18"/>
                <w:b w:val="1"/>
                <w:bCs w:val="1"/>
                <w:color w:val="auto"/>
                <w:w w:val="88"/>
              </w:rPr>
              <w:t>One Comcast Center, Philadelphia, PA</w:t>
            </w:r>
          </w:p>
        </w:tc>
        <w:tc>
          <w:tcPr>
            <w:tcW w:w="32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19103-2838</w:t>
            </w:r>
          </w:p>
        </w:tc>
      </w:t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90"/>
              </w:rPr>
              <w:t>(Address of principal executive offices)</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89"/>
              </w:rPr>
              <w:t>(Zip Code)</w:t>
            </w: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(215) 286-1700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27"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pacing w:after="0" w:line="27"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5"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5" w:lineRule="exact"/>
        <w:rPr>
          <w:sz w:val="24"/>
          <w:szCs w:val="24"/>
          <w:color w:val="auto"/>
        </w:rPr>
      </w:pPr>
    </w:p>
    <w:p>
      <w:pPr>
        <w:ind w:right="3380" w:firstLine="5"/>
        <w:spacing w:after="0" w:line="27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Act).</w:t>
      </w:r>
    </w:p>
    <w:p>
      <w:pPr>
        <w:spacing w:after="0" w:line="42"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As of June 30, 2010, there were 2,068,508,990 shares of our Class A common stock, 728,618,986 shares of our Class A Special common stock and 9,444,375 shares of our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720" w:type="dxa"/>
            <w:vAlign w:val="bottom"/>
            <w:gridSpan w:val="19"/>
          </w:tcPr>
          <w:p>
            <w:pPr>
              <w:spacing w:after="0" w:line="195" w:lineRule="exact"/>
              <w:rPr>
                <w:sz w:val="20"/>
                <w:szCs w:val="20"/>
                <w:color w:val="auto"/>
              </w:rPr>
            </w:pPr>
            <w:r>
              <w:rPr>
                <w:rFonts w:ascii="Arial" w:cs="Arial" w:eastAsia="Arial" w:hAnsi="Arial"/>
                <w:sz w:val="18"/>
                <w:szCs w:val="18"/>
                <w:b w:val="1"/>
                <w:bCs w:val="1"/>
                <w:color w:val="auto"/>
              </w:rPr>
              <w:t>PART I. FINANCIAL INFORMATION</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00" w:type="dxa"/>
            <w:vAlign w:val="bottom"/>
            <w:gridSpan w:val="2"/>
          </w:tcPr>
          <w:p>
            <w:pPr>
              <w:ind w:left="700"/>
              <w:spacing w:after="0" w:line="190" w:lineRule="exact"/>
              <w:rPr>
                <w:sz w:val="20"/>
                <w:szCs w:val="20"/>
                <w:color w:val="auto"/>
              </w:rPr>
            </w:pPr>
            <w:r>
              <w:rPr>
                <w:rFonts w:ascii="Arial" w:cs="Arial" w:eastAsia="Arial" w:hAnsi="Arial"/>
                <w:sz w:val="18"/>
                <w:szCs w:val="18"/>
                <w:b w:val="1"/>
                <w:bCs w:val="1"/>
                <w:color w:val="auto"/>
              </w:rPr>
              <w:t>Item 1.</w:t>
            </w:r>
          </w:p>
        </w:tc>
        <w:tc>
          <w:tcPr>
            <w:tcW w:w="8720" w:type="dxa"/>
            <w:vAlign w:val="bottom"/>
            <w:gridSpan w:val="17"/>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8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2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 as of June 30, 2010 and December 31, 2009 (Unaudited)</w:t>
              </w:r>
            </w:hyperlink>
          </w:p>
        </w:tc>
        <w:tc>
          <w:tcPr>
            <w:tcW w:w="190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720" w:type="dxa"/>
            <w:vAlign w:val="bottom"/>
            <w:gridSpan w:val="17"/>
          </w:tcPr>
          <w:p>
            <w:pPr>
              <w:spacing w:after="0" w:line="19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Condensed Consolidated Statement of Operations for the Three and Six Months Ended June 30, 2010 and 2009</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90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720" w:type="dxa"/>
            <w:vAlign w:val="bottom"/>
            <w:gridSpan w:val="17"/>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Condensed Consolidated Statement of Cash Flows for the Six Months Ended June 30, 2010 and 2009 (Unaudited)</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50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 of Changes in Equity for the Six Months Ended June 30, 2010 and 2009 (Unaudited)</w:t>
              </w:r>
            </w:hyperlink>
          </w:p>
        </w:tc>
        <w:tc>
          <w:tcPr>
            <w:tcW w:w="2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34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 of Comprehensive Income for the Three and Six Months Ended June 30, 2010 and</w:t>
              </w:r>
            </w:hyperlink>
          </w:p>
        </w:tc>
        <w:tc>
          <w:tcPr>
            <w:tcW w:w="38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72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2009 (Unaudited)</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gridSpan w:val="2"/>
            <w:vMerge w:val="restart"/>
          </w:tcPr>
          <w:p>
            <w:pPr>
              <w:ind w:left="700"/>
              <w:spacing w:after="0"/>
              <w:rPr>
                <w:sz w:val="20"/>
                <w:szCs w:val="20"/>
                <w:color w:val="auto"/>
              </w:rPr>
            </w:pPr>
            <w:r>
              <w:rPr>
                <w:rFonts w:ascii="Arial" w:cs="Arial" w:eastAsia="Arial" w:hAnsi="Arial"/>
                <w:sz w:val="18"/>
                <w:szCs w:val="18"/>
                <w:b w:val="1"/>
                <w:bCs w:val="1"/>
                <w:color w:val="auto"/>
              </w:rPr>
              <w:t>Item 2.</w:t>
            </w:r>
          </w:p>
        </w:tc>
        <w:tc>
          <w:tcPr>
            <w:tcW w:w="8720" w:type="dxa"/>
            <w:vAlign w:val="bottom"/>
            <w:gridSpan w:val="1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gridSpan w:val="2"/>
            <w:vMerge w:val="continu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gridSpan w:val="2"/>
            <w:vMerge w:val="continue"/>
          </w:tcPr>
          <w:p>
            <w:pPr>
              <w:spacing w:after="0"/>
              <w:rPr>
                <w:sz w:val="17"/>
                <w:szCs w:val="17"/>
                <w:color w:val="auto"/>
              </w:rPr>
            </w:pPr>
          </w:p>
        </w:tc>
        <w:tc>
          <w:tcPr>
            <w:tcW w:w="8720" w:type="dxa"/>
            <w:vAlign w:val="bottom"/>
            <w:gridSpan w:val="1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3.</w:t>
            </w:r>
          </w:p>
        </w:tc>
        <w:tc>
          <w:tcPr>
            <w:tcW w:w="42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17"/>
                <w:szCs w:val="17"/>
                <w:color w:val="auto"/>
              </w:rPr>
            </w:pPr>
          </w:p>
        </w:tc>
        <w:tc>
          <w:tcPr>
            <w:tcW w:w="242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4.</w:t>
            </w:r>
          </w:p>
        </w:tc>
        <w:tc>
          <w:tcPr>
            <w:tcW w:w="8720" w:type="dxa"/>
            <w:vAlign w:val="bottom"/>
            <w:gridSpan w:val="1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8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740" w:type="dxa"/>
            <w:vAlign w:val="bottom"/>
            <w:gridSpan w:val="20"/>
          </w:tcPr>
          <w:p>
            <w:pPr>
              <w:spacing w:after="0"/>
              <w:rPr>
                <w:sz w:val="20"/>
                <w:szCs w:val="20"/>
                <w:color w:val="auto"/>
              </w:rPr>
            </w:pPr>
            <w:r>
              <w:rPr>
                <w:rFonts w:ascii="Arial" w:cs="Arial" w:eastAsia="Arial" w:hAnsi="Arial"/>
                <w:sz w:val="18"/>
                <w:szCs w:val="18"/>
                <w:b w:val="1"/>
                <w:bCs w:val="1"/>
                <w:color w:val="auto"/>
              </w:rPr>
              <w:t>PART II. OTHER INFORMATION</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00" w:type="dxa"/>
            <w:vAlign w:val="bottom"/>
            <w:gridSpan w:val="2"/>
          </w:tcPr>
          <w:p>
            <w:pPr>
              <w:ind w:left="700"/>
              <w:spacing w:after="0" w:line="190" w:lineRule="exact"/>
              <w:rPr>
                <w:sz w:val="20"/>
                <w:szCs w:val="20"/>
                <w:color w:val="auto"/>
              </w:rPr>
            </w:pPr>
            <w:r>
              <w:rPr>
                <w:rFonts w:ascii="Arial" w:cs="Arial" w:eastAsia="Arial" w:hAnsi="Arial"/>
                <w:sz w:val="18"/>
                <w:szCs w:val="18"/>
                <w:b w:val="1"/>
                <w:bCs w:val="1"/>
                <w:color w:val="auto"/>
              </w:rPr>
              <w:t>Item 1.</w:t>
            </w:r>
          </w:p>
        </w:tc>
        <w:tc>
          <w:tcPr>
            <w:tcW w:w="8720" w:type="dxa"/>
            <w:vAlign w:val="bottom"/>
            <w:gridSpan w:val="17"/>
          </w:tcPr>
          <w:p>
            <w:pPr>
              <w:spacing w:after="0" w:line="190" w:lineRule="exact"/>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680" w:type="dxa"/>
            <w:vAlign w:val="bottom"/>
          </w:tcPr>
          <w:p>
            <w:pPr>
              <w:jc w:val="right"/>
              <w:spacing w:after="0" w:line="190"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1A.</w:t>
            </w:r>
          </w:p>
        </w:tc>
        <w:tc>
          <w:tcPr>
            <w:tcW w:w="13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7420" w:type="dxa"/>
            <w:vAlign w:val="bottom"/>
            <w:gridSpan w:val="1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gridSpan w:val="2"/>
            <w:vMerge w:val="restart"/>
          </w:tcPr>
          <w:p>
            <w:pPr>
              <w:ind w:left="700"/>
              <w:spacing w:after="0"/>
              <w:rPr>
                <w:sz w:val="20"/>
                <w:szCs w:val="20"/>
                <w:color w:val="auto"/>
              </w:rPr>
            </w:pPr>
            <w:r>
              <w:rPr>
                <w:rFonts w:ascii="Arial" w:cs="Arial" w:eastAsia="Arial" w:hAnsi="Arial"/>
                <w:sz w:val="18"/>
                <w:szCs w:val="18"/>
                <w:b w:val="1"/>
                <w:bCs w:val="1"/>
                <w:color w:val="auto"/>
              </w:rPr>
              <w:t>Item 2.</w:t>
            </w: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48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gridSpan w:val="2"/>
            <w:vMerge w:val="continue"/>
          </w:tcPr>
          <w:p>
            <w:pPr>
              <w:spacing w:after="0"/>
              <w:rPr>
                <w:sz w:val="17"/>
                <w:szCs w:val="17"/>
                <w:color w:val="auto"/>
              </w:rPr>
            </w:pPr>
          </w:p>
        </w:tc>
        <w:tc>
          <w:tcPr>
            <w:tcW w:w="8720" w:type="dxa"/>
            <w:vAlign w:val="bottom"/>
            <w:gridSpan w:val="1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6.</w:t>
            </w:r>
          </w:p>
        </w:tc>
        <w:tc>
          <w:tcPr>
            <w:tcW w:w="42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4480" w:type="dxa"/>
            <w:vAlign w:val="bottom"/>
            <w:gridSpan w:val="9"/>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2020" w:type="dxa"/>
            <w:vAlign w:val="bottom"/>
            <w:gridSpan w:val="3"/>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SIGNATURES</w:t>
              </w:r>
            </w:hyperlink>
          </w:p>
        </w:tc>
        <w:tc>
          <w:tcPr>
            <w:tcW w:w="58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61"/>
        </w:trPr>
        <w:tc>
          <w:tcPr>
            <w:tcW w:w="20" w:type="dxa"/>
            <w:vAlign w:val="bottom"/>
            <w:tcBorders>
              <w:top w:val="single" w:sz="8" w:color="0000EE"/>
            </w:tcBorders>
          </w:tcPr>
          <w:p>
            <w:pPr>
              <w:spacing w:after="0"/>
              <w:rPr>
                <w:sz w:val="5"/>
                <w:szCs w:val="5"/>
                <w:color w:val="auto"/>
              </w:rPr>
            </w:pPr>
          </w:p>
        </w:tc>
        <w:tc>
          <w:tcPr>
            <w:tcW w:w="1120" w:type="dxa"/>
            <w:vAlign w:val="bottom"/>
            <w:tcBorders>
              <w:top w:val="single" w:sz="8" w:color="0000EE"/>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Quarterly Report on Form 10-Q is for the three and six months ended June 30, 2010. This Quarterly Report modifies and supersedes documents filed prior to this Quarterly Report.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Comcast Corporation as “Comcast;” Comcast and its consolidated subsidiaries as “we,” “us” and “our;” and Comcast Holdings Corporation as “Comcast Holdings.”</w:t>
      </w:r>
    </w:p>
    <w:p>
      <w:pPr>
        <w:spacing w:after="0" w:line="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You should carefully review the information contained in this Quarterly Report and particularly consider any risk factors that we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“believes,” “estimates,” “potential,” or “continue,” or the negative of those words, and other comparable words. You should be aware that those statements are only our predictions. In evaluating those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77" w:lineRule="exact"/>
        <w:rPr>
          <w:sz w:val="20"/>
          <w:szCs w:val="20"/>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cable services face a wide range of competition that could adversely affect our future results of operations</w:t>
      </w:r>
    </w:p>
    <w:p>
      <w:pPr>
        <w:spacing w:after="0" w:line="76"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technological advances have increased and will likely continue to increase competition for our cable services, which could adversely affect our future results of operations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programming expenses are increasing, which could adversely affect our future results of operations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subject to regulation by federal, state and local governments, which may impose additional costs and restrictions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results of operations and financial condition</w:t>
      </w:r>
    </w:p>
    <w:p>
      <w:pPr>
        <w:spacing w:after="0" w:line="76"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technology, and a disruption or failure of such networks, systems or technology may disrupt our business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depends on certain intellectual property rights and on not infringing the intellectual property rights of others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w:t>
      </w:r>
    </w:p>
    <w:p>
      <w:pPr>
        <w:spacing w:after="0" w:line="76"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loss of key management personnel could have a negative impact on our business</w:t>
      </w:r>
    </w:p>
    <w:p>
      <w:pPr>
        <w:spacing w:after="0" w:line="76" w:lineRule="exact"/>
        <w:rPr>
          <w:rFonts w:ascii="Arial" w:cs="Arial" w:eastAsia="Arial" w:hAnsi="Arial"/>
          <w:sz w:val="18"/>
          <w:szCs w:val="18"/>
          <w:color w:val="auto"/>
        </w:rPr>
      </w:pPr>
    </w:p>
    <w:p>
      <w:pPr>
        <w:jc w:val="both"/>
        <w:ind w:left="1020" w:right="1240" w:hanging="215"/>
        <w:spacing w:after="0" w:line="259"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Class B common stock has substantial voting rights and separate approval rights over several potentially material transactions, and our Chairman and CEO has considerable influence over our operations through his beneficial ownership of our Class B common stock</w:t>
      </w:r>
    </w:p>
    <w:p>
      <w:pPr>
        <w:sectPr>
          <w:pgSz w:w="11900" w:h="16838" w:orient="portrait"/>
          <w:cols w:equalWidth="0" w:num="1">
            <w:col w:w="11420"/>
          </w:cols>
          <w:pgMar w:left="240" w:top="459" w:right="239"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333"/>
              <w:spacing w:after="0"/>
              <w:rPr>
                <w:sz w:val="20"/>
                <w:szCs w:val="20"/>
                <w:color w:val="auto"/>
              </w:rPr>
            </w:pPr>
            <w:r>
              <w:rPr>
                <w:rFonts w:ascii="Arial" w:cs="Arial" w:eastAsia="Arial" w:hAnsi="Arial"/>
                <w:sz w:val="14"/>
                <w:szCs w:val="14"/>
                <w:color w:val="auto"/>
                <w:w w:val="81"/>
              </w:rPr>
              <w:t>June 30,</w:t>
            </w:r>
          </w:p>
        </w:tc>
        <w:tc>
          <w:tcPr>
            <w:tcW w:w="1120" w:type="dxa"/>
            <w:vAlign w:val="bottom"/>
            <w:gridSpan w:val="2"/>
          </w:tcPr>
          <w:p>
            <w:pPr>
              <w:ind w:left="24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59"/>
        </w:trPr>
        <w:tc>
          <w:tcPr>
            <w:tcW w:w="904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share data)</w:t>
            </w:r>
          </w:p>
        </w:tc>
        <w:tc>
          <w:tcPr>
            <w:tcW w:w="380" w:type="dxa"/>
            <w:vAlign w:val="bottom"/>
          </w:tcPr>
          <w:p>
            <w:pPr>
              <w:spacing w:after="0"/>
              <w:rPr>
                <w:sz w:val="13"/>
                <w:szCs w:val="13"/>
                <w:color w:val="auto"/>
              </w:rPr>
            </w:pPr>
          </w:p>
        </w:tc>
        <w:tc>
          <w:tcPr>
            <w:tcW w:w="880" w:type="dxa"/>
            <w:vAlign w:val="bottom"/>
          </w:tcPr>
          <w:p>
            <w:pPr>
              <w:jc w:val="right"/>
              <w:ind w:right="413"/>
              <w:spacing w:after="0" w:line="159" w:lineRule="exact"/>
              <w:rPr>
                <w:sz w:val="20"/>
                <w:szCs w:val="20"/>
                <w:color w:val="auto"/>
              </w:rPr>
            </w:pPr>
            <w:r>
              <w:rPr>
                <w:rFonts w:ascii="Arial" w:cs="Arial" w:eastAsia="Arial" w:hAnsi="Arial"/>
                <w:sz w:val="14"/>
                <w:szCs w:val="14"/>
                <w:color w:val="auto"/>
              </w:rPr>
              <w:t>2010</w:t>
            </w:r>
          </w:p>
        </w:tc>
        <w:tc>
          <w:tcPr>
            <w:tcW w:w="400" w:type="dxa"/>
            <w:vAlign w:val="bottom"/>
          </w:tcPr>
          <w:p>
            <w:pPr>
              <w:spacing w:after="0"/>
              <w:rPr>
                <w:sz w:val="13"/>
                <w:szCs w:val="13"/>
                <w:color w:val="auto"/>
              </w:rPr>
            </w:pPr>
          </w:p>
        </w:tc>
        <w:tc>
          <w:tcPr>
            <w:tcW w:w="720" w:type="dxa"/>
            <w:vAlign w:val="bottom"/>
          </w:tcPr>
          <w:p>
            <w:pPr>
              <w:jc w:val="right"/>
              <w:ind w:right="273"/>
              <w:spacing w:after="0" w:line="159" w:lineRule="exact"/>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shd w:val="clear" w:color="auto" w:fill="E5E5E5"/>
          </w:tcPr>
          <w:p>
            <w:pPr>
              <w:spacing w:after="0"/>
              <w:rPr>
                <w:sz w:val="18"/>
                <w:szCs w:val="18"/>
                <w:color w:val="auto"/>
              </w:rPr>
            </w:pPr>
          </w:p>
        </w:tc>
        <w:tc>
          <w:tcPr>
            <w:tcW w:w="88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4,028</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380" w:type="dxa"/>
            <w:vAlign w:val="bottom"/>
          </w:tcPr>
          <w:p>
            <w:pPr>
              <w:spacing w:after="0"/>
              <w:rPr>
                <w:sz w:val="18"/>
                <w:szCs w:val="18"/>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53</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receivable, less allowance for doubtful accounts of $185 and $175</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1,845</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665</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6,591</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Investments</w:t>
            </w:r>
          </w:p>
        </w:tc>
        <w:tc>
          <w:tcPr>
            <w:tcW w:w="380" w:type="dxa"/>
            <w:vAlign w:val="bottom"/>
          </w:tcPr>
          <w:p>
            <w:pPr>
              <w:spacing w:after="0"/>
              <w:rPr>
                <w:sz w:val="18"/>
                <w:szCs w:val="18"/>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6,098</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 of accumulated depreciation of $30,188 and $27,810</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98"/>
              </w:rPr>
              <w:t>23,217</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Franchise rights</w:t>
            </w:r>
          </w:p>
        </w:tc>
        <w:tc>
          <w:tcPr>
            <w:tcW w:w="380" w:type="dxa"/>
            <w:vAlign w:val="bottom"/>
          </w:tcPr>
          <w:p>
            <w:pPr>
              <w:spacing w:after="0"/>
              <w:rPr>
                <w:sz w:val="18"/>
                <w:szCs w:val="18"/>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59,452</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59,452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98"/>
              </w:rPr>
              <w:t>15,028</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 of $9,222 and $8,711</w:t>
            </w:r>
          </w:p>
        </w:tc>
        <w:tc>
          <w:tcPr>
            <w:tcW w:w="380" w:type="dxa"/>
            <w:vAlign w:val="bottom"/>
          </w:tcPr>
          <w:p>
            <w:pPr>
              <w:spacing w:after="0"/>
              <w:rPr>
                <w:sz w:val="18"/>
                <w:szCs w:val="18"/>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3,873</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38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1,368</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w w:val="82"/>
              </w:rPr>
              <w:t>115,627</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2"/>
              </w:rPr>
              <w:t>112,733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3,126</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Pr>
          <w:p>
            <w:pPr>
              <w:spacing w:after="0"/>
              <w:rPr>
                <w:sz w:val="18"/>
                <w:szCs w:val="18"/>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3,256</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38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2,308</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8"/>
                <w:szCs w:val="18"/>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8,690</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7,249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98"/>
              </w:rPr>
              <w:t>28,684</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27,575</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7,009</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145</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Equity:</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Preferred stock—authorized, 20,000,000 shares; issued, zero</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w w:val="90"/>
              </w:rPr>
              <w:t>Class A common stock, $0.01 par value—authorized, 7,500,000,000 shares; issued, 2,433,969,740 and 2,428,533,911;</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640"/>
              <w:spacing w:after="0"/>
              <w:rPr>
                <w:sz w:val="20"/>
                <w:szCs w:val="20"/>
                <w:color w:val="auto"/>
              </w:rPr>
            </w:pPr>
            <w:r>
              <w:rPr>
                <w:rFonts w:ascii="Arial" w:cs="Arial" w:eastAsia="Arial" w:hAnsi="Arial"/>
                <w:sz w:val="18"/>
                <w:szCs w:val="18"/>
                <w:color w:val="auto"/>
              </w:rPr>
              <w:t>outstanding, 2,068,508,990 and 2,063,073,161</w:t>
            </w:r>
          </w:p>
        </w:tc>
        <w:tc>
          <w:tcPr>
            <w:tcW w:w="380" w:type="dxa"/>
            <w:vAlign w:val="bottom"/>
          </w:tcPr>
          <w:p>
            <w:pPr>
              <w:spacing w:after="0"/>
              <w:rPr>
                <w:sz w:val="19"/>
                <w:szCs w:val="19"/>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8"/>
              </w:rPr>
              <w:t>Class A Special common stock, $0.01 par value—authorized, 7,500,000,000 shares; issued, 799,553,750 and</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20" w:type="dxa"/>
            <w:vAlign w:val="bottom"/>
            <w:shd w:val="clear" w:color="auto" w:fill="E5E5E5"/>
          </w:tcPr>
          <w:p>
            <w:pPr>
              <w:ind w:left="640"/>
              <w:spacing w:after="0"/>
              <w:rPr>
                <w:sz w:val="20"/>
                <w:szCs w:val="20"/>
                <w:color w:val="auto"/>
              </w:rPr>
            </w:pPr>
            <w:r>
              <w:rPr>
                <w:rFonts w:ascii="Arial" w:cs="Arial" w:eastAsia="Arial" w:hAnsi="Arial"/>
                <w:sz w:val="18"/>
                <w:szCs w:val="18"/>
                <w:color w:val="auto"/>
              </w:rPr>
              <w:t>835,991,034; outstanding, 728,618,986 and 765,056,270</w:t>
            </w:r>
          </w:p>
        </w:tc>
        <w:tc>
          <w:tcPr>
            <w:tcW w:w="380" w:type="dxa"/>
            <w:vAlign w:val="bottom"/>
            <w:shd w:val="clear" w:color="auto" w:fill="E5E5E5"/>
          </w:tcPr>
          <w:p>
            <w:pPr>
              <w:spacing w:after="0"/>
              <w:rPr>
                <w:sz w:val="19"/>
                <w:szCs w:val="19"/>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8</w:t>
            </w:r>
          </w:p>
        </w:tc>
        <w:tc>
          <w:tcPr>
            <w:tcW w:w="40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w w:val="99"/>
              </w:rPr>
              <w:t>Class B common stock, $0.01 par value—authorized, 75,000,000 shares; issued and outstanding, 9,444,375</w:t>
            </w:r>
          </w:p>
        </w:tc>
        <w:tc>
          <w:tcPr>
            <w:tcW w:w="380" w:type="dxa"/>
            <w:vAlign w:val="bottom"/>
          </w:tcPr>
          <w:p>
            <w:pPr>
              <w:spacing w:after="0"/>
              <w:rPr>
                <w:sz w:val="18"/>
                <w:szCs w:val="18"/>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98"/>
              </w:rPr>
              <w:t>39,982</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40,247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18"/>
                <w:szCs w:val="18"/>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11,026</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10,005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Treasury stock, 365,460,750 Class A common shares and 70,934,764 Class A Special common shares</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(7,517)</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(86)</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98"/>
              </w:rPr>
              <w:t>43,437</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42,721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87</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38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w w:val="98"/>
              </w:rPr>
              <w:t>43,524</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42,811</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w w:val="82"/>
              </w:rPr>
              <w:t>115,627</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2"/>
              </w:rPr>
              <w:t>112,733</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gridSpan w:val="3"/>
          </w:tcPr>
          <w:p>
            <w:pPr>
              <w:jc w:val="right"/>
              <w:ind w:right="393"/>
              <w:spacing w:after="0"/>
              <w:rPr>
                <w:sz w:val="20"/>
                <w:szCs w:val="20"/>
                <w:color w:val="auto"/>
              </w:rPr>
            </w:pPr>
            <w:r>
              <w:rPr>
                <w:rFonts w:ascii="Arial" w:cs="Arial" w:eastAsia="Arial" w:hAnsi="Arial"/>
                <w:sz w:val="14"/>
                <w:szCs w:val="14"/>
                <w:color w:val="auto"/>
                <w:w w:val="96"/>
              </w:rPr>
              <w:t>Three Months Ended</w:t>
            </w:r>
          </w:p>
        </w:tc>
        <w:tc>
          <w:tcPr>
            <w:tcW w:w="280" w:type="dxa"/>
            <w:vAlign w:val="bottom"/>
          </w:tcPr>
          <w:p>
            <w:pPr>
              <w:spacing w:after="0"/>
              <w:rPr>
                <w:sz w:val="14"/>
                <w:szCs w:val="14"/>
                <w:color w:val="auto"/>
              </w:rPr>
            </w:pPr>
          </w:p>
        </w:tc>
        <w:tc>
          <w:tcPr>
            <w:tcW w:w="1600" w:type="dxa"/>
            <w:vAlign w:val="bottom"/>
            <w:gridSpan w:val="3"/>
          </w:tcPr>
          <w:p>
            <w:pPr>
              <w:jc w:val="right"/>
              <w:ind w:right="313"/>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360" w:type="dxa"/>
            <w:vAlign w:val="bottom"/>
            <w:gridSpan w:val="2"/>
          </w:tcPr>
          <w:p>
            <w:pPr>
              <w:spacing w:after="0" w:line="143" w:lineRule="exact"/>
              <w:rPr>
                <w:sz w:val="20"/>
                <w:szCs w:val="20"/>
                <w:color w:val="auto"/>
              </w:rPr>
            </w:pPr>
            <w:r>
              <w:rPr>
                <w:rFonts w:ascii="Arial" w:cs="Arial" w:eastAsia="Arial" w:hAnsi="Arial"/>
                <w:sz w:val="14"/>
                <w:szCs w:val="14"/>
                <w:color w:val="auto"/>
              </w:rPr>
              <w:t>(in millions, except per share data)</w:t>
            </w:r>
          </w:p>
        </w:tc>
        <w:tc>
          <w:tcPr>
            <w:tcW w:w="420" w:type="dxa"/>
            <w:vAlign w:val="bottom"/>
          </w:tcPr>
          <w:p>
            <w:pPr>
              <w:spacing w:after="0"/>
              <w:rPr>
                <w:sz w:val="12"/>
                <w:szCs w:val="12"/>
                <w:color w:val="auto"/>
              </w:rPr>
            </w:pPr>
          </w:p>
        </w:tc>
        <w:tc>
          <w:tcPr>
            <w:tcW w:w="920" w:type="dxa"/>
            <w:vAlign w:val="bottom"/>
          </w:tcPr>
          <w:p>
            <w:pPr>
              <w:jc w:val="right"/>
              <w:ind w:right="495"/>
              <w:spacing w:after="0" w:line="143"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740" w:type="dxa"/>
            <w:vAlign w:val="bottom"/>
          </w:tcPr>
          <w:p>
            <w:pPr>
              <w:jc w:val="right"/>
              <w:ind w:right="313"/>
              <w:spacing w:after="0" w:line="143" w:lineRule="exact"/>
              <w:rPr>
                <w:sz w:val="20"/>
                <w:szCs w:val="20"/>
                <w:color w:val="auto"/>
              </w:rPr>
            </w:pPr>
            <w:r>
              <w:rPr>
                <w:rFonts w:ascii="Arial" w:cs="Arial" w:eastAsia="Arial" w:hAnsi="Arial"/>
                <w:sz w:val="14"/>
                <w:szCs w:val="14"/>
                <w:color w:val="auto"/>
              </w:rPr>
              <w:t>2009</w:t>
            </w:r>
          </w:p>
        </w:tc>
        <w:tc>
          <w:tcPr>
            <w:tcW w:w="280" w:type="dxa"/>
            <w:vAlign w:val="bottom"/>
          </w:tcPr>
          <w:p>
            <w:pPr>
              <w:spacing w:after="0"/>
              <w:rPr>
                <w:sz w:val="12"/>
                <w:szCs w:val="12"/>
                <w:color w:val="auto"/>
              </w:rPr>
            </w:pPr>
          </w:p>
        </w:tc>
        <w:tc>
          <w:tcPr>
            <w:tcW w:w="900" w:type="dxa"/>
            <w:vAlign w:val="bottom"/>
          </w:tcPr>
          <w:p>
            <w:pPr>
              <w:jc w:val="right"/>
              <w:ind w:right="495"/>
              <w:spacing w:after="0" w:line="143" w:lineRule="exact"/>
              <w:rPr>
                <w:sz w:val="20"/>
                <w:szCs w:val="20"/>
                <w:color w:val="auto"/>
              </w:rPr>
            </w:pPr>
            <w:r>
              <w:rPr>
                <w:rFonts w:ascii="Arial" w:cs="Arial" w:eastAsia="Arial" w:hAnsi="Arial"/>
                <w:sz w:val="14"/>
                <w:szCs w:val="14"/>
                <w:color w:val="auto"/>
                <w:w w:val="96"/>
              </w:rPr>
              <w:t>2010</w:t>
            </w:r>
          </w:p>
        </w:tc>
        <w:tc>
          <w:tcPr>
            <w:tcW w:w="100" w:type="dxa"/>
            <w:vAlign w:val="bottom"/>
          </w:tcPr>
          <w:p>
            <w:pPr>
              <w:spacing w:after="0"/>
              <w:rPr>
                <w:sz w:val="12"/>
                <w:szCs w:val="12"/>
                <w:color w:val="auto"/>
              </w:rPr>
            </w:pPr>
          </w:p>
        </w:tc>
        <w:tc>
          <w:tcPr>
            <w:tcW w:w="600" w:type="dxa"/>
            <w:vAlign w:val="bottom"/>
          </w:tcPr>
          <w:p>
            <w:pPr>
              <w:jc w:val="right"/>
              <w:ind w:right="173"/>
              <w:spacing w:after="0" w:line="143" w:lineRule="exact"/>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9,525</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8,978</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w w:val="83"/>
              </w:rPr>
              <w:t>18,727</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17,844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(excluding depreciation and amortization)</w:t>
            </w:r>
          </w:p>
        </w:tc>
        <w:tc>
          <w:tcPr>
            <w:tcW w:w="4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3,827</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3,581</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7,559</w:t>
            </w: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Pr>
          <w:p>
            <w:pPr>
              <w:spacing w:after="0"/>
              <w:rPr>
                <w:sz w:val="18"/>
                <w:szCs w:val="18"/>
                <w:color w:val="auto"/>
              </w:rPr>
            </w:pPr>
          </w:p>
        </w:tc>
        <w:tc>
          <w:tcPr>
            <w:tcW w:w="920" w:type="dxa"/>
            <w:vAlign w:val="bottom"/>
          </w:tcPr>
          <w:p>
            <w:pPr>
              <w:jc w:val="right"/>
              <w:ind w:right="335"/>
              <w:spacing w:after="0"/>
              <w:rPr>
                <w:sz w:val="20"/>
                <w:szCs w:val="20"/>
                <w:color w:val="auto"/>
              </w:rPr>
            </w:pPr>
            <w:r>
              <w:rPr>
                <w:rFonts w:ascii="Arial" w:cs="Arial" w:eastAsia="Arial" w:hAnsi="Arial"/>
                <w:sz w:val="18"/>
                <w:szCs w:val="18"/>
                <w:color w:val="auto"/>
              </w:rPr>
              <w:t>1,961</w:t>
            </w:r>
          </w:p>
        </w:tc>
        <w:tc>
          <w:tcPr>
            <w:tcW w:w="10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1,862</w:t>
            </w:r>
          </w:p>
        </w:tc>
        <w:tc>
          <w:tcPr>
            <w:tcW w:w="28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3,866</w:t>
            </w:r>
          </w:p>
        </w:tc>
        <w:tc>
          <w:tcPr>
            <w:tcW w:w="1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Depreciation</w:t>
            </w:r>
          </w:p>
        </w:tc>
        <w:tc>
          <w:tcPr>
            <w:tcW w:w="4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1,411</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1,406</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2,790</w:t>
            </w: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254</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7,447</w:t>
            </w:r>
          </w:p>
        </w:tc>
        <w:tc>
          <w:tcPr>
            <w:tcW w:w="1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7,103</w:t>
            </w:r>
          </w:p>
        </w:tc>
        <w:tc>
          <w:tcPr>
            <w:tcW w:w="2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w w:val="83"/>
              </w:rPr>
              <w:t>14,714</w:t>
            </w:r>
          </w:p>
        </w:tc>
        <w:tc>
          <w:tcPr>
            <w:tcW w:w="1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14,158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18"/>
                <w:szCs w:val="18"/>
                <w:color w:val="auto"/>
              </w:rPr>
            </w:pPr>
          </w:p>
        </w:tc>
        <w:tc>
          <w:tcPr>
            <w:tcW w:w="920" w:type="dxa"/>
            <w:vAlign w:val="bottom"/>
          </w:tcPr>
          <w:p>
            <w:pPr>
              <w:jc w:val="right"/>
              <w:ind w:right="335"/>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1,875</w:t>
            </w:r>
          </w:p>
        </w:tc>
        <w:tc>
          <w:tcPr>
            <w:tcW w:w="28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4,013</w:t>
            </w:r>
          </w:p>
        </w:tc>
        <w:tc>
          <w:tcPr>
            <w:tcW w:w="1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920" w:type="dxa"/>
            <w:vAlign w:val="bottom"/>
          </w:tcPr>
          <w:p>
            <w:pPr>
              <w:jc w:val="right"/>
              <w:ind w:right="275"/>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(551)</w:t>
            </w:r>
          </w:p>
        </w:tc>
        <w:tc>
          <w:tcPr>
            <w:tcW w:w="280" w:type="dxa"/>
            <w:vAlign w:val="bottom"/>
          </w:tcPr>
          <w:p>
            <w:pPr>
              <w:spacing w:after="0"/>
              <w:rPr>
                <w:sz w:val="18"/>
                <w:szCs w:val="18"/>
                <w:color w:val="auto"/>
              </w:rPr>
            </w:pPr>
          </w:p>
        </w:tc>
        <w:tc>
          <w:tcPr>
            <w:tcW w:w="900" w:type="dxa"/>
            <w:vAlign w:val="bottom"/>
          </w:tcPr>
          <w:p>
            <w:pPr>
              <w:jc w:val="right"/>
              <w:ind w:right="275"/>
              <w:spacing w:after="0"/>
              <w:rPr>
                <w:sz w:val="20"/>
                <w:szCs w:val="20"/>
                <w:color w:val="auto"/>
              </w:rPr>
            </w:pPr>
            <w:r>
              <w:rPr>
                <w:rFonts w:ascii="Arial" w:cs="Arial" w:eastAsia="Arial" w:hAnsi="Arial"/>
                <w:sz w:val="18"/>
                <w:szCs w:val="18"/>
                <w:color w:val="auto"/>
                <w:w w:val="91"/>
              </w:rPr>
              <w:t>(1,067)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Investment income (loss), net</w:t>
            </w:r>
          </w:p>
        </w:tc>
        <w:tc>
          <w:tcPr>
            <w:tcW w:w="4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57</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Equity in net income (losses) of affiliates, net</w:t>
            </w:r>
          </w:p>
        </w:tc>
        <w:tc>
          <w:tcPr>
            <w:tcW w:w="420" w:type="dxa"/>
            <w:vAlign w:val="bottom"/>
          </w:tcPr>
          <w:p>
            <w:pPr>
              <w:spacing w:after="0"/>
              <w:rPr>
                <w:sz w:val="18"/>
                <w:szCs w:val="18"/>
                <w:color w:val="auto"/>
              </w:rPr>
            </w:pPr>
          </w:p>
        </w:tc>
        <w:tc>
          <w:tcPr>
            <w:tcW w:w="920" w:type="dxa"/>
            <w:vAlign w:val="bottom"/>
          </w:tcPr>
          <w:p>
            <w:pPr>
              <w:jc w:val="right"/>
              <w:ind w:right="275"/>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900" w:type="dxa"/>
            <w:vAlign w:val="bottom"/>
          </w:tcPr>
          <w:p>
            <w:pPr>
              <w:jc w:val="right"/>
              <w:ind w:right="275"/>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 income (expense)</w:t>
            </w:r>
          </w:p>
        </w:tc>
        <w:tc>
          <w:tcPr>
            <w:tcW w:w="42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(495)</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w w:val="91"/>
              </w:rPr>
              <w:t>(1,069)</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E5E5E5"/>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1,474</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1,380</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2,944</w:t>
            </w: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(424)</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w w:val="91"/>
              </w:rPr>
              <w:t>(1,179)</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E5E5E5"/>
          </w:tcPr>
          <w:p>
            <w:pPr>
              <w:spacing w:after="0"/>
              <w:rPr>
                <w:sz w:val="20"/>
                <w:szCs w:val="20"/>
                <w:color w:val="auto"/>
              </w:rPr>
            </w:pPr>
            <w:r>
              <w:rPr>
                <w:rFonts w:ascii="Arial" w:cs="Arial" w:eastAsia="Arial" w:hAnsi="Arial"/>
                <w:sz w:val="18"/>
                <w:szCs w:val="18"/>
                <w:color w:val="auto"/>
              </w:rPr>
              <w:t>Net income from consolidated operations</w:t>
            </w:r>
          </w:p>
        </w:tc>
        <w:tc>
          <w:tcPr>
            <w:tcW w:w="4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956</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1,765</w:t>
            </w: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884</w:t>
            </w: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b w:val="1"/>
                <w:bCs w:val="1"/>
                <w:color w:val="auto"/>
              </w:rPr>
              <w:t>967</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1,750</w:t>
            </w: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1,739</w:t>
            </w:r>
          </w:p>
        </w:tc>
        <w:tc>
          <w:tcPr>
            <w:tcW w:w="0" w:type="dxa"/>
            <w:vAlign w:val="bottom"/>
          </w:tcPr>
          <w:p>
            <w:pPr>
              <w:spacing w:after="0"/>
              <w:rPr>
                <w:sz w:val="1"/>
                <w:szCs w:val="1"/>
                <w:color w:val="auto"/>
              </w:rPr>
            </w:pPr>
          </w:p>
        </w:tc>
      </w:tr>
      <w:tr>
        <w:trPr>
          <w:trHeight w:val="322"/>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35"/>
              <w:spacing w:after="0"/>
              <w:rPr>
                <w:sz w:val="20"/>
                <w:szCs w:val="20"/>
                <w:color w:val="auto"/>
              </w:rPr>
            </w:pPr>
            <w:r>
              <w:rPr>
                <w:rFonts w:ascii="Arial" w:cs="Arial" w:eastAsia="Arial" w:hAnsi="Arial"/>
                <w:sz w:val="18"/>
                <w:szCs w:val="18"/>
                <w:b w:val="1"/>
                <w:bCs w:val="1"/>
                <w:color w:val="auto"/>
              </w:rPr>
              <w:t>0.31</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ind w:right="173"/>
              <w:spacing w:after="0"/>
              <w:rPr>
                <w:sz w:val="20"/>
                <w:szCs w:val="20"/>
                <w:color w:val="auto"/>
              </w:rPr>
            </w:pPr>
            <w:r>
              <w:rPr>
                <w:rFonts w:ascii="Arial" w:cs="Arial" w:eastAsia="Arial" w:hAnsi="Arial"/>
                <w:sz w:val="18"/>
                <w:szCs w:val="18"/>
                <w:b w:val="1"/>
                <w:bCs w:val="1"/>
                <w:color w:val="auto"/>
              </w:rPr>
              <w:t>0.33</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35"/>
              <w:spacing w:after="0"/>
              <w:rPr>
                <w:sz w:val="20"/>
                <w:szCs w:val="20"/>
                <w:color w:val="auto"/>
              </w:rPr>
            </w:pPr>
            <w:r>
              <w:rPr>
                <w:rFonts w:ascii="Arial" w:cs="Arial" w:eastAsia="Arial" w:hAnsi="Arial"/>
                <w:sz w:val="18"/>
                <w:szCs w:val="18"/>
                <w:b w:val="1"/>
                <w:bCs w:val="1"/>
                <w:color w:val="auto"/>
              </w:rPr>
              <w:t>0.62</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13"/>
              <w:spacing w:after="0"/>
              <w:rPr>
                <w:sz w:val="20"/>
                <w:szCs w:val="20"/>
                <w:color w:val="auto"/>
              </w:rPr>
            </w:pPr>
            <w:r>
              <w:rPr>
                <w:rFonts w:ascii="Arial" w:cs="Arial" w:eastAsia="Arial" w:hAnsi="Arial"/>
                <w:sz w:val="18"/>
                <w:szCs w:val="18"/>
                <w:b w:val="1"/>
                <w:bCs w:val="1"/>
                <w:color w:val="auto"/>
              </w:rPr>
              <w:t>0.60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w w:val="99"/>
              </w:rPr>
              <w:t>Diluted earnings per common share attributable to Comcast Corporation shareholders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0.31</w:t>
            </w: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b w:val="1"/>
                <w:bCs w:val="1"/>
                <w:color w:val="auto"/>
              </w:rPr>
              <w:t>0.33</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0.62</w:t>
            </w: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0.60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Dividends declared per common share attributable to Comcast Corporation shareholders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w w:val="87"/>
              </w:rPr>
              <w:t>0.0945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w w:val="83"/>
              </w:rPr>
              <w:t>0.0675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w w:val="83"/>
              </w:rPr>
              <w:t>0.1890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7"/>
              </w:rPr>
              <w:t>0.1350</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180" w:type="dxa"/>
            <w:vAlign w:val="bottom"/>
            <w:gridSpan w:val="3"/>
          </w:tcPr>
          <w:p>
            <w:pPr>
              <w:jc w:val="right"/>
              <w:ind w:right="333"/>
              <w:spacing w:after="0"/>
              <w:rPr>
                <w:sz w:val="20"/>
                <w:szCs w:val="20"/>
                <w:color w:val="auto"/>
              </w:rPr>
            </w:pPr>
            <w:r>
              <w:rPr>
                <w:rFonts w:ascii="Arial" w:cs="Arial" w:eastAsia="Arial" w:hAnsi="Arial"/>
                <w:sz w:val="14"/>
                <w:szCs w:val="14"/>
                <w:color w:val="auto"/>
              </w:rPr>
              <w:t>Six Months Ended</w:t>
            </w:r>
          </w:p>
        </w:tc>
      </w:tr>
      <w:tr>
        <w:trPr>
          <w:trHeight w:val="172"/>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w w:val="80"/>
              </w:rPr>
              <w:t>June 30</w:t>
            </w:r>
          </w:p>
        </w:tc>
        <w:tc>
          <w:tcPr>
            <w:tcW w:w="560" w:type="dxa"/>
            <w:vAlign w:val="bottom"/>
            <w:tcBorders>
              <w:bottom w:val="single" w:sz="8" w:color="auto"/>
            </w:tcBorders>
          </w:tcPr>
          <w:p>
            <w:pPr>
              <w:spacing w:after="0"/>
              <w:rPr>
                <w:sz w:val="14"/>
                <w:szCs w:val="14"/>
                <w:color w:val="auto"/>
              </w:rPr>
            </w:pPr>
          </w:p>
        </w:tc>
      </w:tr>
      <w:tr>
        <w:trPr>
          <w:trHeight w:val="143"/>
        </w:trPr>
        <w:tc>
          <w:tcPr>
            <w:tcW w:w="9240" w:type="dxa"/>
            <w:vAlign w:val="bottom"/>
            <w:gridSpan w:val="2"/>
          </w:tcPr>
          <w:p>
            <w:pPr>
              <w:spacing w:after="0" w:line="143" w:lineRule="exact"/>
              <w:rPr>
                <w:sz w:val="20"/>
                <w:szCs w:val="20"/>
                <w:color w:val="auto"/>
              </w:rPr>
            </w:pPr>
            <w:r>
              <w:rPr>
                <w:rFonts w:ascii="Arial" w:cs="Arial" w:eastAsia="Arial" w:hAnsi="Arial"/>
                <w:sz w:val="14"/>
                <w:szCs w:val="14"/>
                <w:color w:val="auto"/>
              </w:rPr>
              <w:t>(in millions)</w:t>
            </w:r>
          </w:p>
        </w:tc>
        <w:tc>
          <w:tcPr>
            <w:tcW w:w="1040" w:type="dxa"/>
            <w:vAlign w:val="bottom"/>
          </w:tcPr>
          <w:p>
            <w:pPr>
              <w:jc w:val="right"/>
              <w:ind w:right="114"/>
              <w:spacing w:after="0" w:line="143" w:lineRule="exact"/>
              <w:rPr>
                <w:sz w:val="20"/>
                <w:szCs w:val="20"/>
                <w:color w:val="auto"/>
              </w:rPr>
            </w:pPr>
            <w:r>
              <w:rPr>
                <w:rFonts w:ascii="Arial" w:cs="Arial" w:eastAsia="Arial" w:hAnsi="Arial"/>
                <w:sz w:val="14"/>
                <w:szCs w:val="14"/>
                <w:color w:val="auto"/>
              </w:rPr>
              <w:t>2010</w:t>
            </w:r>
          </w:p>
        </w:tc>
        <w:tc>
          <w:tcPr>
            <w:tcW w:w="580" w:type="dxa"/>
            <w:vAlign w:val="bottom"/>
          </w:tcPr>
          <w:p>
            <w:pPr>
              <w:spacing w:after="0"/>
              <w:rPr>
                <w:sz w:val="12"/>
                <w:szCs w:val="12"/>
                <w:color w:val="auto"/>
              </w:rPr>
            </w:pPr>
          </w:p>
        </w:tc>
        <w:tc>
          <w:tcPr>
            <w:tcW w:w="560" w:type="dxa"/>
            <w:vAlign w:val="bottom"/>
          </w:tcPr>
          <w:p>
            <w:pPr>
              <w:jc w:val="right"/>
              <w:ind w:right="153"/>
              <w:spacing w:after="0" w:line="143" w:lineRule="exact"/>
              <w:rPr>
                <w:sz w:val="20"/>
                <w:szCs w:val="20"/>
                <w:color w:val="auto"/>
              </w:rPr>
            </w:pPr>
            <w:r>
              <w:rPr>
                <w:rFonts w:ascii="Arial" w:cs="Arial" w:eastAsia="Arial" w:hAnsi="Arial"/>
                <w:sz w:val="14"/>
                <w:szCs w:val="14"/>
                <w:color w:val="auto"/>
                <w:w w:val="96"/>
              </w:rPr>
              <w:t>2009</w:t>
            </w:r>
          </w:p>
        </w:tc>
      </w:tr>
      <w:tr>
        <w:trPr>
          <w:trHeight w:val="210"/>
        </w:trPr>
        <w:tc>
          <w:tcPr>
            <w:tcW w:w="20" w:type="dxa"/>
            <w:vAlign w:val="bottom"/>
          </w:tcPr>
          <w:p>
            <w:pPr>
              <w:spacing w:after="0"/>
              <w:rPr>
                <w:sz w:val="18"/>
                <w:szCs w:val="18"/>
                <w:color w:val="auto"/>
              </w:rPr>
            </w:pPr>
          </w:p>
        </w:tc>
        <w:tc>
          <w:tcPr>
            <w:tcW w:w="922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$ 5,332</w:t>
            </w:r>
          </w:p>
        </w:tc>
        <w:tc>
          <w:tcPr>
            <w:tcW w:w="5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97"/>
              </w:rPr>
              <w:t>5,113</w:t>
            </w: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Capital expenditures</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(2,063)</w:t>
            </w:r>
          </w:p>
        </w:tc>
        <w:tc>
          <w:tcPr>
            <w:tcW w:w="5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(2,281)</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Cash paid for intangible assets</w:t>
            </w:r>
          </w:p>
        </w:tc>
        <w:tc>
          <w:tcPr>
            <w:tcW w:w="1040" w:type="dxa"/>
            <w:vAlign w:val="bottom"/>
          </w:tcPr>
          <w:p>
            <w:pPr>
              <w:jc w:val="right"/>
              <w:spacing w:after="0"/>
              <w:rPr>
                <w:sz w:val="20"/>
                <w:szCs w:val="20"/>
                <w:color w:val="auto"/>
              </w:rPr>
            </w:pPr>
            <w:r>
              <w:rPr>
                <w:rFonts w:ascii="Arial" w:cs="Arial" w:eastAsia="Arial" w:hAnsi="Arial"/>
                <w:sz w:val="18"/>
                <w:szCs w:val="18"/>
                <w:color w:val="auto"/>
              </w:rPr>
              <w:t>(237)</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Acquisitions, net of cash acquired</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(183)</w:t>
            </w:r>
          </w:p>
        </w:tc>
        <w:tc>
          <w:tcPr>
            <w:tcW w:w="5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Proceeds from sales of investments</w:t>
            </w: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Purchases of investments</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w:t>
            </w:r>
          </w:p>
        </w:tc>
        <w:tc>
          <w:tcPr>
            <w:tcW w:w="5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w:t>
            </w:r>
          </w:p>
        </w:tc>
      </w:tr>
      <w:tr>
        <w:trPr>
          <w:trHeight w:val="210"/>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(2,555)</w:t>
            </w:r>
          </w:p>
        </w:tc>
        <w:tc>
          <w:tcPr>
            <w:tcW w:w="5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7"/>
              </w:rPr>
              <w:t>(2,570)</w:t>
            </w: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borrowings</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2,421</w:t>
            </w:r>
          </w:p>
        </w:tc>
        <w:tc>
          <w:tcPr>
            <w:tcW w:w="5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97"/>
              </w:rPr>
              <w:t>2,522</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Repurchases and repayments of debt</w:t>
            </w:r>
          </w:p>
        </w:tc>
        <w:tc>
          <w:tcPr>
            <w:tcW w:w="1040" w:type="dxa"/>
            <w:vAlign w:val="bottom"/>
          </w:tcPr>
          <w:p>
            <w:pPr>
              <w:jc w:val="right"/>
              <w:spacing w:after="0"/>
              <w:rPr>
                <w:sz w:val="20"/>
                <w:szCs w:val="20"/>
                <w:color w:val="auto"/>
              </w:rPr>
            </w:pPr>
            <w:r>
              <w:rPr>
                <w:rFonts w:ascii="Arial" w:cs="Arial" w:eastAsia="Arial" w:hAnsi="Arial"/>
                <w:sz w:val="18"/>
                <w:szCs w:val="18"/>
                <w:color w:val="auto"/>
              </w:rPr>
              <w:t>(638)</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(1,767)</w:t>
            </w: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Repurchases of common stock</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(600)</w:t>
            </w:r>
          </w:p>
        </w:tc>
        <w:tc>
          <w:tcPr>
            <w:tcW w:w="5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1040" w:type="dxa"/>
            <w:vAlign w:val="bottom"/>
          </w:tcPr>
          <w:p>
            <w:pPr>
              <w:jc w:val="right"/>
              <w:spacing w:after="0"/>
              <w:rPr>
                <w:sz w:val="20"/>
                <w:szCs w:val="20"/>
                <w:color w:val="auto"/>
              </w:rPr>
            </w:pPr>
            <w:r>
              <w:rPr>
                <w:rFonts w:ascii="Arial" w:cs="Arial" w:eastAsia="Arial" w:hAnsi="Arial"/>
                <w:sz w:val="18"/>
                <w:szCs w:val="18"/>
                <w:color w:val="auto"/>
              </w:rPr>
              <w:t>(535)</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(68)</w:t>
            </w:r>
          </w:p>
        </w:tc>
        <w:tc>
          <w:tcPr>
            <w:tcW w:w="5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(21)</w:t>
            </w:r>
          </w:p>
        </w:tc>
      </w:tr>
      <w:tr>
        <w:trPr>
          <w:trHeight w:val="210"/>
        </w:trPr>
        <w:tc>
          <w:tcPr>
            <w:tcW w:w="20" w:type="dxa"/>
            <w:vAlign w:val="bottom"/>
          </w:tcPr>
          <w:p>
            <w:pPr>
              <w:spacing w:after="0"/>
              <w:rPr>
                <w:sz w:val="18"/>
                <w:szCs w:val="18"/>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580</w:t>
            </w: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251</w:t>
            </w:r>
          </w:p>
        </w:tc>
      </w:tr>
      <w:tr>
        <w:trPr>
          <w:trHeight w:val="210"/>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3,357</w:t>
            </w:r>
          </w:p>
        </w:tc>
        <w:tc>
          <w:tcPr>
            <w:tcW w:w="5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97"/>
              </w:rPr>
              <w:t>2,794</w:t>
            </w: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7"/>
              </w:rPr>
              <w:t>1,195</w:t>
            </w:r>
          </w:p>
        </w:tc>
      </w:tr>
      <w:tr>
        <w:trPr>
          <w:trHeight w:val="217"/>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$ 4,028</w:t>
            </w: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97"/>
              </w:rPr>
              <w:t>3,989</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960" w:type="dxa"/>
            <w:vAlign w:val="bottom"/>
            <w:tcBorders>
              <w:right w:val="single" w:sz="8" w:color="auto"/>
            </w:tcBorders>
            <w:gridSpan w:val="3"/>
          </w:tcPr>
          <w:p>
            <w:pPr>
              <w:ind w:left="160"/>
              <w:spacing w:after="0"/>
              <w:rPr>
                <w:sz w:val="20"/>
                <w:szCs w:val="20"/>
                <w:color w:val="auto"/>
              </w:rPr>
            </w:pPr>
            <w:r>
              <w:rPr>
                <w:rFonts w:ascii="Arial" w:cs="Arial" w:eastAsia="Arial" w:hAnsi="Arial"/>
                <w:sz w:val="14"/>
                <w:szCs w:val="14"/>
                <w:color w:val="auto"/>
                <w:w w:val="95"/>
              </w:rPr>
              <w:t>Redeemable</w:t>
            </w:r>
          </w:p>
        </w:tc>
        <w:tc>
          <w:tcPr>
            <w:tcW w:w="1480" w:type="dxa"/>
            <w:vAlign w:val="bottom"/>
            <w:gridSpan w:val="4"/>
          </w:tcPr>
          <w:p>
            <w:pPr>
              <w:ind w:left="400"/>
              <w:spacing w:after="0"/>
              <w:rPr>
                <w:sz w:val="20"/>
                <w:szCs w:val="20"/>
                <w:color w:val="auto"/>
              </w:rPr>
            </w:pPr>
            <w:r>
              <w:rPr>
                <w:rFonts w:ascii="Arial" w:cs="Arial" w:eastAsia="Arial" w:hAnsi="Arial"/>
                <w:sz w:val="14"/>
                <w:szCs w:val="14"/>
                <w:color w:val="auto"/>
              </w:rPr>
              <w:t>Common Stock</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color w:val="auto"/>
                <w:w w:val="88"/>
              </w:rPr>
              <w:t>Accumulated</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Borders>
              <w:right w:val="single" w:sz="8" w:color="auto"/>
            </w:tcBorders>
            <w:gridSpan w:val="2"/>
            <w:vMerge w:val="restart"/>
          </w:tcPr>
          <w:p>
            <w:pPr>
              <w:jc w:val="center"/>
              <w:ind w:right="240"/>
              <w:spacing w:after="0" w:line="137" w:lineRule="exact"/>
              <w:rPr>
                <w:sz w:val="20"/>
                <w:szCs w:val="20"/>
                <w:color w:val="auto"/>
              </w:rPr>
            </w:pPr>
            <w:r>
              <w:rPr>
                <w:rFonts w:ascii="Arial" w:cs="Arial" w:eastAsia="Arial" w:hAnsi="Arial"/>
                <w:sz w:val="14"/>
                <w:szCs w:val="14"/>
                <w:color w:val="auto"/>
                <w:w w:val="85"/>
              </w:rPr>
              <w:t>Non-</w:t>
            </w: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gridSpan w:val="2"/>
            <w:vMerge w:val="restart"/>
          </w:tcPr>
          <w:p>
            <w:pPr>
              <w:jc w:val="right"/>
              <w:ind w:right="100"/>
              <w:spacing w:after="0" w:line="137" w:lineRule="exact"/>
              <w:rPr>
                <w:sz w:val="20"/>
                <w:szCs w:val="20"/>
                <w:color w:val="auto"/>
              </w:rPr>
            </w:pPr>
            <w:r>
              <w:rPr>
                <w:rFonts w:ascii="Arial" w:cs="Arial" w:eastAsia="Arial" w:hAnsi="Arial"/>
                <w:sz w:val="14"/>
                <w:szCs w:val="14"/>
                <w:color w:val="auto"/>
              </w:rPr>
              <w:t>Additional</w:t>
            </w: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gridSpan w:val="2"/>
            <w:vMerge w:val="restart"/>
          </w:tcPr>
          <w:p>
            <w:pPr>
              <w:jc w:val="center"/>
              <w:spacing w:after="0" w:line="137" w:lineRule="exact"/>
              <w:rPr>
                <w:sz w:val="20"/>
                <w:szCs w:val="20"/>
                <w:color w:val="auto"/>
              </w:rPr>
            </w:pPr>
            <w:r>
              <w:rPr>
                <w:rFonts w:ascii="Arial" w:cs="Arial" w:eastAsia="Arial" w:hAnsi="Arial"/>
                <w:sz w:val="14"/>
                <w:szCs w:val="14"/>
                <w:color w:val="auto"/>
                <w:w w:val="86"/>
              </w:rPr>
              <w:t>Treasury</w:t>
            </w:r>
          </w:p>
        </w:tc>
        <w:tc>
          <w:tcPr>
            <w:tcW w:w="340" w:type="dxa"/>
            <w:vAlign w:val="bottom"/>
          </w:tcPr>
          <w:p>
            <w:pPr>
              <w:spacing w:after="0"/>
              <w:rPr>
                <w:sz w:val="3"/>
                <w:szCs w:val="3"/>
                <w:color w:val="auto"/>
              </w:rPr>
            </w:pPr>
          </w:p>
        </w:tc>
        <w:tc>
          <w:tcPr>
            <w:tcW w:w="780" w:type="dxa"/>
            <w:vAlign w:val="bottom"/>
            <w:gridSpan w:val="2"/>
            <w:vMerge w:val="restart"/>
          </w:tcPr>
          <w:p>
            <w:pPr>
              <w:jc w:val="center"/>
              <w:ind w:right="280"/>
              <w:spacing w:after="0" w:line="137" w:lineRule="exact"/>
              <w:rPr>
                <w:sz w:val="20"/>
                <w:szCs w:val="20"/>
                <w:color w:val="auto"/>
              </w:rPr>
            </w:pPr>
            <w:r>
              <w:rPr>
                <w:rFonts w:ascii="Arial" w:cs="Arial" w:eastAsia="Arial" w:hAnsi="Arial"/>
                <w:sz w:val="14"/>
                <w:szCs w:val="14"/>
                <w:color w:val="auto"/>
                <w:w w:val="85"/>
              </w:rPr>
              <w:t>Other</w:t>
            </w: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Borders>
              <w:right w:val="single" w:sz="8" w:color="auto"/>
            </w:tcBorders>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960" w:type="dxa"/>
            <w:vAlign w:val="bottom"/>
            <w:tcBorders>
              <w:right w:val="single" w:sz="8" w:color="auto"/>
            </w:tcBorders>
            <w:gridSpan w:val="3"/>
          </w:tcPr>
          <w:p>
            <w:pPr>
              <w:jc w:val="center"/>
              <w:spacing w:after="0" w:line="149" w:lineRule="exact"/>
              <w:rPr>
                <w:sz w:val="20"/>
                <w:szCs w:val="20"/>
                <w:color w:val="auto"/>
              </w:rPr>
            </w:pPr>
            <w:r>
              <w:rPr>
                <w:rFonts w:ascii="Arial" w:cs="Arial" w:eastAsia="Arial" w:hAnsi="Arial"/>
                <w:sz w:val="14"/>
                <w:szCs w:val="14"/>
                <w:color w:val="auto"/>
                <w:w w:val="90"/>
              </w:rPr>
              <w:t>controlling</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ind w:right="156"/>
              <w:spacing w:after="0" w:line="149" w:lineRule="exact"/>
              <w:rPr>
                <w:sz w:val="20"/>
                <w:szCs w:val="20"/>
                <w:color w:val="auto"/>
              </w:rPr>
            </w:pPr>
            <w:r>
              <w:rPr>
                <w:rFonts w:ascii="Arial" w:cs="Arial" w:eastAsia="Arial" w:hAnsi="Arial"/>
                <w:sz w:val="14"/>
                <w:szCs w:val="14"/>
                <w:color w:val="auto"/>
              </w:rPr>
              <w:t>A</w:t>
            </w:r>
          </w:p>
        </w:tc>
        <w:tc>
          <w:tcPr>
            <w:tcW w:w="40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Paid-In</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Retained</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Stock at</w:t>
            </w:r>
          </w:p>
        </w:tc>
        <w:tc>
          <w:tcPr>
            <w:tcW w:w="1120" w:type="dxa"/>
            <w:vAlign w:val="bottom"/>
            <w:gridSpan w:val="3"/>
          </w:tcPr>
          <w:p>
            <w:pPr>
              <w:ind w:left="160"/>
              <w:spacing w:after="0" w:line="149" w:lineRule="exact"/>
              <w:rPr>
                <w:sz w:val="20"/>
                <w:szCs w:val="20"/>
                <w:color w:val="auto"/>
              </w:rPr>
            </w:pPr>
            <w:r>
              <w:rPr>
                <w:rFonts w:ascii="Arial" w:cs="Arial" w:eastAsia="Arial" w:hAnsi="Arial"/>
                <w:sz w:val="14"/>
                <w:szCs w:val="14"/>
                <w:color w:val="auto"/>
                <w:w w:val="95"/>
              </w:rPr>
              <w:t>Comprehensive</w:t>
            </w:r>
          </w:p>
        </w:tc>
        <w:tc>
          <w:tcPr>
            <w:tcW w:w="11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Noncontrolling</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9"/>
        </w:trPr>
        <w:tc>
          <w:tcPr>
            <w:tcW w:w="33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3"/>
                <w:szCs w:val="13"/>
                <w:color w:val="auto"/>
              </w:rPr>
            </w:pPr>
          </w:p>
        </w:tc>
        <w:tc>
          <w:tcPr>
            <w:tcW w:w="700" w:type="dxa"/>
            <w:vAlign w:val="bottom"/>
            <w:tcBorders>
              <w:right w:val="single" w:sz="8" w:color="auto"/>
            </w:tcBorders>
            <w:gridSpan w:val="2"/>
          </w:tcPr>
          <w:p>
            <w:pPr>
              <w:jc w:val="center"/>
              <w:ind w:right="240"/>
              <w:spacing w:after="0" w:line="159" w:lineRule="exact"/>
              <w:rPr>
                <w:sz w:val="20"/>
                <w:szCs w:val="20"/>
                <w:color w:val="auto"/>
              </w:rPr>
            </w:pPr>
            <w:r>
              <w:rPr>
                <w:rFonts w:ascii="Arial" w:cs="Arial" w:eastAsia="Arial" w:hAnsi="Arial"/>
                <w:sz w:val="14"/>
                <w:szCs w:val="14"/>
                <w:color w:val="auto"/>
                <w:w w:val="85"/>
              </w:rPr>
              <w:t>Interests</w:t>
            </w:r>
          </w:p>
        </w:tc>
        <w:tc>
          <w:tcPr>
            <w:tcW w:w="500" w:type="dxa"/>
            <w:vAlign w:val="bottom"/>
          </w:tcPr>
          <w:p>
            <w:pPr>
              <w:jc w:val="center"/>
              <w:spacing w:after="0" w:line="159" w:lineRule="exact"/>
              <w:rPr>
                <w:sz w:val="20"/>
                <w:szCs w:val="20"/>
                <w:color w:val="auto"/>
              </w:rPr>
            </w:pPr>
            <w:r>
              <w:rPr>
                <w:rFonts w:ascii="Arial" w:cs="Arial" w:eastAsia="Arial" w:hAnsi="Arial"/>
                <w:sz w:val="14"/>
                <w:szCs w:val="14"/>
                <w:color w:val="auto"/>
              </w:rPr>
              <w:t>A</w:t>
            </w:r>
          </w:p>
        </w:tc>
        <w:tc>
          <w:tcPr>
            <w:tcW w:w="58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Special</w:t>
            </w:r>
          </w:p>
        </w:tc>
        <w:tc>
          <w:tcPr>
            <w:tcW w:w="400" w:type="dxa"/>
            <w:vAlign w:val="bottom"/>
          </w:tcPr>
          <w:p>
            <w:pPr>
              <w:jc w:val="center"/>
              <w:spacing w:after="0" w:line="159" w:lineRule="exact"/>
              <w:rPr>
                <w:sz w:val="20"/>
                <w:szCs w:val="20"/>
                <w:color w:val="auto"/>
              </w:rPr>
            </w:pPr>
            <w:r>
              <w:rPr>
                <w:rFonts w:ascii="Arial" w:cs="Arial" w:eastAsia="Arial" w:hAnsi="Arial"/>
                <w:sz w:val="14"/>
                <w:szCs w:val="14"/>
                <w:color w:val="auto"/>
              </w:rPr>
              <w:t>B</w:t>
            </w:r>
          </w:p>
        </w:tc>
        <w:tc>
          <w:tcPr>
            <w:tcW w:w="8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Capital</w:t>
            </w:r>
          </w:p>
        </w:tc>
        <w:tc>
          <w:tcPr>
            <w:tcW w:w="86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Earnings</w:t>
            </w:r>
          </w:p>
        </w:tc>
        <w:tc>
          <w:tcPr>
            <w:tcW w:w="82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3"/>
              </w:rPr>
              <w:t>Cost</w:t>
            </w:r>
          </w:p>
        </w:tc>
        <w:tc>
          <w:tcPr>
            <w:tcW w:w="112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7"/>
              </w:rPr>
              <w:t>Income (Loss)</w:t>
            </w:r>
          </w:p>
        </w:tc>
        <w:tc>
          <w:tcPr>
            <w:tcW w:w="300" w:type="dxa"/>
            <w:vAlign w:val="bottom"/>
          </w:tcPr>
          <w:p>
            <w:pPr>
              <w:spacing w:after="0"/>
              <w:rPr>
                <w:sz w:val="13"/>
                <w:szCs w:val="13"/>
                <w:color w:val="auto"/>
              </w:rPr>
            </w:pPr>
          </w:p>
        </w:tc>
        <w:tc>
          <w:tcPr>
            <w:tcW w:w="8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3"/>
              </w:rPr>
              <w:t>Interests</w:t>
            </w:r>
          </w:p>
        </w:tc>
        <w:tc>
          <w:tcPr>
            <w:tcW w:w="8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60" w:type="dxa"/>
            <w:vAlign w:val="bottom"/>
            <w:shd w:val="clear" w:color="auto" w:fill="E5E5E5"/>
          </w:tcPr>
          <w:p>
            <w:pPr>
              <w:spacing w:after="0"/>
              <w:rPr>
                <w:sz w:val="20"/>
                <w:szCs w:val="20"/>
                <w:color w:val="auto"/>
              </w:rPr>
            </w:pPr>
            <w:r>
              <w:rPr>
                <w:rFonts w:ascii="Arial" w:cs="Arial" w:eastAsia="Arial" w:hAnsi="Arial"/>
                <w:sz w:val="18"/>
                <w:szCs w:val="18"/>
                <w:color w:val="auto"/>
              </w:rPr>
              <w:t>Balance, January 1, 2009</w:t>
            </w:r>
          </w:p>
        </w:tc>
        <w:tc>
          <w:tcPr>
            <w:tcW w:w="260" w:type="dxa"/>
            <w:vAlign w:val="bottom"/>
            <w:shd w:val="clear" w:color="auto" w:fill="E5E5E5"/>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auto"/>
            </w:tcBorders>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171</w:t>
            </w:r>
          </w:p>
        </w:tc>
        <w:tc>
          <w:tcPr>
            <w:tcW w:w="5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6"/>
              </w:rPr>
              <w:t>$24</w:t>
            </w:r>
          </w:p>
        </w:tc>
        <w:tc>
          <w:tcPr>
            <w:tcW w:w="200" w:type="dxa"/>
            <w:vAlign w:val="bottom"/>
            <w:shd w:val="clear" w:color="auto" w:fill="E5E5E5"/>
          </w:tcPr>
          <w:p>
            <w:pPr>
              <w:ind w:left="8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9</w:t>
            </w:r>
          </w:p>
        </w:tc>
        <w:tc>
          <w:tcPr>
            <w:tcW w:w="4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6"/>
              </w:rPr>
              <w:t>$ —</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$40,620</w:t>
            </w:r>
          </w:p>
        </w:tc>
        <w:tc>
          <w:tcPr>
            <w:tcW w:w="100" w:type="dxa"/>
            <w:vAlign w:val="bottom"/>
            <w:shd w:val="clear" w:color="auto" w:fill="E5E5E5"/>
          </w:tcPr>
          <w:p>
            <w:pPr>
              <w:spacing w:after="0"/>
              <w:rPr>
                <w:sz w:val="18"/>
                <w:szCs w:val="18"/>
                <w:color w:val="auto"/>
              </w:rPr>
            </w:pP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7,427</w:t>
            </w:r>
          </w:p>
        </w:tc>
        <w:tc>
          <w:tcPr>
            <w:tcW w:w="82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$(7,517)</w:t>
            </w:r>
          </w:p>
        </w:tc>
        <w:tc>
          <w:tcPr>
            <w:tcW w:w="340" w:type="dxa"/>
            <w:vAlign w:val="bottom"/>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(113)</w:t>
            </w:r>
          </w:p>
        </w:tc>
        <w:tc>
          <w:tcPr>
            <w:tcW w:w="300" w:type="dxa"/>
            <w:vAlign w:val="bottom"/>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E5E5E5"/>
          </w:tcPr>
          <w:p>
            <w:pPr>
              <w:spacing w:after="0"/>
              <w:rPr>
                <w:sz w:val="18"/>
                <w:szCs w:val="18"/>
                <w:color w:val="auto"/>
              </w:rPr>
            </w:pPr>
          </w:p>
        </w:tc>
        <w:tc>
          <w:tcPr>
            <w:tcW w:w="8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$40,576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Stock compensation plans</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5E5E5"/>
          </w:tcPr>
          <w:p>
            <w:pPr>
              <w:spacing w:after="0"/>
              <w:rPr>
                <w:sz w:val="20"/>
                <w:szCs w:val="20"/>
                <w:color w:val="auto"/>
              </w:rPr>
            </w:pPr>
            <w:r>
              <w:rPr>
                <w:rFonts w:ascii="Arial" w:cs="Arial" w:eastAsia="Arial" w:hAnsi="Arial"/>
                <w:sz w:val="18"/>
                <w:szCs w:val="18"/>
                <w:color w:val="auto"/>
                <w:w w:val="92"/>
              </w:rPr>
              <w:t>Repurchase and retirement of common stock</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14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(173)</w:t>
            </w:r>
          </w:p>
        </w:tc>
        <w:tc>
          <w:tcPr>
            <w:tcW w:w="260" w:type="dxa"/>
            <w:vAlign w:val="bottom"/>
            <w:shd w:val="clear" w:color="auto" w:fill="E5E5E5"/>
          </w:tcPr>
          <w:p>
            <w:pPr>
              <w:spacing w:after="0"/>
              <w:rPr>
                <w:sz w:val="18"/>
                <w:szCs w:val="18"/>
                <w:color w:val="auto"/>
              </w:rPr>
            </w:pPr>
          </w:p>
        </w:tc>
        <w:tc>
          <w:tcPr>
            <w:tcW w:w="6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(42)</w:t>
            </w: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14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(389)</w:t>
            </w: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60" w:type="dxa"/>
            <w:vAlign w:val="bottom"/>
            <w:shd w:val="clear" w:color="auto" w:fill="E5E5E5"/>
          </w:tcPr>
          <w:p>
            <w:pPr>
              <w:spacing w:after="0"/>
              <w:rPr>
                <w:sz w:val="20"/>
                <w:szCs w:val="20"/>
                <w:color w:val="auto"/>
              </w:rPr>
            </w:pPr>
            <w:r>
              <w:rPr>
                <w:rFonts w:ascii="Arial" w:cs="Arial" w:eastAsia="Arial" w:hAnsi="Arial"/>
                <w:sz w:val="18"/>
                <w:szCs w:val="18"/>
                <w:color w:val="auto"/>
                <w:w w:val="91"/>
              </w:rPr>
              <w:t>Sale (purchase) of subsidiary shares to (from)</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14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noncontrolling interests, net</w:t>
            </w:r>
          </w:p>
        </w:tc>
        <w:tc>
          <w:tcPr>
            <w:tcW w:w="260" w:type="dxa"/>
            <w:vAlign w:val="bottom"/>
            <w:shd w:val="clear" w:color="auto" w:fill="E5E5E5"/>
          </w:tcPr>
          <w:p>
            <w:pPr>
              <w:spacing w:after="0"/>
              <w:rPr>
                <w:sz w:val="19"/>
                <w:szCs w:val="19"/>
                <w:color w:val="auto"/>
              </w:rPr>
            </w:pPr>
          </w:p>
        </w:tc>
        <w:tc>
          <w:tcPr>
            <w:tcW w:w="560" w:type="dxa"/>
            <w:vAlign w:val="bottom"/>
            <w:shd w:val="clear" w:color="auto" w:fill="E5E5E5"/>
          </w:tcPr>
          <w:p>
            <w:pPr>
              <w:spacing w:after="0"/>
              <w:rPr>
                <w:sz w:val="19"/>
                <w:szCs w:val="19"/>
                <w:color w:val="auto"/>
              </w:rPr>
            </w:pPr>
          </w:p>
        </w:tc>
        <w:tc>
          <w:tcPr>
            <w:tcW w:w="140" w:type="dxa"/>
            <w:vAlign w:val="bottom"/>
            <w:tcBorders>
              <w:right w:val="single" w:sz="8" w:color="auto"/>
            </w:tcBorders>
            <w:shd w:val="clear" w:color="auto" w:fill="E5E5E5"/>
          </w:tcPr>
          <w:p>
            <w:pPr>
              <w:spacing w:after="0"/>
              <w:rPr>
                <w:sz w:val="19"/>
                <w:szCs w:val="19"/>
                <w:color w:val="auto"/>
              </w:rPr>
            </w:pPr>
          </w:p>
        </w:tc>
        <w:tc>
          <w:tcPr>
            <w:tcW w:w="50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400" w:type="dxa"/>
            <w:vAlign w:val="bottom"/>
            <w:shd w:val="clear" w:color="auto" w:fill="E5E5E5"/>
          </w:tcPr>
          <w:p>
            <w:pPr>
              <w:spacing w:after="0"/>
              <w:rPr>
                <w:sz w:val="19"/>
                <w:szCs w:val="19"/>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48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7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6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300" w:type="dxa"/>
            <w:vAlign w:val="bottom"/>
            <w:shd w:val="clear" w:color="auto" w:fill="E5E5E5"/>
          </w:tcPr>
          <w:p>
            <w:pPr>
              <w:spacing w:after="0"/>
              <w:rPr>
                <w:sz w:val="19"/>
                <w:szCs w:val="19"/>
                <w:color w:val="auto"/>
              </w:rPr>
            </w:pPr>
          </w:p>
        </w:tc>
        <w:tc>
          <w:tcPr>
            <w:tcW w:w="80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(35)</w:t>
            </w: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Contributions from (distributions to)</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19"/>
                <w:szCs w:val="19"/>
                <w:color w:val="auto"/>
              </w:rPr>
            </w:pPr>
          </w:p>
        </w:tc>
        <w:tc>
          <w:tcPr>
            <w:tcW w:w="7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right w:val="single" w:sz="8" w:color="auto"/>
            </w:tcBorders>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(7)</w:t>
            </w:r>
          </w:p>
        </w:tc>
        <w:tc>
          <w:tcPr>
            <w:tcW w:w="50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1,739</w:t>
            </w:r>
          </w:p>
        </w:tc>
        <w:tc>
          <w:tcPr>
            <w:tcW w:w="72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June 30, 2009</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167</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$24</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9</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 —</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$40,561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8,736</w:t>
            </w: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$(7,517)</w:t>
            </w: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(80)</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$41,814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5E5E5"/>
          </w:tcPr>
          <w:p>
            <w:pPr>
              <w:spacing w:after="0"/>
              <w:rPr>
                <w:sz w:val="20"/>
                <w:szCs w:val="20"/>
                <w:color w:val="auto"/>
              </w:rPr>
            </w:pPr>
            <w:r>
              <w:rPr>
                <w:rFonts w:ascii="Arial" w:cs="Arial" w:eastAsia="Arial" w:hAnsi="Arial"/>
                <w:sz w:val="18"/>
                <w:szCs w:val="18"/>
                <w:color w:val="auto"/>
              </w:rPr>
              <w:t>Balance, January 1, 2010</w:t>
            </w:r>
          </w:p>
        </w:tc>
        <w:tc>
          <w:tcPr>
            <w:tcW w:w="260" w:type="dxa"/>
            <w:vAlign w:val="bottom"/>
            <w:shd w:val="clear" w:color="auto" w:fill="E5E5E5"/>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auto"/>
            </w:tcBorders>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166</w:t>
            </w:r>
          </w:p>
        </w:tc>
        <w:tc>
          <w:tcPr>
            <w:tcW w:w="5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6"/>
              </w:rPr>
              <w:t>$24</w:t>
            </w:r>
          </w:p>
        </w:tc>
        <w:tc>
          <w:tcPr>
            <w:tcW w:w="200" w:type="dxa"/>
            <w:vAlign w:val="bottom"/>
            <w:shd w:val="clear" w:color="auto" w:fill="E5E5E5"/>
          </w:tcPr>
          <w:p>
            <w:pPr>
              <w:ind w:left="8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8</w:t>
            </w:r>
          </w:p>
        </w:tc>
        <w:tc>
          <w:tcPr>
            <w:tcW w:w="4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6"/>
              </w:rPr>
              <w:t>$ —</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$40,247</w:t>
            </w:r>
          </w:p>
        </w:tc>
        <w:tc>
          <w:tcPr>
            <w:tcW w:w="100" w:type="dxa"/>
            <w:vAlign w:val="bottom"/>
            <w:shd w:val="clear" w:color="auto" w:fill="E5E5E5"/>
          </w:tcPr>
          <w:p>
            <w:pPr>
              <w:spacing w:after="0"/>
              <w:rPr>
                <w:sz w:val="18"/>
                <w:szCs w:val="18"/>
                <w:color w:val="auto"/>
              </w:rPr>
            </w:pP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w w:val="83"/>
              </w:rPr>
              <w:t>10,005</w:t>
            </w:r>
          </w:p>
        </w:tc>
        <w:tc>
          <w:tcPr>
            <w:tcW w:w="82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$(7,517)</w:t>
            </w:r>
          </w:p>
        </w:tc>
        <w:tc>
          <w:tcPr>
            <w:tcW w:w="340" w:type="dxa"/>
            <w:vAlign w:val="bottom"/>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(46)</w:t>
            </w:r>
          </w:p>
        </w:tc>
        <w:tc>
          <w:tcPr>
            <w:tcW w:w="300" w:type="dxa"/>
            <w:vAlign w:val="bottom"/>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E5E5E5"/>
          </w:tcPr>
          <w:p>
            <w:pPr>
              <w:spacing w:after="0"/>
              <w:rPr>
                <w:sz w:val="18"/>
                <w:szCs w:val="18"/>
                <w:color w:val="auto"/>
              </w:rPr>
            </w:pPr>
          </w:p>
        </w:tc>
        <w:tc>
          <w:tcPr>
            <w:tcW w:w="8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$42,811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Stock compensation plans</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5E5E5"/>
          </w:tcPr>
          <w:p>
            <w:pPr>
              <w:spacing w:after="0"/>
              <w:rPr>
                <w:sz w:val="20"/>
                <w:szCs w:val="20"/>
                <w:color w:val="auto"/>
              </w:rPr>
            </w:pPr>
            <w:r>
              <w:rPr>
                <w:rFonts w:ascii="Arial" w:cs="Arial" w:eastAsia="Arial" w:hAnsi="Arial"/>
                <w:sz w:val="18"/>
                <w:szCs w:val="18"/>
                <w:color w:val="auto"/>
                <w:w w:val="92"/>
              </w:rPr>
              <w:t>Repurchase and retirement of common stock</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14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(407)</w:t>
            </w:r>
          </w:p>
        </w:tc>
        <w:tc>
          <w:tcPr>
            <w:tcW w:w="260" w:type="dxa"/>
            <w:vAlign w:val="bottom"/>
            <w:shd w:val="clear" w:color="auto" w:fill="E5E5E5"/>
          </w:tcPr>
          <w:p>
            <w:pPr>
              <w:spacing w:after="0"/>
              <w:rPr>
                <w:sz w:val="18"/>
                <w:szCs w:val="18"/>
                <w:color w:val="auto"/>
              </w:rPr>
            </w:pPr>
          </w:p>
        </w:tc>
        <w:tc>
          <w:tcPr>
            <w:tcW w:w="6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(193)</w:t>
            </w: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14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(532)</w:t>
            </w: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60" w:type="dxa"/>
            <w:vAlign w:val="bottom"/>
            <w:shd w:val="clear" w:color="auto" w:fill="E5E5E5"/>
          </w:tcPr>
          <w:p>
            <w:pPr>
              <w:spacing w:after="0"/>
              <w:rPr>
                <w:sz w:val="20"/>
                <w:szCs w:val="20"/>
                <w:color w:val="auto"/>
              </w:rPr>
            </w:pPr>
            <w:r>
              <w:rPr>
                <w:rFonts w:ascii="Arial" w:cs="Arial" w:eastAsia="Arial" w:hAnsi="Arial"/>
                <w:sz w:val="18"/>
                <w:szCs w:val="18"/>
                <w:color w:val="auto"/>
                <w:w w:val="91"/>
              </w:rPr>
              <w:t>Sale (purchase) of subsidiary shares to (from)</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14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noncontrolling interests, net</w:t>
            </w:r>
          </w:p>
        </w:tc>
        <w:tc>
          <w:tcPr>
            <w:tcW w:w="260" w:type="dxa"/>
            <w:vAlign w:val="bottom"/>
            <w:shd w:val="clear" w:color="auto" w:fill="E5E5E5"/>
          </w:tcPr>
          <w:p>
            <w:pPr>
              <w:spacing w:after="0"/>
              <w:rPr>
                <w:sz w:val="19"/>
                <w:szCs w:val="19"/>
                <w:color w:val="auto"/>
              </w:rPr>
            </w:pPr>
          </w:p>
        </w:tc>
        <w:tc>
          <w:tcPr>
            <w:tcW w:w="700" w:type="dxa"/>
            <w:vAlign w:val="bottom"/>
            <w:tcBorders>
              <w:right w:val="single" w:sz="8" w:color="auto"/>
            </w:tcBorders>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(20)</w:t>
            </w:r>
          </w:p>
        </w:tc>
        <w:tc>
          <w:tcPr>
            <w:tcW w:w="50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400" w:type="dxa"/>
            <w:vAlign w:val="bottom"/>
            <w:shd w:val="clear" w:color="auto" w:fill="E5E5E5"/>
          </w:tcPr>
          <w:p>
            <w:pPr>
              <w:spacing w:after="0"/>
              <w:rPr>
                <w:sz w:val="19"/>
                <w:szCs w:val="19"/>
                <w:color w:val="auto"/>
              </w:rPr>
            </w:pPr>
          </w:p>
        </w:tc>
        <w:tc>
          <w:tcPr>
            <w:tcW w:w="8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E5E5E5"/>
          </w:tcPr>
          <w:p>
            <w:pPr>
              <w:spacing w:after="0"/>
              <w:rPr>
                <w:sz w:val="19"/>
                <w:szCs w:val="19"/>
                <w:color w:val="auto"/>
              </w:rPr>
            </w:pPr>
          </w:p>
        </w:tc>
        <w:tc>
          <w:tcPr>
            <w:tcW w:w="48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7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6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300" w:type="dxa"/>
            <w:vAlign w:val="bottom"/>
            <w:shd w:val="clear" w:color="auto" w:fill="E5E5E5"/>
          </w:tcPr>
          <w:p>
            <w:pPr>
              <w:spacing w:after="0"/>
              <w:rPr>
                <w:sz w:val="19"/>
                <w:szCs w:val="19"/>
                <w:color w:val="auto"/>
              </w:rPr>
            </w:pPr>
          </w:p>
        </w:tc>
        <w:tc>
          <w:tcPr>
            <w:tcW w:w="70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8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Contributions from (distributions to)</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right w:val="single" w:sz="8" w:color="auto"/>
            </w:tcBorders>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1,750</w:t>
            </w:r>
          </w:p>
        </w:tc>
        <w:tc>
          <w:tcPr>
            <w:tcW w:w="72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June 30, 2010</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145</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$24</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8</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 —</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$39,982</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w w:val="83"/>
              </w:rPr>
              <w:t>11,026</w:t>
            </w: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$(7,517)</w:t>
            </w: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(86)</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$43,524</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20" w:type="dxa"/>
            <w:vAlign w:val="bottom"/>
            <w:gridSpan w:val="3"/>
          </w:tcPr>
          <w:p>
            <w:pPr>
              <w:jc w:val="right"/>
              <w:ind w:right="315"/>
              <w:spacing w:after="0"/>
              <w:rPr>
                <w:sz w:val="20"/>
                <w:szCs w:val="20"/>
                <w:color w:val="auto"/>
              </w:rPr>
            </w:pPr>
            <w:r>
              <w:rPr>
                <w:rFonts w:ascii="Arial" w:cs="Arial" w:eastAsia="Arial" w:hAnsi="Arial"/>
                <w:sz w:val="14"/>
                <w:szCs w:val="14"/>
                <w:color w:val="auto"/>
                <w:w w:val="91"/>
              </w:rPr>
              <w:t>Three Months Ended</w:t>
            </w:r>
          </w:p>
        </w:tc>
        <w:tc>
          <w:tcPr>
            <w:tcW w:w="1760" w:type="dxa"/>
            <w:vAlign w:val="bottom"/>
            <w:gridSpan w:val="3"/>
          </w:tcPr>
          <w:p>
            <w:pPr>
              <w:ind w:left="480"/>
              <w:spacing w:after="0"/>
              <w:rPr>
                <w:sz w:val="20"/>
                <w:szCs w:val="20"/>
                <w:color w:val="auto"/>
              </w:rPr>
            </w:pPr>
            <w:r>
              <w:rPr>
                <w:rFonts w:ascii="Arial" w:cs="Arial" w:eastAsia="Arial" w:hAnsi="Arial"/>
                <w:sz w:val="14"/>
                <w:szCs w:val="14"/>
                <w:color w:val="auto"/>
              </w:rPr>
              <w:t>Six Months Ended</w:t>
            </w:r>
          </w:p>
        </w:tc>
      </w:tr>
      <w:tr>
        <w:trPr>
          <w:trHeight w:val="172"/>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w w:val="80"/>
              </w:rPr>
              <w:t>June 30</w:t>
            </w:r>
          </w:p>
        </w:tc>
        <w:tc>
          <w:tcPr>
            <w:tcW w:w="6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3"/>
        </w:trPr>
        <w:tc>
          <w:tcPr>
            <w:tcW w:w="7320" w:type="dxa"/>
            <w:vAlign w:val="bottom"/>
            <w:gridSpan w:val="2"/>
          </w:tcPr>
          <w:p>
            <w:pPr>
              <w:spacing w:after="0" w:line="143"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2"/>
                <w:szCs w:val="12"/>
                <w:color w:val="auto"/>
              </w:rPr>
            </w:pPr>
          </w:p>
        </w:tc>
        <w:tc>
          <w:tcPr>
            <w:tcW w:w="440" w:type="dxa"/>
            <w:vAlign w:val="bottom"/>
          </w:tcPr>
          <w:p>
            <w:pPr>
              <w:jc w:val="right"/>
              <w:ind w:right="77"/>
              <w:spacing w:after="0" w:line="143" w:lineRule="exact"/>
              <w:rPr>
                <w:sz w:val="20"/>
                <w:szCs w:val="20"/>
                <w:color w:val="auto"/>
              </w:rPr>
            </w:pPr>
            <w:r>
              <w:rPr>
                <w:rFonts w:ascii="Arial" w:cs="Arial" w:eastAsia="Arial" w:hAnsi="Arial"/>
                <w:sz w:val="14"/>
                <w:szCs w:val="14"/>
                <w:color w:val="auto"/>
                <w:w w:val="83"/>
              </w:rPr>
              <w:t>2010</w:t>
            </w:r>
          </w:p>
        </w:tc>
        <w:tc>
          <w:tcPr>
            <w:tcW w:w="580" w:type="dxa"/>
            <w:vAlign w:val="bottom"/>
          </w:tcPr>
          <w:p>
            <w:pPr>
              <w:spacing w:after="0"/>
              <w:rPr>
                <w:sz w:val="12"/>
                <w:szCs w:val="12"/>
                <w:color w:val="auto"/>
              </w:rPr>
            </w:pPr>
          </w:p>
        </w:tc>
        <w:tc>
          <w:tcPr>
            <w:tcW w:w="600" w:type="dxa"/>
            <w:vAlign w:val="bottom"/>
          </w:tcPr>
          <w:p>
            <w:pPr>
              <w:jc w:val="right"/>
              <w:ind w:right="235"/>
              <w:spacing w:after="0" w:line="143" w:lineRule="exact"/>
              <w:rPr>
                <w:sz w:val="20"/>
                <w:szCs w:val="20"/>
                <w:color w:val="auto"/>
              </w:rPr>
            </w:pPr>
            <w:r>
              <w:rPr>
                <w:rFonts w:ascii="Arial" w:cs="Arial" w:eastAsia="Arial" w:hAnsi="Arial"/>
                <w:sz w:val="14"/>
                <w:szCs w:val="14"/>
                <w:color w:val="auto"/>
                <w:w w:val="83"/>
              </w:rPr>
              <w:t>2009</w:t>
            </w:r>
          </w:p>
        </w:tc>
        <w:tc>
          <w:tcPr>
            <w:tcW w:w="1220" w:type="dxa"/>
            <w:vAlign w:val="bottom"/>
          </w:tcPr>
          <w:p>
            <w:pPr>
              <w:jc w:val="right"/>
              <w:ind w:right="538"/>
              <w:spacing w:after="0" w:line="143" w:lineRule="exact"/>
              <w:rPr>
                <w:sz w:val="20"/>
                <w:szCs w:val="20"/>
                <w:color w:val="auto"/>
              </w:rPr>
            </w:pPr>
            <w:r>
              <w:rPr>
                <w:rFonts w:ascii="Arial" w:cs="Arial" w:eastAsia="Arial" w:hAnsi="Arial"/>
                <w:sz w:val="14"/>
                <w:szCs w:val="14"/>
                <w:color w:val="auto"/>
              </w:rPr>
              <w:t>2010</w:t>
            </w:r>
          </w:p>
        </w:tc>
        <w:tc>
          <w:tcPr>
            <w:tcW w:w="520" w:type="dxa"/>
            <w:vAlign w:val="bottom"/>
          </w:tcPr>
          <w:p>
            <w:pPr>
              <w:jc w:val="right"/>
              <w:ind w:right="35"/>
              <w:spacing w:after="0" w:line="143" w:lineRule="exact"/>
              <w:rPr>
                <w:sz w:val="20"/>
                <w:szCs w:val="20"/>
                <w:color w:val="auto"/>
              </w:rPr>
            </w:pPr>
            <w:r>
              <w:rPr>
                <w:rFonts w:ascii="Arial" w:cs="Arial" w:eastAsia="Arial" w:hAnsi="Arial"/>
                <w:sz w:val="14"/>
                <w:szCs w:val="14"/>
                <w:color w:val="auto"/>
              </w:rPr>
              <w:t>2009</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from consolidated operations</w:t>
            </w:r>
          </w:p>
        </w:tc>
        <w:tc>
          <w:tcPr>
            <w:tcW w:w="7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886</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956</w:t>
            </w:r>
          </w:p>
        </w:tc>
        <w:tc>
          <w:tcPr>
            <w:tcW w:w="1220" w:type="dxa"/>
            <w:vAlign w:val="bottom"/>
            <w:tcBorders>
              <w:top w:val="single" w:sz="8" w:color="auto"/>
            </w:tcBorders>
            <w:shd w:val="clear" w:color="auto" w:fill="E5E5E5"/>
          </w:tcPr>
          <w:p>
            <w:pPr>
              <w:jc w:val="right"/>
              <w:ind w:right="418"/>
              <w:spacing w:after="0"/>
              <w:rPr>
                <w:sz w:val="20"/>
                <w:szCs w:val="20"/>
                <w:color w:val="auto"/>
              </w:rPr>
            </w:pPr>
            <w:r>
              <w:rPr>
                <w:rFonts w:ascii="Arial" w:cs="Arial" w:eastAsia="Arial" w:hAnsi="Arial"/>
                <w:sz w:val="18"/>
                <w:szCs w:val="18"/>
                <w:color w:val="auto"/>
              </w:rPr>
              <w:t>$1,765</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0"/>
              </w:rPr>
              <w:t>$1,734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Holding gains (losses) during the period, net of deferred taxes of $24, $(2), $24 and $(1)</w:t>
            </w: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18"/>
                <w:szCs w:val="18"/>
                <w:color w:val="auto"/>
              </w:rPr>
            </w:pPr>
          </w:p>
        </w:tc>
        <w:tc>
          <w:tcPr>
            <w:tcW w:w="600" w:type="dxa"/>
            <w:vAlign w:val="bottom"/>
          </w:tcPr>
          <w:p>
            <w:pPr>
              <w:jc w:val="right"/>
              <w:ind w:right="115"/>
              <w:spacing w:after="0"/>
              <w:rPr>
                <w:sz w:val="20"/>
                <w:szCs w:val="20"/>
                <w:color w:val="auto"/>
              </w:rPr>
            </w:pPr>
            <w:r>
              <w:rPr>
                <w:rFonts w:ascii="Arial" w:cs="Arial" w:eastAsia="Arial" w:hAnsi="Arial"/>
                <w:sz w:val="18"/>
                <w:szCs w:val="18"/>
                <w:color w:val="auto"/>
              </w:rPr>
              <w:t>5</w:t>
            </w:r>
          </w:p>
        </w:tc>
        <w:tc>
          <w:tcPr>
            <w:tcW w:w="1220" w:type="dxa"/>
            <w:vAlign w:val="bottom"/>
          </w:tcPr>
          <w:p>
            <w:pPr>
              <w:jc w:val="right"/>
              <w:ind w:right="358"/>
              <w:spacing w:after="0"/>
              <w:rPr>
                <w:sz w:val="20"/>
                <w:szCs w:val="20"/>
                <w:color w:val="auto"/>
              </w:rPr>
            </w:pPr>
            <w:r>
              <w:rPr>
                <w:rFonts w:ascii="Arial" w:cs="Arial" w:eastAsia="Arial" w:hAnsi="Arial"/>
                <w:sz w:val="18"/>
                <w:szCs w:val="18"/>
                <w:color w:val="auto"/>
              </w:rPr>
              <w:t>(41)</w:t>
            </w: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300" w:type="dxa"/>
            <w:vAlign w:val="bottom"/>
            <w:shd w:val="clear" w:color="auto" w:fill="E5E5E5"/>
          </w:tcPr>
          <w:p>
            <w:pPr>
              <w:spacing w:after="0"/>
              <w:rPr>
                <w:sz w:val="20"/>
                <w:szCs w:val="20"/>
                <w:color w:val="auto"/>
              </w:rPr>
            </w:pPr>
            <w:r>
              <w:rPr>
                <w:rFonts w:ascii="Arial" w:cs="Arial" w:eastAsia="Arial" w:hAnsi="Arial"/>
                <w:sz w:val="18"/>
                <w:szCs w:val="18"/>
                <w:color w:val="auto"/>
                <w:w w:val="97"/>
              </w:rPr>
              <w:t>Reclassification adjustments for losses (gains) included in net income attributable to Comcast</w:t>
            </w:r>
          </w:p>
        </w:tc>
        <w:tc>
          <w:tcPr>
            <w:tcW w:w="7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2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3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Corporation, net of deferred taxes of $(2), $(2), $(3) and $(14)</w:t>
            </w:r>
          </w:p>
        </w:tc>
        <w:tc>
          <w:tcPr>
            <w:tcW w:w="740" w:type="dxa"/>
            <w:vAlign w:val="bottom"/>
            <w:shd w:val="clear" w:color="auto" w:fill="E5E5E5"/>
          </w:tcPr>
          <w:p>
            <w:pPr>
              <w:spacing w:after="0"/>
              <w:rPr>
                <w:sz w:val="19"/>
                <w:szCs w:val="19"/>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580" w:type="dxa"/>
            <w:vAlign w:val="bottom"/>
            <w:shd w:val="clear" w:color="auto" w:fill="E5E5E5"/>
          </w:tcPr>
          <w:p>
            <w:pPr>
              <w:spacing w:after="0"/>
              <w:rPr>
                <w:sz w:val="19"/>
                <w:szCs w:val="19"/>
                <w:color w:val="auto"/>
              </w:rPr>
            </w:pPr>
          </w:p>
        </w:tc>
        <w:tc>
          <w:tcPr>
            <w:tcW w:w="60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3</w:t>
            </w:r>
          </w:p>
        </w:tc>
        <w:tc>
          <w:tcPr>
            <w:tcW w:w="1220" w:type="dxa"/>
            <w:vAlign w:val="bottom"/>
            <w:shd w:val="clear" w:color="auto" w:fill="E5E5E5"/>
          </w:tcPr>
          <w:p>
            <w:pPr>
              <w:jc w:val="right"/>
              <w:ind w:right="418"/>
              <w:spacing w:after="0"/>
              <w:rPr>
                <w:sz w:val="20"/>
                <w:szCs w:val="20"/>
                <w:color w:val="auto"/>
              </w:rPr>
            </w:pPr>
            <w:r>
              <w:rPr>
                <w:rFonts w:ascii="Arial" w:cs="Arial" w:eastAsia="Arial" w:hAnsi="Arial"/>
                <w:sz w:val="18"/>
                <w:szCs w:val="18"/>
                <w:color w:val="auto"/>
              </w:rPr>
              <w:t>5</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5</w:t>
            </w:r>
          </w:p>
        </w:tc>
        <w:tc>
          <w:tcPr>
            <w:tcW w:w="1220" w:type="dxa"/>
            <w:vAlign w:val="bottom"/>
            <w:tcBorders>
              <w:bottom w:val="single" w:sz="8" w:color="auto"/>
            </w:tcBorders>
          </w:tcPr>
          <w:p>
            <w:pPr>
              <w:jc w:val="right"/>
              <w:ind w:right="358"/>
              <w:spacing w:after="0"/>
              <w:rPr>
                <w:sz w:val="20"/>
                <w:szCs w:val="20"/>
                <w:color w:val="auto"/>
              </w:rPr>
            </w:pPr>
            <w:r>
              <w:rPr>
                <w:rFonts w:ascii="Arial" w:cs="Arial" w:eastAsia="Arial" w:hAnsi="Arial"/>
                <w:sz w:val="18"/>
                <w:szCs w:val="18"/>
                <w:color w:val="auto"/>
              </w:rPr>
              <w:t>(4)</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w:t>
            </w:r>
          </w:p>
        </w:tc>
        <w:tc>
          <w:tcPr>
            <w:tcW w:w="740" w:type="dxa"/>
            <w:vAlign w:val="bottom"/>
            <w:shd w:val="clear" w:color="auto" w:fill="E5E5E5"/>
          </w:tcPr>
          <w:p>
            <w:pPr>
              <w:spacing w:after="0"/>
              <w:rPr>
                <w:sz w:val="18"/>
                <w:szCs w:val="18"/>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847</w:t>
            </w: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969</w:t>
            </w:r>
          </w:p>
        </w:tc>
        <w:tc>
          <w:tcPr>
            <w:tcW w:w="1220" w:type="dxa"/>
            <w:vAlign w:val="bottom"/>
            <w:shd w:val="clear" w:color="auto" w:fill="E5E5E5"/>
          </w:tcPr>
          <w:p>
            <w:pPr>
              <w:jc w:val="right"/>
              <w:ind w:right="418"/>
              <w:spacing w:after="0"/>
              <w:rPr>
                <w:sz w:val="20"/>
                <w:szCs w:val="20"/>
                <w:color w:val="auto"/>
              </w:rPr>
            </w:pPr>
            <w:r>
              <w:rPr>
                <w:rFonts w:ascii="Arial" w:cs="Arial" w:eastAsia="Arial" w:hAnsi="Arial"/>
                <w:sz w:val="18"/>
                <w:szCs w:val="18"/>
                <w:color w:val="auto"/>
              </w:rPr>
              <w:t>1,725</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1,767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11</w:t>
            </w:r>
          </w:p>
        </w:tc>
        <w:tc>
          <w:tcPr>
            <w:tcW w:w="1220" w:type="dxa"/>
            <w:vAlign w:val="bottom"/>
            <w:tcBorders>
              <w:bottom w:val="single" w:sz="8" w:color="auto"/>
            </w:tcBorders>
          </w:tcPr>
          <w:p>
            <w:pPr>
              <w:jc w:val="right"/>
              <w:ind w:right="358"/>
              <w:spacing w:after="0"/>
              <w:rPr>
                <w:sz w:val="20"/>
                <w:szCs w:val="20"/>
                <w:color w:val="auto"/>
              </w:rPr>
            </w:pPr>
            <w:r>
              <w:rPr>
                <w:rFonts w:ascii="Arial" w:cs="Arial" w:eastAsia="Arial" w:hAnsi="Arial"/>
                <w:sz w:val="18"/>
                <w:szCs w:val="18"/>
                <w:color w:val="auto"/>
              </w:rPr>
              <w:t>(15)</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Comprehensive income attributable to Comcast Corporation</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845</w:t>
            </w: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980</w:t>
            </w:r>
          </w:p>
        </w:tc>
        <w:tc>
          <w:tcPr>
            <w:tcW w:w="1220" w:type="dxa"/>
            <w:vAlign w:val="bottom"/>
            <w:tcBorders>
              <w:bottom w:val="single" w:sz="8" w:color="auto"/>
            </w:tcBorders>
            <w:shd w:val="clear" w:color="auto" w:fill="E5E5E5"/>
          </w:tcPr>
          <w:p>
            <w:pPr>
              <w:jc w:val="right"/>
              <w:ind w:right="418"/>
              <w:spacing w:after="0"/>
              <w:rPr>
                <w:sz w:val="20"/>
                <w:szCs w:val="20"/>
                <w:color w:val="auto"/>
              </w:rPr>
            </w:pPr>
            <w:r>
              <w:rPr>
                <w:rFonts w:ascii="Arial" w:cs="Arial" w:eastAsia="Arial" w:hAnsi="Arial"/>
                <w:sz w:val="18"/>
                <w:szCs w:val="18"/>
                <w:b w:val="1"/>
                <w:bCs w:val="1"/>
                <w:color w:val="auto"/>
              </w:rPr>
              <w:t>$1,710</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0"/>
              </w:rPr>
              <w:t>$1,772</w:t>
            </w:r>
          </w:p>
        </w:tc>
        <w:tc>
          <w:tcPr>
            <w:tcW w:w="20" w:type="dxa"/>
            <w:vAlign w:val="bottom"/>
          </w:tcPr>
          <w:p>
            <w:pPr>
              <w:spacing w:after="0"/>
              <w:rPr>
                <w:sz w:val="18"/>
                <w:szCs w:val="18"/>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prepared these unaudited condensed consolidated financial statements based on Securities and Exchange Commission (“SEC”) rules that permit reduced disclosure for interim periods. These financial statements include all adjustments that are necessary for a fair presentation of our results of operations and financial condition for the periods shown, including normal, recurring accruals and other items. We also evaluated events or transactions that occurred after the balance sheet date through the issuance date of these financial statements to determine if financial statement recognition or additional disclosure is required. The results of operations for the interim periods presented are not necessarily indicative of results for the full year.</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annual financial statements for the preceding fiscal year as filed with the SEC.</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Reclassifications have been made to the prior year’s condensed consolidated financial statements between revenue and operating expenses to conform to classifications used in 2010.</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Guidance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of Variable Interest Entities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June 2009, the Financial Accounting Standards Board (“FASB”) updated the accounting guidance related to the consolidation of variable interest entities (“VIEs”). The updated guidance (i) requires ongoing reassessments of whether an enterprise is the primary beneficiary of a VIE, (ii) changes the quantitative approach previously required for determining the primary beneficiary of a VIE and replaces it with a qualitative approach, and (iii) requires additional disclosure about an enterprise’s involvement in VIEs. We adopted the updated guidance on January 1, 2010 and it did not impact our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Earnings Per Share</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Basic earnings per common share attributable to Comcast Corporation shareholders (“basic EPS”) is computed by dividing net income attributable to Comcast Corporation by the weighted-average number of common shares outstanding during the period.</w:t>
      </w:r>
    </w:p>
    <w:p>
      <w:pPr>
        <w:spacing w:after="0" w:line="3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potentially dilutive securities include potential common shares related to our stock options and our restricted share units (“RSUs”). Diluted earnings per common share attributable to Comcast Corporation shareholders (“diluted EPS”) considers the impact of potentially dilutive securities using the treasury stock method, except in periods in which there is a loss, because the inclusion of the potential common shares would have an antidilutive effect. Diluted EPS excludes the impact of potential common shares related to our stock options in periods in which the option exercise price is greater than the average market price of our Class A common stock or our Class A Special common stock, as applicable.</w:t>
      </w:r>
    </w:p>
    <w:p>
      <w:pPr>
        <w:spacing w:after="0" w:line="2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Diluted EPS for the three and six months ended June 30, 2010 excludes approximately 195 million and 194 million, respectively, of potential common shares related to our share-based compensation plans, because the inclusion of the potential common shares would have had an antidilutive effect. For the three and six months ended June 30, 2009, diluted EPS excludes approximately 204 million and 196 million, respectively, of potential common shares.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color w:val="auto"/>
                <w:w w:val="91"/>
              </w:rPr>
              <w:t>Three Months Ended June 30</w:t>
            </w: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color w:val="auto"/>
              </w:rPr>
              <w:t>2010</w:t>
            </w:r>
          </w:p>
        </w:tc>
        <w:tc>
          <w:tcPr>
            <w:tcW w:w="8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0"/>
              <w:spacing w:after="0" w:line="142" w:lineRule="exact"/>
              <w:rPr>
                <w:sz w:val="20"/>
                <w:szCs w:val="20"/>
                <w:color w:val="auto"/>
              </w:rPr>
            </w:pPr>
            <w:r>
              <w:rPr>
                <w:rFonts w:ascii="Arial" w:cs="Arial" w:eastAsia="Arial" w:hAnsi="Arial"/>
                <w:sz w:val="14"/>
                <w:szCs w:val="14"/>
                <w:color w:val="auto"/>
              </w:rPr>
              <w:t>2009</w:t>
            </w:r>
          </w:p>
        </w:tc>
        <w:tc>
          <w:tcPr>
            <w:tcW w:w="2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1180" w:type="dxa"/>
            <w:vAlign w:val="bottom"/>
            <w:gridSpan w:val="2"/>
          </w:tcPr>
          <w:p>
            <w:pPr>
              <w:ind w:left="380"/>
              <w:spacing w:after="0" w:line="131" w:lineRule="exact"/>
              <w:rPr>
                <w:sz w:val="20"/>
                <w:szCs w:val="20"/>
                <w:color w:val="auto"/>
              </w:rPr>
            </w:pPr>
            <w:r>
              <w:rPr>
                <w:rFonts w:ascii="Arial" w:cs="Arial" w:eastAsia="Arial" w:hAnsi="Arial"/>
                <w:sz w:val="14"/>
                <w:szCs w:val="14"/>
                <w:color w:val="auto"/>
              </w:rPr>
              <w:t>Net Income</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gridSpan w:val="2"/>
          </w:tcPr>
          <w:p>
            <w:pPr>
              <w:ind w:left="200"/>
              <w:spacing w:after="0" w:line="131" w:lineRule="exact"/>
              <w:rPr>
                <w:sz w:val="20"/>
                <w:szCs w:val="20"/>
                <w:color w:val="auto"/>
              </w:rPr>
            </w:pPr>
            <w:r>
              <w:rPr>
                <w:rFonts w:ascii="Arial" w:cs="Arial" w:eastAsia="Arial" w:hAnsi="Arial"/>
                <w:sz w:val="14"/>
                <w:szCs w:val="14"/>
                <w:color w:val="auto"/>
              </w:rPr>
              <w:t>Net Income</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1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Attributable</w:t>
            </w:r>
          </w:p>
        </w:tc>
        <w:tc>
          <w:tcPr>
            <w:tcW w:w="7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2"/>
              </w:rPr>
              <w:t>Per</w:t>
            </w:r>
          </w:p>
        </w:tc>
        <w:tc>
          <w:tcPr>
            <w:tcW w:w="10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Attributable</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2"/>
              </w:rPr>
              <w:t>Per</w:t>
            </w: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1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to Comcast</w:t>
            </w:r>
          </w:p>
        </w:tc>
        <w:tc>
          <w:tcPr>
            <w:tcW w:w="720" w:type="dxa"/>
            <w:vAlign w:val="bottom"/>
          </w:tcPr>
          <w:p>
            <w:pPr>
              <w:spacing w:after="0"/>
              <w:rPr>
                <w:sz w:val="12"/>
                <w:szCs w:val="12"/>
                <w:color w:val="auto"/>
              </w:rPr>
            </w:pPr>
          </w:p>
        </w:tc>
        <w:tc>
          <w:tcPr>
            <w:tcW w:w="880" w:type="dxa"/>
            <w:vAlign w:val="bottom"/>
          </w:tcPr>
          <w:p>
            <w:pPr>
              <w:jc w:val="center"/>
              <w:ind w:left="6"/>
              <w:spacing w:after="0" w:line="149" w:lineRule="exact"/>
              <w:rPr>
                <w:sz w:val="20"/>
                <w:szCs w:val="20"/>
                <w:color w:val="auto"/>
              </w:rPr>
            </w:pPr>
            <w:r>
              <w:rPr>
                <w:rFonts w:ascii="Arial" w:cs="Arial" w:eastAsia="Arial" w:hAnsi="Arial"/>
                <w:sz w:val="14"/>
                <w:szCs w:val="14"/>
                <w:color w:val="auto"/>
                <w:w w:val="85"/>
              </w:rPr>
              <w:t>Share</w:t>
            </w:r>
          </w:p>
        </w:tc>
        <w:tc>
          <w:tcPr>
            <w:tcW w:w="10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to Comcast</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0"/>
              </w:rPr>
              <w:t>Share</w:t>
            </w:r>
          </w:p>
        </w:tc>
      </w:tr>
      <w:tr>
        <w:trPr>
          <w:trHeight w:val="159"/>
        </w:trPr>
        <w:tc>
          <w:tcPr>
            <w:tcW w:w="616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18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Corporation</w:t>
            </w:r>
          </w:p>
        </w:tc>
        <w:tc>
          <w:tcPr>
            <w:tcW w:w="720" w:type="dxa"/>
            <w:vAlign w:val="bottom"/>
          </w:tcPr>
          <w:p>
            <w:pPr>
              <w:jc w:val="right"/>
              <w:ind w:right="60"/>
              <w:spacing w:after="0" w:line="159" w:lineRule="exact"/>
              <w:rPr>
                <w:sz w:val="20"/>
                <w:szCs w:val="20"/>
                <w:color w:val="auto"/>
              </w:rPr>
            </w:pPr>
            <w:r>
              <w:rPr>
                <w:rFonts w:ascii="Arial" w:cs="Arial" w:eastAsia="Arial" w:hAnsi="Arial"/>
                <w:sz w:val="14"/>
                <w:szCs w:val="14"/>
                <w:color w:val="auto"/>
              </w:rPr>
              <w:t>Shares</w:t>
            </w:r>
          </w:p>
        </w:tc>
        <w:tc>
          <w:tcPr>
            <w:tcW w:w="880" w:type="dxa"/>
            <w:vAlign w:val="bottom"/>
          </w:tcPr>
          <w:p>
            <w:pPr>
              <w:jc w:val="center"/>
              <w:ind w:left="6"/>
              <w:spacing w:after="0" w:line="159" w:lineRule="exact"/>
              <w:rPr>
                <w:sz w:val="20"/>
                <w:szCs w:val="20"/>
                <w:color w:val="auto"/>
              </w:rPr>
            </w:pPr>
            <w:r>
              <w:rPr>
                <w:rFonts w:ascii="Arial" w:cs="Arial" w:eastAsia="Arial" w:hAnsi="Arial"/>
                <w:sz w:val="14"/>
                <w:szCs w:val="14"/>
                <w:color w:val="auto"/>
                <w:w w:val="91"/>
              </w:rPr>
              <w:t>Amount</w:t>
            </w:r>
          </w:p>
        </w:tc>
        <w:tc>
          <w:tcPr>
            <w:tcW w:w="10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Corporation</w:t>
            </w:r>
          </w:p>
        </w:tc>
        <w:tc>
          <w:tcPr>
            <w:tcW w:w="780" w:type="dxa"/>
            <w:vAlign w:val="bottom"/>
          </w:tcPr>
          <w:p>
            <w:pPr>
              <w:jc w:val="right"/>
              <w:ind w:right="140"/>
              <w:spacing w:after="0" w:line="159" w:lineRule="exact"/>
              <w:rPr>
                <w:sz w:val="20"/>
                <w:szCs w:val="20"/>
                <w:color w:val="auto"/>
              </w:rPr>
            </w:pPr>
            <w:r>
              <w:rPr>
                <w:rFonts w:ascii="Arial" w:cs="Arial" w:eastAsia="Arial" w:hAnsi="Arial"/>
                <w:sz w:val="14"/>
                <w:szCs w:val="14"/>
                <w:color w:val="auto"/>
              </w:rPr>
              <w:t>Shares</w:t>
            </w:r>
          </w:p>
        </w:tc>
        <w:tc>
          <w:tcPr>
            <w:tcW w:w="680" w:type="dxa"/>
            <w:vAlign w:val="bottom"/>
            <w:gridSpan w:val="3"/>
          </w:tcPr>
          <w:p>
            <w:pPr>
              <w:jc w:val="center"/>
              <w:ind w:left="59"/>
              <w:spacing w:after="0" w:line="159" w:lineRule="exact"/>
              <w:rPr>
                <w:sz w:val="20"/>
                <w:szCs w:val="20"/>
                <w:color w:val="auto"/>
              </w:rPr>
            </w:pPr>
            <w:r>
              <w:rPr>
                <w:rFonts w:ascii="Arial" w:cs="Arial" w:eastAsia="Arial" w:hAnsi="Arial"/>
                <w:sz w:val="14"/>
                <w:szCs w:val="14"/>
                <w:color w:val="auto"/>
                <w:w w:val="95"/>
              </w:rPr>
              <w:t>Amount</w:t>
            </w:r>
          </w:p>
        </w:tc>
      </w:tr>
      <w:tr>
        <w:trPr>
          <w:trHeight w:val="210"/>
        </w:trPr>
        <w:tc>
          <w:tcPr>
            <w:tcW w:w="20" w:type="dxa"/>
            <w:vAlign w:val="bottom"/>
          </w:tcPr>
          <w:p>
            <w:pPr>
              <w:spacing w:after="0"/>
              <w:rPr>
                <w:sz w:val="18"/>
                <w:szCs w:val="18"/>
                <w:color w:val="auto"/>
              </w:rPr>
            </w:pPr>
          </w:p>
        </w:tc>
        <w:tc>
          <w:tcPr>
            <w:tcW w:w="61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540" w:type="dxa"/>
            <w:vAlign w:val="bottom"/>
            <w:tcBorders>
              <w:top w:val="single" w:sz="8" w:color="auto"/>
            </w:tcBorders>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884</w:t>
            </w:r>
          </w:p>
        </w:tc>
        <w:tc>
          <w:tcPr>
            <w:tcW w:w="720" w:type="dxa"/>
            <w:vAlign w:val="bottom"/>
            <w:tcBorders>
              <w:top w:val="single" w:sz="8" w:color="auto"/>
            </w:tcBorders>
            <w:shd w:val="clear" w:color="auto" w:fill="E5E5E5"/>
          </w:tcPr>
          <w:p>
            <w:pPr>
              <w:jc w:val="right"/>
              <w:ind w:right="20"/>
              <w:spacing w:after="0"/>
              <w:rPr>
                <w:sz w:val="20"/>
                <w:szCs w:val="20"/>
                <w:color w:val="auto"/>
              </w:rPr>
            </w:pPr>
            <w:r>
              <w:rPr>
                <w:rFonts w:ascii="Arial" w:cs="Arial" w:eastAsia="Arial" w:hAnsi="Arial"/>
                <w:sz w:val="18"/>
                <w:szCs w:val="18"/>
                <w:color w:val="auto"/>
              </w:rPr>
              <w:t>2,816</w:t>
            </w:r>
          </w:p>
        </w:tc>
        <w:tc>
          <w:tcPr>
            <w:tcW w:w="880" w:type="dxa"/>
            <w:vAlign w:val="bottom"/>
            <w:tcBorders>
              <w:top w:val="single" w:sz="8" w:color="auto"/>
            </w:tcBorders>
            <w:shd w:val="clear" w:color="auto" w:fill="E5E5E5"/>
          </w:tcPr>
          <w:p>
            <w:pPr>
              <w:jc w:val="center"/>
              <w:ind w:left="6"/>
              <w:spacing w:after="0"/>
              <w:rPr>
                <w:sz w:val="20"/>
                <w:szCs w:val="20"/>
                <w:color w:val="auto"/>
              </w:rPr>
            </w:pPr>
            <w:r>
              <w:rPr>
                <w:rFonts w:ascii="Arial" w:cs="Arial" w:eastAsia="Arial" w:hAnsi="Arial"/>
                <w:sz w:val="18"/>
                <w:szCs w:val="18"/>
                <w:color w:val="auto"/>
                <w:w w:val="95"/>
              </w:rPr>
              <w:t>$ 0.31</w:t>
            </w:r>
          </w:p>
        </w:tc>
        <w:tc>
          <w:tcPr>
            <w:tcW w:w="360" w:type="dxa"/>
            <w:vAlign w:val="bottom"/>
            <w:tcBorders>
              <w:top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967</w:t>
            </w:r>
          </w:p>
        </w:tc>
        <w:tc>
          <w:tcPr>
            <w:tcW w:w="780" w:type="dxa"/>
            <w:vAlign w:val="bottom"/>
            <w:tcBorders>
              <w:top w:val="single" w:sz="8" w:color="auto"/>
            </w:tcBorders>
            <w:shd w:val="clear" w:color="auto" w:fill="E5E5E5"/>
          </w:tcPr>
          <w:p>
            <w:pPr>
              <w:jc w:val="right"/>
              <w:ind w:right="100"/>
              <w:spacing w:after="0"/>
              <w:rPr>
                <w:sz w:val="20"/>
                <w:szCs w:val="20"/>
                <w:color w:val="auto"/>
              </w:rPr>
            </w:pPr>
            <w:r>
              <w:rPr>
                <w:rFonts w:ascii="Arial" w:cs="Arial" w:eastAsia="Arial" w:hAnsi="Arial"/>
                <w:sz w:val="18"/>
                <w:szCs w:val="18"/>
                <w:color w:val="auto"/>
              </w:rPr>
              <w:t>2,887</w:t>
            </w:r>
          </w:p>
        </w:tc>
        <w:tc>
          <w:tcPr>
            <w:tcW w:w="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Assumed exercise or issuance of shares relating to stock plans</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0"/>
              <w:spacing w:after="0"/>
              <w:rPr>
                <w:sz w:val="20"/>
                <w:szCs w:val="20"/>
                <w:color w:val="auto"/>
              </w:rPr>
            </w:pPr>
            <w:r>
              <w:rPr>
                <w:rFonts w:ascii="Arial" w:cs="Arial" w:eastAsia="Arial" w:hAnsi="Arial"/>
                <w:sz w:val="18"/>
                <w:szCs w:val="18"/>
                <w:color w:val="auto"/>
              </w:rPr>
              <w:t>6</w:t>
            </w:r>
          </w:p>
        </w:tc>
        <w:tc>
          <w:tcPr>
            <w:tcW w:w="88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00"/>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EPS attributable to Comcast Corporation shareholders</w:t>
            </w: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884</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2,822</w:t>
            </w:r>
          </w:p>
        </w:tc>
        <w:tc>
          <w:tcPr>
            <w:tcW w:w="880" w:type="dxa"/>
            <w:vAlign w:val="bottom"/>
            <w:tcBorders>
              <w:bottom w:val="single" w:sz="8" w:color="auto"/>
            </w:tcBorders>
          </w:tcPr>
          <w:p>
            <w:pPr>
              <w:jc w:val="center"/>
              <w:ind w:left="6"/>
              <w:spacing w:after="0"/>
              <w:rPr>
                <w:sz w:val="20"/>
                <w:szCs w:val="20"/>
                <w:color w:val="auto"/>
              </w:rPr>
            </w:pPr>
            <w:r>
              <w:rPr>
                <w:rFonts w:ascii="Arial" w:cs="Arial" w:eastAsia="Arial" w:hAnsi="Arial"/>
                <w:sz w:val="18"/>
                <w:szCs w:val="18"/>
                <w:b w:val="1"/>
                <w:bCs w:val="1"/>
                <w:color w:val="auto"/>
                <w:w w:val="95"/>
              </w:rPr>
              <w:t>$ 0.31</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967</w:t>
            </w: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b w:val="1"/>
                <w:bCs w:val="1"/>
                <w:color w:val="auto"/>
              </w:rPr>
              <w:t>2,891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0.33</w:t>
            </w:r>
          </w:p>
        </w:tc>
        <w:tc>
          <w:tcPr>
            <w:tcW w:w="20" w:type="dxa"/>
            <w:vAlign w:val="bottom"/>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4"/>
                <w:szCs w:val="14"/>
                <w:color w:val="auto"/>
                <w:w w:val="95"/>
              </w:rPr>
              <w:t>Six Months Ended June 30</w:t>
            </w: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color w:val="auto"/>
              </w:rPr>
              <w:t>2010</w:t>
            </w:r>
          </w:p>
        </w:tc>
        <w:tc>
          <w:tcPr>
            <w:tcW w:w="8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0"/>
              <w:spacing w:after="0" w:line="142" w:lineRule="exact"/>
              <w:rPr>
                <w:sz w:val="20"/>
                <w:szCs w:val="20"/>
                <w:color w:val="auto"/>
              </w:rPr>
            </w:pPr>
            <w:r>
              <w:rPr>
                <w:rFonts w:ascii="Arial" w:cs="Arial" w:eastAsia="Arial" w:hAnsi="Arial"/>
                <w:sz w:val="14"/>
                <w:szCs w:val="14"/>
                <w:color w:val="auto"/>
              </w:rPr>
              <w:t>2009</w:t>
            </w:r>
          </w:p>
        </w:tc>
        <w:tc>
          <w:tcPr>
            <w:tcW w:w="2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1180" w:type="dxa"/>
            <w:vAlign w:val="bottom"/>
            <w:gridSpan w:val="2"/>
          </w:tcPr>
          <w:p>
            <w:pPr>
              <w:ind w:left="380"/>
              <w:spacing w:after="0" w:line="131" w:lineRule="exact"/>
              <w:rPr>
                <w:sz w:val="20"/>
                <w:szCs w:val="20"/>
                <w:color w:val="auto"/>
              </w:rPr>
            </w:pPr>
            <w:r>
              <w:rPr>
                <w:rFonts w:ascii="Arial" w:cs="Arial" w:eastAsia="Arial" w:hAnsi="Arial"/>
                <w:sz w:val="14"/>
                <w:szCs w:val="14"/>
                <w:color w:val="auto"/>
              </w:rPr>
              <w:t>Net Income</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gridSpan w:val="2"/>
          </w:tcPr>
          <w:p>
            <w:pPr>
              <w:ind w:left="200"/>
              <w:spacing w:after="0" w:line="131" w:lineRule="exact"/>
              <w:rPr>
                <w:sz w:val="20"/>
                <w:szCs w:val="20"/>
                <w:color w:val="auto"/>
              </w:rPr>
            </w:pPr>
            <w:r>
              <w:rPr>
                <w:rFonts w:ascii="Arial" w:cs="Arial" w:eastAsia="Arial" w:hAnsi="Arial"/>
                <w:sz w:val="14"/>
                <w:szCs w:val="14"/>
                <w:color w:val="auto"/>
              </w:rPr>
              <w:t>Net Income</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1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Attributable</w:t>
            </w:r>
          </w:p>
        </w:tc>
        <w:tc>
          <w:tcPr>
            <w:tcW w:w="7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2"/>
              </w:rPr>
              <w:t>Per</w:t>
            </w:r>
          </w:p>
        </w:tc>
        <w:tc>
          <w:tcPr>
            <w:tcW w:w="10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Attributable</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2"/>
              </w:rPr>
              <w:t>Per</w:t>
            </w: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1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to Comcast</w:t>
            </w:r>
          </w:p>
        </w:tc>
        <w:tc>
          <w:tcPr>
            <w:tcW w:w="720" w:type="dxa"/>
            <w:vAlign w:val="bottom"/>
          </w:tcPr>
          <w:p>
            <w:pPr>
              <w:spacing w:after="0"/>
              <w:rPr>
                <w:sz w:val="12"/>
                <w:szCs w:val="12"/>
                <w:color w:val="auto"/>
              </w:rPr>
            </w:pPr>
          </w:p>
        </w:tc>
        <w:tc>
          <w:tcPr>
            <w:tcW w:w="880" w:type="dxa"/>
            <w:vAlign w:val="bottom"/>
          </w:tcPr>
          <w:p>
            <w:pPr>
              <w:jc w:val="center"/>
              <w:ind w:left="6"/>
              <w:spacing w:after="0" w:line="149" w:lineRule="exact"/>
              <w:rPr>
                <w:sz w:val="20"/>
                <w:szCs w:val="20"/>
                <w:color w:val="auto"/>
              </w:rPr>
            </w:pPr>
            <w:r>
              <w:rPr>
                <w:rFonts w:ascii="Arial" w:cs="Arial" w:eastAsia="Arial" w:hAnsi="Arial"/>
                <w:sz w:val="14"/>
                <w:szCs w:val="14"/>
                <w:color w:val="auto"/>
                <w:w w:val="85"/>
              </w:rPr>
              <w:t>Share</w:t>
            </w:r>
          </w:p>
        </w:tc>
        <w:tc>
          <w:tcPr>
            <w:tcW w:w="10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to Comcast</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0"/>
              </w:rPr>
              <w:t>Share</w:t>
            </w:r>
          </w:p>
        </w:tc>
      </w:tr>
      <w:tr>
        <w:trPr>
          <w:trHeight w:val="159"/>
        </w:trPr>
        <w:tc>
          <w:tcPr>
            <w:tcW w:w="616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18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Corporation</w:t>
            </w:r>
          </w:p>
        </w:tc>
        <w:tc>
          <w:tcPr>
            <w:tcW w:w="720" w:type="dxa"/>
            <w:vAlign w:val="bottom"/>
          </w:tcPr>
          <w:p>
            <w:pPr>
              <w:jc w:val="right"/>
              <w:ind w:right="60"/>
              <w:spacing w:after="0" w:line="159" w:lineRule="exact"/>
              <w:rPr>
                <w:sz w:val="20"/>
                <w:szCs w:val="20"/>
                <w:color w:val="auto"/>
              </w:rPr>
            </w:pPr>
            <w:r>
              <w:rPr>
                <w:rFonts w:ascii="Arial" w:cs="Arial" w:eastAsia="Arial" w:hAnsi="Arial"/>
                <w:sz w:val="14"/>
                <w:szCs w:val="14"/>
                <w:color w:val="auto"/>
              </w:rPr>
              <w:t>Shares</w:t>
            </w:r>
          </w:p>
        </w:tc>
        <w:tc>
          <w:tcPr>
            <w:tcW w:w="880" w:type="dxa"/>
            <w:vAlign w:val="bottom"/>
          </w:tcPr>
          <w:p>
            <w:pPr>
              <w:jc w:val="center"/>
              <w:ind w:left="6"/>
              <w:spacing w:after="0" w:line="159" w:lineRule="exact"/>
              <w:rPr>
                <w:sz w:val="20"/>
                <w:szCs w:val="20"/>
                <w:color w:val="auto"/>
              </w:rPr>
            </w:pPr>
            <w:r>
              <w:rPr>
                <w:rFonts w:ascii="Arial" w:cs="Arial" w:eastAsia="Arial" w:hAnsi="Arial"/>
                <w:sz w:val="14"/>
                <w:szCs w:val="14"/>
                <w:color w:val="auto"/>
                <w:w w:val="91"/>
              </w:rPr>
              <w:t>Amount</w:t>
            </w:r>
          </w:p>
        </w:tc>
        <w:tc>
          <w:tcPr>
            <w:tcW w:w="10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Corporation</w:t>
            </w:r>
          </w:p>
        </w:tc>
        <w:tc>
          <w:tcPr>
            <w:tcW w:w="780" w:type="dxa"/>
            <w:vAlign w:val="bottom"/>
          </w:tcPr>
          <w:p>
            <w:pPr>
              <w:jc w:val="right"/>
              <w:ind w:right="140"/>
              <w:spacing w:after="0" w:line="159" w:lineRule="exact"/>
              <w:rPr>
                <w:sz w:val="20"/>
                <w:szCs w:val="20"/>
                <w:color w:val="auto"/>
              </w:rPr>
            </w:pPr>
            <w:r>
              <w:rPr>
                <w:rFonts w:ascii="Arial" w:cs="Arial" w:eastAsia="Arial" w:hAnsi="Arial"/>
                <w:sz w:val="14"/>
                <w:szCs w:val="14"/>
                <w:color w:val="auto"/>
              </w:rPr>
              <w:t>Shares</w:t>
            </w:r>
          </w:p>
        </w:tc>
        <w:tc>
          <w:tcPr>
            <w:tcW w:w="680" w:type="dxa"/>
            <w:vAlign w:val="bottom"/>
            <w:gridSpan w:val="3"/>
          </w:tcPr>
          <w:p>
            <w:pPr>
              <w:jc w:val="center"/>
              <w:ind w:left="59"/>
              <w:spacing w:after="0" w:line="159" w:lineRule="exact"/>
              <w:rPr>
                <w:sz w:val="20"/>
                <w:szCs w:val="20"/>
                <w:color w:val="auto"/>
              </w:rPr>
            </w:pPr>
            <w:r>
              <w:rPr>
                <w:rFonts w:ascii="Arial" w:cs="Arial" w:eastAsia="Arial" w:hAnsi="Arial"/>
                <w:sz w:val="14"/>
                <w:szCs w:val="14"/>
                <w:color w:val="auto"/>
                <w:w w:val="95"/>
              </w:rPr>
              <w:t>Amount</w:t>
            </w:r>
          </w:p>
        </w:tc>
      </w:tr>
      <w:tr>
        <w:trPr>
          <w:trHeight w:val="210"/>
        </w:trPr>
        <w:tc>
          <w:tcPr>
            <w:tcW w:w="20" w:type="dxa"/>
            <w:vAlign w:val="bottom"/>
          </w:tcPr>
          <w:p>
            <w:pPr>
              <w:spacing w:after="0"/>
              <w:rPr>
                <w:sz w:val="18"/>
                <w:szCs w:val="18"/>
                <w:color w:val="auto"/>
              </w:rPr>
            </w:pPr>
          </w:p>
        </w:tc>
        <w:tc>
          <w:tcPr>
            <w:tcW w:w="61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540" w:type="dxa"/>
            <w:vAlign w:val="bottom"/>
            <w:tcBorders>
              <w:top w:val="single" w:sz="8" w:color="auto"/>
            </w:tcBorders>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1,750</w:t>
            </w:r>
          </w:p>
        </w:tc>
        <w:tc>
          <w:tcPr>
            <w:tcW w:w="720" w:type="dxa"/>
            <w:vAlign w:val="bottom"/>
            <w:tcBorders>
              <w:top w:val="single" w:sz="8" w:color="auto"/>
            </w:tcBorders>
            <w:shd w:val="clear" w:color="auto" w:fill="E5E5E5"/>
          </w:tcPr>
          <w:p>
            <w:pPr>
              <w:jc w:val="right"/>
              <w:ind w:right="20"/>
              <w:spacing w:after="0"/>
              <w:rPr>
                <w:sz w:val="20"/>
                <w:szCs w:val="20"/>
                <w:color w:val="auto"/>
              </w:rPr>
            </w:pPr>
            <w:r>
              <w:rPr>
                <w:rFonts w:ascii="Arial" w:cs="Arial" w:eastAsia="Arial" w:hAnsi="Arial"/>
                <w:sz w:val="18"/>
                <w:szCs w:val="18"/>
                <w:color w:val="auto"/>
              </w:rPr>
              <w:t>2,823</w:t>
            </w:r>
          </w:p>
        </w:tc>
        <w:tc>
          <w:tcPr>
            <w:tcW w:w="880" w:type="dxa"/>
            <w:vAlign w:val="bottom"/>
            <w:tcBorders>
              <w:top w:val="single" w:sz="8" w:color="auto"/>
            </w:tcBorders>
            <w:shd w:val="clear" w:color="auto" w:fill="E5E5E5"/>
          </w:tcPr>
          <w:p>
            <w:pPr>
              <w:jc w:val="center"/>
              <w:ind w:left="6"/>
              <w:spacing w:after="0"/>
              <w:rPr>
                <w:sz w:val="20"/>
                <w:szCs w:val="20"/>
                <w:color w:val="auto"/>
              </w:rPr>
            </w:pPr>
            <w:r>
              <w:rPr>
                <w:rFonts w:ascii="Arial" w:cs="Arial" w:eastAsia="Arial" w:hAnsi="Arial"/>
                <w:sz w:val="18"/>
                <w:szCs w:val="18"/>
                <w:color w:val="auto"/>
                <w:w w:val="95"/>
              </w:rPr>
              <w:t>$ 0.62</w:t>
            </w:r>
          </w:p>
        </w:tc>
        <w:tc>
          <w:tcPr>
            <w:tcW w:w="360" w:type="dxa"/>
            <w:vAlign w:val="bottom"/>
            <w:tcBorders>
              <w:top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1,739</w:t>
            </w:r>
          </w:p>
        </w:tc>
        <w:tc>
          <w:tcPr>
            <w:tcW w:w="780" w:type="dxa"/>
            <w:vAlign w:val="bottom"/>
            <w:tcBorders>
              <w:top w:val="single" w:sz="8" w:color="auto"/>
            </w:tcBorders>
            <w:shd w:val="clear" w:color="auto" w:fill="E5E5E5"/>
          </w:tcPr>
          <w:p>
            <w:pPr>
              <w:jc w:val="right"/>
              <w:ind w:right="100"/>
              <w:spacing w:after="0"/>
              <w:rPr>
                <w:sz w:val="20"/>
                <w:szCs w:val="20"/>
                <w:color w:val="auto"/>
              </w:rPr>
            </w:pPr>
            <w:r>
              <w:rPr>
                <w:rFonts w:ascii="Arial" w:cs="Arial" w:eastAsia="Arial" w:hAnsi="Arial"/>
                <w:sz w:val="18"/>
                <w:szCs w:val="18"/>
                <w:color w:val="auto"/>
              </w:rPr>
              <w:t>2,886</w:t>
            </w:r>
          </w:p>
        </w:tc>
        <w:tc>
          <w:tcPr>
            <w:tcW w:w="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0.60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Assumed exercise or issuance of shares relating to stock plans</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0"/>
              <w:spacing w:after="0"/>
              <w:rPr>
                <w:sz w:val="20"/>
                <w:szCs w:val="20"/>
                <w:color w:val="auto"/>
              </w:rPr>
            </w:pPr>
            <w:r>
              <w:rPr>
                <w:rFonts w:ascii="Arial" w:cs="Arial" w:eastAsia="Arial" w:hAnsi="Arial"/>
                <w:sz w:val="18"/>
                <w:szCs w:val="18"/>
                <w:color w:val="auto"/>
              </w:rPr>
              <w:t>7</w:t>
            </w:r>
          </w:p>
        </w:tc>
        <w:tc>
          <w:tcPr>
            <w:tcW w:w="88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00"/>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EPS attributable to Comcast Corporation shareholders</w:t>
            </w: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1,750</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2,830</w:t>
            </w:r>
          </w:p>
        </w:tc>
        <w:tc>
          <w:tcPr>
            <w:tcW w:w="880" w:type="dxa"/>
            <w:vAlign w:val="bottom"/>
            <w:tcBorders>
              <w:bottom w:val="single" w:sz="8" w:color="auto"/>
            </w:tcBorders>
          </w:tcPr>
          <w:p>
            <w:pPr>
              <w:jc w:val="center"/>
              <w:ind w:left="6"/>
              <w:spacing w:after="0"/>
              <w:rPr>
                <w:sz w:val="20"/>
                <w:szCs w:val="20"/>
                <w:color w:val="auto"/>
              </w:rPr>
            </w:pPr>
            <w:r>
              <w:rPr>
                <w:rFonts w:ascii="Arial" w:cs="Arial" w:eastAsia="Arial" w:hAnsi="Arial"/>
                <w:sz w:val="18"/>
                <w:szCs w:val="18"/>
                <w:b w:val="1"/>
                <w:bCs w:val="1"/>
                <w:color w:val="auto"/>
                <w:w w:val="95"/>
              </w:rPr>
              <w:t>$ 0.62</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1,739</w:t>
            </w: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b w:val="1"/>
                <w:bCs w:val="1"/>
                <w:color w:val="auto"/>
              </w:rPr>
              <w:t>2,893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0.60</w:t>
            </w:r>
          </w:p>
        </w:tc>
        <w:tc>
          <w:tcPr>
            <w:tcW w:w="20" w:type="dxa"/>
            <w:vAlign w:val="bottom"/>
            <w:tcBorders>
              <w:bottom w:val="single" w:sz="8" w:color="auto"/>
            </w:tcBorders>
          </w:tcPr>
          <w:p>
            <w:pPr>
              <w:spacing w:after="0"/>
              <w:rPr>
                <w:sz w:val="18"/>
                <w:szCs w:val="18"/>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Acquisitions and Other Significant Events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NBC Universal Transaction</w:t>
      </w:r>
    </w:p>
    <w:p>
      <w:pPr>
        <w:spacing w:after="0" w:line="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entered into agreements with General Electric Company (“GE”) in December 2009 to form a new company of which we will own 51% and control, with the remaining 49% to be owned by GE. Under the terms of the transaction, GE will contribute NBC Universal’s businesses, including its cable and broadcast networks, filmed entertainment, televised entertainment, theme parks and unconsolidated investments, as well as other GE assets used primarily in NBC Universal’s business. NBC Universal borrowed $4 billion in April 2010 from third party lenders and plans to borrow an additional $5.1 billion from third party lenders prior to closing. We will contribute our national programming networks, our regional sports networks and certain of our Internet businesses, as well as other assets used primarily in those businesses, collectively valued at approximately $7.25 billion. We will also make a cash payment to GE of $7.1 billion less certain adjustments primarily based on the free cash flow generated by NBC Universal between December 4, 2009 and the closing. The transaction is subject to various regulatory approvals and is expected to close by the end of 2010.</w:t>
      </w:r>
    </w:p>
    <w:p>
      <w:pPr>
        <w:spacing w:after="0" w:line="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 will be entitled to cause the new company to redeem half of GE’s interest 3.5 years after the closing and its remaining interest 7 years after the closing. If GE exercises its first redemption right, we have the right to purchase the remainder of GE’s interest. If GE does not exercise its first redemption right, we have the right to purchase half of GE’s interest 5 years after the closing. We also will have the right to purchase GE’s remaining interest, if any, 8 years after the closing. The redemption and purchase price will equal the ownership percentage being acquired multiplied by 120% of the fully distributed public market trading value of the new company, less half of the excess of 120% of that value over $28.15 billion. Subject to various limitations, we are committed to fund up to $2.875 billion in cash or common stock for each of the two redemptions (for an aggregate of up to $5.75 billion), with amounts not used in the first redemption to be available for the second redemption.</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results of operations for the new company will be consolidated with our results of operations, as we will control the new company. When the transaction is completed, the NBC Universal businesses will be recorded at their fair value and the businesses we contribute will be recorded at their historical or carry-over basis. GE’s interest will be recorded as a redeemable noncontrolling interest in our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six months ended June 30, 2010, we acquired CIMCO Communications, Inc. (“CIMCO”), a phone and high-speed Internet service provider for businesses, Paciolan, Inc. (“Paciolan”), a developer of automated ticketing software, New Global Telecom, Inc. (“NGT”), a phone service provider for small to medium-sized businesses, and made other smaller acquisitions. The aggregate purchase price of all of these acquisitions was approximately $195 million. The results of operations for CIMCO and NGT are reported in our Cable segment. The results of operations for Paciolan are reported in Corporate and Other. The results of operations for these acquisitions have been included in our consolidated results of operations since their respective acquisition dates and were not material to our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Investments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3400" w:type="dxa"/>
            <w:vAlign w:val="bottom"/>
          </w:tcPr>
          <w:p>
            <w:pPr>
              <w:jc w:val="right"/>
              <w:ind w:right="217"/>
              <w:spacing w:after="0"/>
              <w:rPr>
                <w:sz w:val="20"/>
                <w:szCs w:val="20"/>
                <w:color w:val="auto"/>
              </w:rPr>
            </w:pPr>
            <w:r>
              <w:rPr>
                <w:rFonts w:ascii="Arial" w:cs="Arial" w:eastAsia="Arial" w:hAnsi="Arial"/>
                <w:sz w:val="14"/>
                <w:szCs w:val="14"/>
                <w:color w:val="auto"/>
              </w:rPr>
              <w:t>June 30,</w:t>
            </w:r>
          </w:p>
        </w:tc>
        <w:tc>
          <w:tcPr>
            <w:tcW w:w="1060" w:type="dxa"/>
            <w:vAlign w:val="bottom"/>
            <w:gridSpan w:val="3"/>
          </w:tcPr>
          <w:p>
            <w:pPr>
              <w:ind w:left="280"/>
              <w:spacing w:after="0"/>
              <w:rPr>
                <w:sz w:val="20"/>
                <w:szCs w:val="20"/>
                <w:color w:val="auto"/>
              </w:rPr>
            </w:pPr>
            <w:r>
              <w:rPr>
                <w:rFonts w:ascii="Arial" w:cs="Arial" w:eastAsia="Arial" w:hAnsi="Arial"/>
                <w:sz w:val="14"/>
                <w:szCs w:val="14"/>
                <w:color w:val="auto"/>
                <w:w w:val="86"/>
              </w:rPr>
              <w:t>December 31,</w:t>
            </w:r>
          </w:p>
        </w:tc>
      </w:tr>
      <w:tr>
        <w:trPr>
          <w:trHeight w:val="159"/>
        </w:trPr>
        <w:tc>
          <w:tcPr>
            <w:tcW w:w="69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400" w:type="dxa"/>
            <w:vAlign w:val="bottom"/>
          </w:tcPr>
          <w:p>
            <w:pPr>
              <w:jc w:val="right"/>
              <w:ind w:right="317"/>
              <w:spacing w:after="0" w:line="159" w:lineRule="exact"/>
              <w:rPr>
                <w:sz w:val="20"/>
                <w:szCs w:val="20"/>
                <w:color w:val="auto"/>
              </w:rPr>
            </w:pPr>
            <w:r>
              <w:rPr>
                <w:rFonts w:ascii="Arial" w:cs="Arial" w:eastAsia="Arial" w:hAnsi="Arial"/>
                <w:sz w:val="14"/>
                <w:szCs w:val="14"/>
                <w:color w:val="auto"/>
              </w:rPr>
              <w:t>2010</w:t>
            </w:r>
          </w:p>
        </w:tc>
        <w:tc>
          <w:tcPr>
            <w:tcW w:w="440" w:type="dxa"/>
            <w:vAlign w:val="bottom"/>
          </w:tcPr>
          <w:p>
            <w:pPr>
              <w:spacing w:after="0"/>
              <w:rPr>
                <w:sz w:val="13"/>
                <w:szCs w:val="13"/>
                <w:color w:val="auto"/>
              </w:rPr>
            </w:pPr>
          </w:p>
        </w:tc>
        <w:tc>
          <w:tcPr>
            <w:tcW w:w="600" w:type="dxa"/>
            <w:vAlign w:val="bottom"/>
          </w:tcPr>
          <w:p>
            <w:pPr>
              <w:jc w:val="right"/>
              <w:ind w:right="155"/>
              <w:spacing w:after="0" w:line="159" w:lineRule="exact"/>
              <w:rPr>
                <w:sz w:val="20"/>
                <w:szCs w:val="20"/>
                <w:color w:val="auto"/>
              </w:rPr>
            </w:pPr>
            <w:r>
              <w:rPr>
                <w:rFonts w:ascii="Arial" w:cs="Arial" w:eastAsia="Arial" w:hAnsi="Arial"/>
                <w:sz w:val="14"/>
                <w:szCs w:val="14"/>
                <w:color w:val="auto"/>
              </w:rPr>
              <w:t>2009</w:t>
            </w:r>
          </w:p>
        </w:tc>
        <w:tc>
          <w:tcPr>
            <w:tcW w:w="20" w:type="dxa"/>
            <w:vAlign w:val="bottom"/>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3400" w:type="dxa"/>
            <w:vAlign w:val="bottom"/>
            <w:tcBorders>
              <w:top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$2,168</w:t>
            </w:r>
          </w:p>
        </w:tc>
        <w:tc>
          <w:tcPr>
            <w:tcW w:w="44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1,933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Equity method, primarily SpectrumCo and Clearwire</w:t>
            </w:r>
          </w:p>
        </w:tc>
        <w:tc>
          <w:tcPr>
            <w:tcW w:w="3400" w:type="dxa"/>
            <w:vAlign w:val="bottom"/>
          </w:tcPr>
          <w:p>
            <w:pPr>
              <w:jc w:val="right"/>
              <w:ind w:right="197"/>
              <w:spacing w:after="0"/>
              <w:rPr>
                <w:sz w:val="20"/>
                <w:szCs w:val="20"/>
                <w:color w:val="auto"/>
              </w:rPr>
            </w:pPr>
            <w:r>
              <w:rPr>
                <w:rFonts w:ascii="Arial" w:cs="Arial" w:eastAsia="Arial" w:hAnsi="Arial"/>
                <w:sz w:val="18"/>
                <w:szCs w:val="18"/>
                <w:color w:val="auto"/>
              </w:rPr>
              <w:t>2,265</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Cost method, primarily AirTouch redeemable preferred shares</w:t>
            </w:r>
          </w:p>
        </w:tc>
        <w:tc>
          <w:tcPr>
            <w:tcW w:w="340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1,718</w:t>
            </w:r>
          </w:p>
        </w:tc>
        <w:tc>
          <w:tcPr>
            <w:tcW w:w="4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1,723</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Total investments</w:t>
            </w:r>
          </w:p>
        </w:tc>
        <w:tc>
          <w:tcPr>
            <w:tcW w:w="3400" w:type="dxa"/>
            <w:vAlign w:val="bottom"/>
          </w:tcPr>
          <w:p>
            <w:pPr>
              <w:jc w:val="right"/>
              <w:ind w:right="197"/>
              <w:spacing w:after="0"/>
              <w:rPr>
                <w:sz w:val="20"/>
                <w:szCs w:val="20"/>
                <w:color w:val="auto"/>
              </w:rPr>
            </w:pPr>
            <w:r>
              <w:rPr>
                <w:rFonts w:ascii="Arial" w:cs="Arial" w:eastAsia="Arial" w:hAnsi="Arial"/>
                <w:sz w:val="18"/>
                <w:szCs w:val="18"/>
                <w:color w:val="auto"/>
              </w:rPr>
              <w:t>6,151</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5,997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Current investments</w:t>
            </w:r>
          </w:p>
        </w:tc>
        <w:tc>
          <w:tcPr>
            <w:tcW w:w="340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53</w:t>
            </w:r>
          </w:p>
        </w:tc>
        <w:tc>
          <w:tcPr>
            <w:tcW w:w="4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Noncurrent investments</w:t>
            </w:r>
          </w:p>
        </w:tc>
        <w:tc>
          <w:tcPr>
            <w:tcW w:w="34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$6,098</w:t>
            </w:r>
          </w:p>
        </w:tc>
        <w:tc>
          <w:tcPr>
            <w:tcW w:w="4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5,947</w:t>
            </w:r>
          </w:p>
        </w:tc>
        <w:tc>
          <w:tcPr>
            <w:tcW w:w="20" w:type="dxa"/>
            <w:vAlign w:val="bottom"/>
            <w:tcBorders>
              <w:bottom w:val="single" w:sz="8" w:color="auto"/>
            </w:tcBorders>
          </w:tcPr>
          <w:p>
            <w:pPr>
              <w:spacing w:after="0"/>
              <w:rPr>
                <w:sz w:val="18"/>
                <w:szCs w:val="18"/>
                <w:color w:val="auto"/>
              </w:rPr>
            </w:pPr>
          </w:p>
        </w:tc>
      </w:tr>
    </w:tbl>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2010 and December 31, 2009, the estimated fair value of the AirTouch redeemable preferred stock was $1.590 billion and $1.524 billion, respectively, which exceeded our carrying basis as of each date.</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Components of Investment Income (Loss), Net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0" w:type="dxa"/>
            <w:vAlign w:val="bottom"/>
            <w:gridSpan w:val="3"/>
          </w:tcPr>
          <w:p>
            <w:pPr>
              <w:jc w:val="right"/>
              <w:ind w:right="574"/>
              <w:spacing w:after="0"/>
              <w:rPr>
                <w:sz w:val="20"/>
                <w:szCs w:val="20"/>
                <w:color w:val="auto"/>
              </w:rPr>
            </w:pPr>
            <w:r>
              <w:rPr>
                <w:rFonts w:ascii="Arial" w:cs="Arial" w:eastAsia="Arial" w:hAnsi="Arial"/>
                <w:sz w:val="14"/>
                <w:szCs w:val="14"/>
                <w:color w:val="auto"/>
              </w:rPr>
              <w:t>Three Months Ended</w:t>
            </w:r>
          </w:p>
        </w:tc>
        <w:tc>
          <w:tcPr>
            <w:tcW w:w="420" w:type="dxa"/>
            <w:vAlign w:val="bottom"/>
          </w:tcPr>
          <w:p>
            <w:pPr>
              <w:spacing w:after="0"/>
              <w:rPr>
                <w:sz w:val="13"/>
                <w:szCs w:val="13"/>
                <w:color w:val="auto"/>
              </w:rPr>
            </w:pPr>
          </w:p>
        </w:tc>
        <w:tc>
          <w:tcPr>
            <w:tcW w:w="1760" w:type="dxa"/>
            <w:vAlign w:val="bottom"/>
            <w:gridSpan w:val="3"/>
          </w:tcPr>
          <w:p>
            <w:pPr>
              <w:jc w:val="right"/>
              <w:ind w:right="394"/>
              <w:spacing w:after="0"/>
              <w:rPr>
                <w:sz w:val="20"/>
                <w:szCs w:val="20"/>
                <w:color w:val="auto"/>
              </w:rPr>
            </w:pPr>
            <w:r>
              <w:rPr>
                <w:rFonts w:ascii="Arial" w:cs="Arial" w:eastAsia="Arial" w:hAnsi="Arial"/>
                <w:sz w:val="14"/>
                <w:szCs w:val="14"/>
                <w:color w:val="auto"/>
              </w:rPr>
              <w:t>Six Months Ended</w:t>
            </w:r>
          </w:p>
        </w:tc>
      </w:tr>
      <w:tr>
        <w:trPr>
          <w:trHeight w:val="172"/>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w w:val="88"/>
              </w:rPr>
              <w:t>June 30</w:t>
            </w: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w w:val="84"/>
              </w:rPr>
              <w:t>June 30</w:t>
            </w:r>
          </w:p>
        </w:tc>
        <w:tc>
          <w:tcPr>
            <w:tcW w:w="540" w:type="dxa"/>
            <w:vAlign w:val="bottom"/>
            <w:tcBorders>
              <w:bottom w:val="single" w:sz="8" w:color="auto"/>
            </w:tcBorders>
          </w:tcPr>
          <w:p>
            <w:pPr>
              <w:spacing w:after="0"/>
              <w:rPr>
                <w:sz w:val="14"/>
                <w:szCs w:val="14"/>
                <w:color w:val="auto"/>
              </w:rPr>
            </w:pPr>
          </w:p>
        </w:tc>
      </w:tr>
      <w:tr>
        <w:trPr>
          <w:trHeight w:val="143"/>
        </w:trPr>
        <w:tc>
          <w:tcPr>
            <w:tcW w:w="6560" w:type="dxa"/>
            <w:vAlign w:val="bottom"/>
            <w:gridSpan w:val="2"/>
          </w:tcPr>
          <w:p>
            <w:pPr>
              <w:spacing w:after="0" w:line="143" w:lineRule="exact"/>
              <w:rPr>
                <w:sz w:val="20"/>
                <w:szCs w:val="20"/>
                <w:color w:val="auto"/>
              </w:rPr>
            </w:pPr>
            <w:r>
              <w:rPr>
                <w:rFonts w:ascii="Arial" w:cs="Arial" w:eastAsia="Arial" w:hAnsi="Arial"/>
                <w:sz w:val="14"/>
                <w:szCs w:val="14"/>
                <w:color w:val="auto"/>
              </w:rPr>
              <w:t>(in millions)</w:t>
            </w:r>
          </w:p>
        </w:tc>
        <w:tc>
          <w:tcPr>
            <w:tcW w:w="680" w:type="dxa"/>
            <w:vAlign w:val="bottom"/>
          </w:tcPr>
          <w:p>
            <w:pPr>
              <w:spacing w:after="0"/>
              <w:rPr>
                <w:sz w:val="12"/>
                <w:szCs w:val="12"/>
                <w:color w:val="auto"/>
              </w:rPr>
            </w:pPr>
          </w:p>
        </w:tc>
        <w:tc>
          <w:tcPr>
            <w:tcW w:w="520" w:type="dxa"/>
            <w:vAlign w:val="bottom"/>
          </w:tcPr>
          <w:p>
            <w:pPr>
              <w:jc w:val="right"/>
              <w:ind w:right="136"/>
              <w:spacing w:after="0" w:line="143" w:lineRule="exact"/>
              <w:rPr>
                <w:sz w:val="20"/>
                <w:szCs w:val="20"/>
                <w:color w:val="auto"/>
              </w:rPr>
            </w:pPr>
            <w:r>
              <w:rPr>
                <w:rFonts w:ascii="Arial" w:cs="Arial" w:eastAsia="Arial" w:hAnsi="Arial"/>
                <w:sz w:val="14"/>
                <w:szCs w:val="14"/>
                <w:color w:val="auto"/>
                <w:w w:val="89"/>
              </w:rPr>
              <w:t>2010</w:t>
            </w:r>
          </w:p>
        </w:tc>
        <w:tc>
          <w:tcPr>
            <w:tcW w:w="700" w:type="dxa"/>
            <w:vAlign w:val="bottom"/>
          </w:tcPr>
          <w:p>
            <w:pPr>
              <w:spacing w:after="0"/>
              <w:rPr>
                <w:sz w:val="12"/>
                <w:szCs w:val="12"/>
                <w:color w:val="auto"/>
              </w:rPr>
            </w:pPr>
          </w:p>
        </w:tc>
        <w:tc>
          <w:tcPr>
            <w:tcW w:w="780" w:type="dxa"/>
            <w:vAlign w:val="bottom"/>
          </w:tcPr>
          <w:p>
            <w:pPr>
              <w:jc w:val="right"/>
              <w:ind w:right="414"/>
              <w:spacing w:after="0" w:line="143" w:lineRule="exact"/>
              <w:rPr>
                <w:sz w:val="20"/>
                <w:szCs w:val="20"/>
                <w:color w:val="auto"/>
              </w:rPr>
            </w:pPr>
            <w:r>
              <w:rPr>
                <w:rFonts w:ascii="Arial" w:cs="Arial" w:eastAsia="Arial" w:hAnsi="Arial"/>
                <w:sz w:val="14"/>
                <w:szCs w:val="14"/>
                <w:color w:val="auto"/>
                <w:w w:val="83"/>
              </w:rPr>
              <w:t>2009</w:t>
            </w:r>
          </w:p>
        </w:tc>
        <w:tc>
          <w:tcPr>
            <w:tcW w:w="420" w:type="dxa"/>
            <w:vAlign w:val="bottom"/>
          </w:tcPr>
          <w:p>
            <w:pPr>
              <w:spacing w:after="0"/>
              <w:rPr>
                <w:sz w:val="12"/>
                <w:szCs w:val="12"/>
                <w:color w:val="auto"/>
              </w:rPr>
            </w:pPr>
          </w:p>
        </w:tc>
        <w:tc>
          <w:tcPr>
            <w:tcW w:w="540" w:type="dxa"/>
            <w:vAlign w:val="bottom"/>
          </w:tcPr>
          <w:p>
            <w:pPr>
              <w:jc w:val="right"/>
              <w:ind w:right="156"/>
              <w:spacing w:after="0" w:line="143" w:lineRule="exact"/>
              <w:rPr>
                <w:sz w:val="20"/>
                <w:szCs w:val="20"/>
                <w:color w:val="auto"/>
              </w:rPr>
            </w:pPr>
            <w:r>
              <w:rPr>
                <w:rFonts w:ascii="Arial" w:cs="Arial" w:eastAsia="Arial" w:hAnsi="Arial"/>
                <w:sz w:val="14"/>
                <w:szCs w:val="14"/>
                <w:color w:val="auto"/>
                <w:w w:val="89"/>
              </w:rPr>
              <w:t>2010</w:t>
            </w:r>
          </w:p>
        </w:tc>
        <w:tc>
          <w:tcPr>
            <w:tcW w:w="680" w:type="dxa"/>
            <w:vAlign w:val="bottom"/>
          </w:tcPr>
          <w:p>
            <w:pPr>
              <w:spacing w:after="0"/>
              <w:rPr>
                <w:sz w:val="12"/>
                <w:szCs w:val="12"/>
                <w:color w:val="auto"/>
              </w:rPr>
            </w:pPr>
          </w:p>
        </w:tc>
        <w:tc>
          <w:tcPr>
            <w:tcW w:w="540" w:type="dxa"/>
            <w:vAlign w:val="bottom"/>
          </w:tcPr>
          <w:p>
            <w:pPr>
              <w:jc w:val="right"/>
              <w:ind w:right="154"/>
              <w:spacing w:after="0" w:line="143" w:lineRule="exact"/>
              <w:rPr>
                <w:sz w:val="20"/>
                <w:szCs w:val="20"/>
                <w:color w:val="auto"/>
              </w:rPr>
            </w:pPr>
            <w:r>
              <w:rPr>
                <w:rFonts w:ascii="Arial" w:cs="Arial" w:eastAsia="Arial" w:hAnsi="Arial"/>
                <w:sz w:val="14"/>
                <w:szCs w:val="14"/>
                <w:color w:val="auto"/>
                <w:w w:val="89"/>
              </w:rPr>
              <w:t>2009</w:t>
            </w:r>
          </w:p>
        </w:tc>
      </w:tr>
      <w:tr>
        <w:trPr>
          <w:trHeight w:val="210"/>
        </w:trPr>
        <w:tc>
          <w:tcPr>
            <w:tcW w:w="20" w:type="dxa"/>
            <w:vAlign w:val="bottom"/>
          </w:tcPr>
          <w:p>
            <w:pPr>
              <w:spacing w:after="0"/>
              <w:rPr>
                <w:sz w:val="18"/>
                <w:szCs w:val="18"/>
                <w:color w:val="auto"/>
              </w:rPr>
            </w:pPr>
          </w:p>
        </w:tc>
        <w:tc>
          <w:tcPr>
            <w:tcW w:w="65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Gains on sales and exchanges of investments, net</w:t>
            </w:r>
          </w:p>
        </w:tc>
        <w:tc>
          <w:tcPr>
            <w:tcW w:w="6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9</w:t>
            </w:r>
          </w:p>
        </w:tc>
        <w:tc>
          <w:tcPr>
            <w:tcW w:w="7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274"/>
              <w:spacing w:after="0"/>
              <w:rPr>
                <w:sz w:val="20"/>
                <w:szCs w:val="20"/>
                <w:color w:val="auto"/>
              </w:rPr>
            </w:pPr>
            <w:r>
              <w:rPr>
                <w:rFonts w:ascii="Arial" w:cs="Arial" w:eastAsia="Arial" w:hAnsi="Arial"/>
                <w:sz w:val="18"/>
                <w:szCs w:val="18"/>
                <w:color w:val="auto"/>
              </w:rPr>
              <w:t>1</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11</w:t>
            </w:r>
          </w:p>
        </w:tc>
        <w:tc>
          <w:tcPr>
            <w:tcW w:w="6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Investment impairment losses</w:t>
            </w:r>
          </w:p>
        </w:tc>
        <w:tc>
          <w:tcPr>
            <w:tcW w:w="6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6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6540" w:type="dxa"/>
            <w:vAlign w:val="bottom"/>
            <w:shd w:val="clear" w:color="auto" w:fill="E5E5E5"/>
          </w:tcPr>
          <w:p>
            <w:pPr>
              <w:spacing w:after="0"/>
              <w:rPr>
                <w:sz w:val="20"/>
                <w:szCs w:val="20"/>
                <w:color w:val="auto"/>
              </w:rPr>
            </w:pPr>
            <w:r>
              <w:rPr>
                <w:rFonts w:ascii="Arial" w:cs="Arial" w:eastAsia="Arial" w:hAnsi="Arial"/>
                <w:sz w:val="18"/>
                <w:szCs w:val="18"/>
                <w:color w:val="auto"/>
                <w:w w:val="98"/>
              </w:rPr>
              <w:t>Unrealized gains (losses) on securities underlying prepaid forward sale agreements</w:t>
            </w:r>
          </w:p>
        </w:tc>
        <w:tc>
          <w:tcPr>
            <w:tcW w:w="6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(129)</w:t>
            </w:r>
          </w:p>
        </w:tc>
        <w:tc>
          <w:tcPr>
            <w:tcW w:w="7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342</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231</w:t>
            </w:r>
          </w:p>
        </w:tc>
        <w:tc>
          <w:tcPr>
            <w:tcW w:w="6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380</w:t>
            </w: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w w:val="91"/>
              </w:rPr>
              <w:t>Mark to market adjustments on derivative component of prepaid forward sale agreements</w:t>
            </w:r>
          </w:p>
        </w:tc>
        <w:tc>
          <w:tcPr>
            <w:tcW w:w="680" w:type="dxa"/>
            <w:vAlign w:val="bottom"/>
          </w:tcPr>
          <w:p>
            <w:pPr>
              <w:spacing w:after="0"/>
              <w:rPr>
                <w:sz w:val="18"/>
                <w:szCs w:val="18"/>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131</w:t>
            </w:r>
          </w:p>
        </w:tc>
        <w:tc>
          <w:tcPr>
            <w:tcW w:w="70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(146)</w:t>
            </w:r>
          </w:p>
        </w:tc>
        <w:tc>
          <w:tcPr>
            <w:tcW w:w="6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16"/>
        </w:trPr>
        <w:tc>
          <w:tcPr>
            <w:tcW w:w="20" w:type="dxa"/>
            <w:vAlign w:val="bottom"/>
          </w:tcPr>
          <w:p>
            <w:pPr>
              <w:spacing w:after="0"/>
              <w:rPr>
                <w:sz w:val="18"/>
                <w:szCs w:val="18"/>
                <w:color w:val="auto"/>
              </w:rPr>
            </w:pPr>
          </w:p>
        </w:tc>
        <w:tc>
          <w:tcPr>
            <w:tcW w:w="6540" w:type="dxa"/>
            <w:vAlign w:val="bottom"/>
            <w:shd w:val="clear" w:color="auto" w:fill="E5E5E5"/>
          </w:tcPr>
          <w:p>
            <w:pPr>
              <w:spacing w:after="0"/>
              <w:rPr>
                <w:sz w:val="20"/>
                <w:szCs w:val="20"/>
                <w:color w:val="auto"/>
              </w:rPr>
            </w:pPr>
            <w:r>
              <w:rPr>
                <w:rFonts w:ascii="Arial" w:cs="Arial" w:eastAsia="Arial" w:hAnsi="Arial"/>
                <w:sz w:val="18"/>
                <w:szCs w:val="18"/>
                <w:color w:val="auto"/>
              </w:rPr>
              <w:t>Mark to market adjustments on derivative component of ZONES</w:t>
            </w:r>
          </w:p>
        </w:tc>
        <w:tc>
          <w:tcPr>
            <w:tcW w:w="6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w:t>
            </w:r>
          </w:p>
        </w:tc>
        <w:tc>
          <w:tcPr>
            <w:tcW w:w="7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(5)</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2</w:t>
            </w:r>
          </w:p>
        </w:tc>
        <w:tc>
          <w:tcPr>
            <w:tcW w:w="6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Interest and dividend income</w:t>
            </w:r>
          </w:p>
        </w:tc>
        <w:tc>
          <w:tcPr>
            <w:tcW w:w="680" w:type="dxa"/>
            <w:vAlign w:val="bottom"/>
          </w:tcPr>
          <w:p>
            <w:pPr>
              <w:spacing w:after="0"/>
              <w:rPr>
                <w:sz w:val="18"/>
                <w:szCs w:val="18"/>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23</w:t>
            </w:r>
          </w:p>
        </w:tc>
        <w:tc>
          <w:tcPr>
            <w:tcW w:w="700" w:type="dxa"/>
            <w:vAlign w:val="bottom"/>
          </w:tcPr>
          <w:p>
            <w:pPr>
              <w:spacing w:after="0"/>
              <w:rPr>
                <w:sz w:val="18"/>
                <w:szCs w:val="18"/>
                <w:color w:val="auto"/>
              </w:rPr>
            </w:pPr>
          </w:p>
        </w:tc>
        <w:tc>
          <w:tcPr>
            <w:tcW w:w="780" w:type="dxa"/>
            <w:vAlign w:val="bottom"/>
          </w:tcPr>
          <w:p>
            <w:pPr>
              <w:jc w:val="right"/>
              <w:ind w:right="274"/>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18"/>
                <w:szCs w:val="18"/>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45</w:t>
            </w:r>
          </w:p>
        </w:tc>
        <w:tc>
          <w:tcPr>
            <w:tcW w:w="68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6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net</w:t>
            </w:r>
          </w:p>
        </w:tc>
        <w:tc>
          <w:tcPr>
            <w:tcW w:w="6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(29)</w:t>
            </w:r>
          </w:p>
        </w:tc>
        <w:tc>
          <w:tcPr>
            <w:tcW w:w="7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74"/>
              <w:spacing w:after="0"/>
              <w:rPr>
                <w:sz w:val="20"/>
                <w:szCs w:val="20"/>
                <w:color w:val="auto"/>
              </w:rPr>
            </w:pPr>
            <w:r>
              <w:rPr>
                <w:rFonts w:ascii="Arial" w:cs="Arial" w:eastAsia="Arial" w:hAnsi="Arial"/>
                <w:sz w:val="18"/>
                <w:szCs w:val="18"/>
                <w:color w:val="auto"/>
              </w:rPr>
              <w:t>6</w:t>
            </w:r>
          </w:p>
        </w:tc>
        <w:tc>
          <w:tcPr>
            <w:tcW w:w="4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(28)</w:t>
            </w:r>
          </w:p>
        </w:tc>
        <w:tc>
          <w:tcPr>
            <w:tcW w:w="6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w:t>
            </w:r>
          </w:p>
        </w:tc>
      </w:tr>
      <w:tr>
        <w:trPr>
          <w:trHeight w:val="217"/>
        </w:trPr>
        <w:tc>
          <w:tcPr>
            <w:tcW w:w="20" w:type="dxa"/>
            <w:vAlign w:val="bottom"/>
            <w:tcBorders>
              <w:bottom w:val="single" w:sz="8" w:color="auto"/>
            </w:tcBorders>
          </w:tcPr>
          <w:p>
            <w:pPr>
              <w:spacing w:after="0"/>
              <w:rPr>
                <w:sz w:val="18"/>
                <w:szCs w:val="18"/>
                <w:color w:val="auto"/>
              </w:rPr>
            </w:pPr>
          </w:p>
        </w:tc>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 income (loss), net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b w:val="1"/>
                <w:bCs w:val="1"/>
                <w:color w:val="auto"/>
              </w:rPr>
              <w:t>57</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101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70</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Goodwill</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gridSpan w:val="2"/>
          </w:tcPr>
          <w:p>
            <w:pPr>
              <w:ind w:left="260"/>
              <w:spacing w:after="0"/>
              <w:rPr>
                <w:sz w:val="20"/>
                <w:szCs w:val="20"/>
                <w:color w:val="auto"/>
              </w:rPr>
            </w:pPr>
            <w:r>
              <w:rPr>
                <w:rFonts w:ascii="Arial" w:cs="Arial" w:eastAsia="Arial" w:hAnsi="Arial"/>
                <w:sz w:val="14"/>
                <w:szCs w:val="14"/>
                <w:color w:val="auto"/>
              </w:rPr>
              <w:t>Corporate</w:t>
            </w:r>
          </w:p>
        </w:tc>
        <w:tc>
          <w:tcPr>
            <w:tcW w:w="960" w:type="dxa"/>
            <w:vAlign w:val="bottom"/>
          </w:tcPr>
          <w:p>
            <w:pPr>
              <w:spacing w:after="0"/>
              <w:rPr>
                <w:sz w:val="14"/>
                <w:szCs w:val="14"/>
                <w:color w:val="auto"/>
              </w:rPr>
            </w:pPr>
          </w:p>
        </w:tc>
      </w:tr>
      <w:tr>
        <w:trPr>
          <w:trHeight w:val="159"/>
        </w:trPr>
        <w:tc>
          <w:tcPr>
            <w:tcW w:w="46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420" w:type="dxa"/>
            <w:vAlign w:val="bottom"/>
          </w:tcPr>
          <w:p>
            <w:pPr>
              <w:jc w:val="right"/>
              <w:ind w:right="396"/>
              <w:spacing w:after="0" w:line="159" w:lineRule="exact"/>
              <w:rPr>
                <w:sz w:val="20"/>
                <w:szCs w:val="20"/>
                <w:color w:val="auto"/>
              </w:rPr>
            </w:pPr>
            <w:r>
              <w:rPr>
                <w:rFonts w:ascii="Arial" w:cs="Arial" w:eastAsia="Arial" w:hAnsi="Arial"/>
                <w:sz w:val="14"/>
                <w:szCs w:val="14"/>
                <w:color w:val="auto"/>
              </w:rPr>
              <w:t>Cable</w:t>
            </w:r>
          </w:p>
        </w:tc>
        <w:tc>
          <w:tcPr>
            <w:tcW w:w="130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Programming</w:t>
            </w:r>
          </w:p>
        </w:tc>
        <w:tc>
          <w:tcPr>
            <w:tcW w:w="10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and Other</w:t>
            </w:r>
          </w:p>
        </w:tc>
        <w:tc>
          <w:tcPr>
            <w:tcW w:w="960" w:type="dxa"/>
            <w:vAlign w:val="bottom"/>
          </w:tcPr>
          <w:p>
            <w:pPr>
              <w:jc w:val="right"/>
              <w:ind w:right="176"/>
              <w:spacing w:after="0" w:line="159" w:lineRule="exact"/>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46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Balance, December 31, 2009</w:t>
            </w:r>
            <w:r>
              <w:rPr>
                <w:rFonts w:ascii="Arial" w:cs="Arial" w:eastAsia="Arial" w:hAnsi="Arial"/>
                <w:sz w:val="11"/>
                <w:szCs w:val="11"/>
                <w:color w:val="auto"/>
              </w:rPr>
              <w:t>(a)</w:t>
            </w:r>
          </w:p>
        </w:tc>
        <w:tc>
          <w:tcPr>
            <w:tcW w:w="3420" w:type="dxa"/>
            <w:vAlign w:val="bottom"/>
            <w:tcBorders>
              <w:top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color w:val="auto"/>
              </w:rPr>
              <w:t>$12,828</w:t>
            </w:r>
          </w:p>
        </w:tc>
        <w:tc>
          <w:tcPr>
            <w:tcW w:w="520" w:type="dxa"/>
            <w:vAlign w:val="bottom"/>
            <w:tcBorders>
              <w:top w:val="single" w:sz="8" w:color="auto"/>
            </w:tcBorders>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1,630</w:t>
            </w:r>
          </w:p>
        </w:tc>
        <w:tc>
          <w:tcPr>
            <w:tcW w:w="440" w:type="dxa"/>
            <w:vAlign w:val="bottom"/>
            <w:tcBorders>
              <w:top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475</w:t>
            </w:r>
          </w:p>
        </w:tc>
        <w:tc>
          <w:tcPr>
            <w:tcW w:w="960" w:type="dxa"/>
            <w:vAlign w:val="bottom"/>
            <w:tcBorders>
              <w:top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$14,933</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Acquisitions</w:t>
            </w:r>
          </w:p>
        </w:tc>
        <w:tc>
          <w:tcPr>
            <w:tcW w:w="3420" w:type="dxa"/>
            <w:vAlign w:val="bottom"/>
          </w:tcPr>
          <w:p>
            <w:pPr>
              <w:jc w:val="right"/>
              <w:ind w:right="256"/>
              <w:spacing w:after="0"/>
              <w:rPr>
                <w:sz w:val="20"/>
                <w:szCs w:val="20"/>
                <w:color w:val="auto"/>
              </w:rPr>
            </w:pPr>
            <w:r>
              <w:rPr>
                <w:rFonts w:ascii="Arial" w:cs="Arial" w:eastAsia="Arial" w:hAnsi="Arial"/>
                <w:sz w:val="18"/>
                <w:szCs w:val="18"/>
                <w:color w:val="auto"/>
              </w:rPr>
              <w:t>74</w:t>
            </w:r>
          </w:p>
        </w:tc>
        <w:tc>
          <w:tcPr>
            <w:tcW w:w="520" w:type="dxa"/>
            <w:vAlign w:val="bottom"/>
          </w:tcPr>
          <w:p>
            <w:pPr>
              <w:spacing w:after="0"/>
              <w:rPr>
                <w:sz w:val="18"/>
                <w:szCs w:val="18"/>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10</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96</w:t>
            </w:r>
          </w:p>
        </w:tc>
      </w:tr>
      <w:tr>
        <w:trPr>
          <w:trHeight w:val="216"/>
        </w:trPr>
        <w:tc>
          <w:tcPr>
            <w:tcW w:w="20" w:type="dxa"/>
            <w:vAlign w:val="bottom"/>
          </w:tcPr>
          <w:p>
            <w:pPr>
              <w:spacing w:after="0"/>
              <w:rPr>
                <w:sz w:val="18"/>
                <w:szCs w:val="18"/>
                <w:color w:val="auto"/>
              </w:rPr>
            </w:pPr>
          </w:p>
        </w:tc>
        <w:tc>
          <w:tcPr>
            <w:tcW w:w="46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Settlements and adjustments</w:t>
            </w:r>
          </w:p>
        </w:tc>
        <w:tc>
          <w:tcPr>
            <w:tcW w:w="342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r>
      <w:tr>
        <w:trPr>
          <w:trHeight w:val="217"/>
        </w:trPr>
        <w:tc>
          <w:tcPr>
            <w:tcW w:w="2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June 30, 2010</w:t>
            </w:r>
          </w:p>
        </w:tc>
        <w:tc>
          <w:tcPr>
            <w:tcW w:w="342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rPr>
              <w:t>$12,901</w:t>
            </w: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1,642</w:t>
            </w: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485</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$15,028</w:t>
            </w:r>
          </w:p>
        </w:tc>
      </w:tr>
    </w:tbl>
    <w:p>
      <w:pPr>
        <w:spacing w:after="0" w:line="5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December 31, 2009 Cable segment and Corporate and Other amounts have been adjusted for segment reclassifications to be consistent with our 2010 management reporting presentation.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Long-Term Debt</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2010, we issued $1.4 billion principal amount of 5.15% notes due 2020 and $1.0 billion principal amount of 6.4% notes due 2040. The net proceeds of these issuances will be used for working capital and general corporate purposes, which may include the repayment of debt at its maturity and funding a portion of our payment to GE due upon closing of the NBC Universal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Fair Value Measurements and Derivative Financial Instruments</w:t>
      </w:r>
    </w:p>
    <w:p>
      <w:pPr>
        <w:spacing w:after="0" w:line="8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use derivative financial instruments to manage our exposure to the risks associated with fluctuations in interest rates and equity prices. Our objective is to manage the financial and operational exposure arising from these risks by offsetting gains and losses on the underlying exposures with gains and losses on the derivatives used to economically hedge them. Derivative financial instruments that receive designated hedge accounting treatment are evaluated for effectiveness at the time they are designated, as well as throughout the hedging period. We do not engage in any speculative or leveraged derivative transactions. All derivative transactions must comply with a derivatives policy authorized by our Board of Directors.</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the credit risks associated with our derivative financial instruments through the evaluation and monitoring of the creditworthiness of the counterparties. Although we may be exposed to losses in the event of nonperformance by the counterparties, we do not expect such losses, if any, to be significant.</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our exposure to and benefits from price fluctuations in the common stock of some of our investments by using equity derivative financial instruments embedded in other contracts, such as prepaid forward sale agreements, whose values, in part, are derived from the market value of certain publicly traded common stock.</w:t>
      </w:r>
    </w:p>
    <w:p>
      <w:pPr>
        <w:spacing w:after="0" w:line="4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periodically examine the instruments we use to hedge exposure to interest rate and equity price risks to ensure that the instruments are matched with underlying assets or liabilities, to reduce our risks relating to changes in interest rates or equity prices and, through market value and sensitivity analysis, to maintain a high correlation to the risk inherent in the hedged item. For those instruments that do not meet the above conditions, and for those derivative financial instruments that are not designated as a hedge, changes in fair value are recognized on a current basis in earnings.</w:t>
      </w:r>
    </w:p>
    <w:p>
      <w:pPr>
        <w:spacing w:after="0" w:line="18"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As of June 30, 2010, our derivative financial instruments designated as hedges included (i) the derivative component of one of our prepaid forward sale agreements, which is recorded to other noncurrent liabilities, (ii) our interest rate swap agreements, which are recorded to other current or noncurrent assets or liabilities, and (iii) our interest rate collars, which are recorded to other current liabilities. Changes in the fair value of the derivative component of our prepaid forward sale agreements are recorded to investment income (loss), net. Changes in the fair value of our interest rate swap agreements are recorded to interest expense. These amounts are completely offset by changes in the fair value of the related debt because the swaps are deemed to be 100% effective. The difference between variable and fixed rates to be paid or received under the terms of the interest rate swap agreements is accrued as interest rates change and recognized as an adjustment to interest expense for the related debt. The effective portion of changes in the fair value of our interest rate collars is recorded to accumulated other comprehensive income (loss). The ineffective portion, if any, of changes in the fair value of our interest rate collars is recorded to investment income (loss), net.</w:t>
      </w:r>
    </w:p>
    <w:p>
      <w:pPr>
        <w:spacing w:after="0" w:line="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2010, our derivative financial instruments not designated as hedges included (i) the derivative component of our indexed debt instruments (our ZONES debt), which is recorded to long-term debt, and (ii) the derivative component of certain of our prepaid forward sale agreements, which is recorded to other noncurrent liabilities.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2010, our debt had an estimated fair value of $34.029 billion. The estimated fair value of our publicly traded debt is based on quoted market values for the debt. To estimate the fair value of debt for which there are no quoted market prices, we use interest rates available to us for debt with similar terms and remaining maturities.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spacing w:after="0"/>
              <w:rPr>
                <w:sz w:val="20"/>
                <w:szCs w:val="20"/>
                <w:color w:val="auto"/>
              </w:rPr>
            </w:pPr>
            <w:r>
              <w:rPr>
                <w:rFonts w:ascii="Arial" w:cs="Arial" w:eastAsia="Arial" w:hAnsi="Arial"/>
                <w:sz w:val="14"/>
                <w:szCs w:val="14"/>
                <w:color w:val="auto"/>
                <w:w w:val="85"/>
              </w:rPr>
              <w:t>Fair value as of June 30, 2010</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3"/>
          </w:tcPr>
          <w:p>
            <w:pPr>
              <w:ind w:left="100"/>
              <w:spacing w:after="0"/>
              <w:rPr>
                <w:sz w:val="20"/>
                <w:szCs w:val="20"/>
                <w:color w:val="auto"/>
              </w:rPr>
            </w:pPr>
            <w:r>
              <w:rPr>
                <w:rFonts w:ascii="Arial" w:cs="Arial" w:eastAsia="Arial" w:hAnsi="Arial"/>
                <w:sz w:val="14"/>
                <w:szCs w:val="14"/>
                <w:color w:val="auto"/>
                <w:w w:val="86"/>
              </w:rPr>
              <w:t>December 31, 2009</w:t>
            </w:r>
          </w:p>
        </w:tc>
        <w:tc>
          <w:tcPr>
            <w:tcW w:w="0" w:type="dxa"/>
            <w:vAlign w:val="bottom"/>
          </w:tcPr>
          <w:p>
            <w:pPr>
              <w:spacing w:after="0"/>
              <w:rPr>
                <w:sz w:val="1"/>
                <w:szCs w:val="1"/>
                <w:color w:val="auto"/>
              </w:rPr>
            </w:pPr>
          </w:p>
        </w:tc>
      </w:tr>
      <w:tr>
        <w:trPr>
          <w:trHeight w:val="142"/>
        </w:trPr>
        <w:tc>
          <w:tcPr>
            <w:tcW w:w="498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594"/>
              <w:spacing w:after="0" w:line="142" w:lineRule="exact"/>
              <w:rPr>
                <w:sz w:val="20"/>
                <w:szCs w:val="20"/>
                <w:color w:val="auto"/>
              </w:rPr>
            </w:pPr>
            <w:r>
              <w:rPr>
                <w:rFonts w:ascii="Arial" w:cs="Arial" w:eastAsia="Arial" w:hAnsi="Arial"/>
                <w:sz w:val="14"/>
                <w:szCs w:val="14"/>
                <w:color w:val="auto"/>
                <w:w w:val="88"/>
              </w:rPr>
              <w:t>Level 1</w:t>
            </w: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color w:val="auto"/>
                <w:w w:val="88"/>
              </w:rPr>
              <w:t>Level 2</w:t>
            </w:r>
          </w:p>
        </w:tc>
        <w:tc>
          <w:tcPr>
            <w:tcW w:w="5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54"/>
              <w:spacing w:after="0" w:line="142" w:lineRule="exact"/>
              <w:rPr>
                <w:sz w:val="20"/>
                <w:szCs w:val="20"/>
                <w:color w:val="auto"/>
              </w:rPr>
            </w:pPr>
            <w:r>
              <w:rPr>
                <w:rFonts w:ascii="Arial" w:cs="Arial" w:eastAsia="Arial" w:hAnsi="Arial"/>
                <w:sz w:val="14"/>
                <w:szCs w:val="14"/>
                <w:color w:val="auto"/>
              </w:rPr>
              <w:t>Level 3</w:t>
            </w:r>
          </w:p>
        </w:tc>
        <w:tc>
          <w:tcPr>
            <w:tcW w:w="4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w w:val="89"/>
              </w:rPr>
              <w:t>Total</w:t>
            </w:r>
          </w:p>
        </w:tc>
        <w:tc>
          <w:tcPr>
            <w:tcW w:w="4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313"/>
              <w:spacing w:after="0" w:line="142" w:lineRule="exact"/>
              <w:rPr>
                <w:sz w:val="20"/>
                <w:szCs w:val="20"/>
                <w:color w:val="auto"/>
              </w:rPr>
            </w:pPr>
            <w:r>
              <w:rPr>
                <w:rFonts w:ascii="Arial" w:cs="Arial" w:eastAsia="Arial" w:hAnsi="Arial"/>
                <w:sz w:val="14"/>
                <w:szCs w:val="14"/>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E5E5E5"/>
          </w:tcPr>
          <w:p>
            <w:pPr>
              <w:spacing w:after="0"/>
              <w:rPr>
                <w:sz w:val="18"/>
                <w:szCs w:val="18"/>
                <w:color w:val="auto"/>
              </w:rPr>
            </w:pPr>
          </w:p>
        </w:tc>
        <w:tc>
          <w:tcPr>
            <w:tcW w:w="110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auto"/>
            </w:tcBorders>
            <w:shd w:val="clear" w:color="auto" w:fill="E5E5E5"/>
          </w:tcPr>
          <w:p>
            <w:pPr>
              <w:spacing w:after="0"/>
              <w:rPr>
                <w:sz w:val="18"/>
                <w:szCs w:val="18"/>
                <w:color w:val="auto"/>
              </w:rPr>
            </w:pPr>
          </w:p>
        </w:tc>
        <w:tc>
          <w:tcPr>
            <w:tcW w:w="4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Trading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54"/>
              <w:spacing w:after="0"/>
              <w:rPr>
                <w:sz w:val="20"/>
                <w:szCs w:val="20"/>
                <w:color w:val="auto"/>
              </w:rPr>
            </w:pPr>
            <w:r>
              <w:rPr>
                <w:rFonts w:ascii="Arial" w:cs="Arial" w:eastAsia="Arial" w:hAnsi="Arial"/>
                <w:sz w:val="18"/>
                <w:szCs w:val="18"/>
                <w:color w:val="auto"/>
              </w:rPr>
              <w:t>2,078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9"/>
              </w:rPr>
              <w:t>$ 2,078</w:t>
            </w:r>
          </w:p>
        </w:tc>
        <w:tc>
          <w:tcPr>
            <w:tcW w:w="44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2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90</w:t>
            </w:r>
          </w:p>
        </w:tc>
        <w:tc>
          <w:tcPr>
            <w:tcW w:w="1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90</w:t>
            </w:r>
          </w:p>
        </w:tc>
        <w:tc>
          <w:tcPr>
            <w:tcW w:w="4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Equity warrants</w:t>
            </w:r>
          </w:p>
        </w:tc>
        <w:tc>
          <w:tcPr>
            <w:tcW w:w="280" w:type="dxa"/>
            <w:vAlign w:val="bottom"/>
          </w:tcPr>
          <w:p>
            <w:pPr>
              <w:spacing w:after="0"/>
              <w:rPr>
                <w:sz w:val="18"/>
                <w:szCs w:val="18"/>
                <w:color w:val="auto"/>
              </w:rPr>
            </w:pPr>
          </w:p>
        </w:tc>
        <w:tc>
          <w:tcPr>
            <w:tcW w:w="1100" w:type="dxa"/>
            <w:vAlign w:val="bottom"/>
          </w:tcPr>
          <w:p>
            <w:pPr>
              <w:jc w:val="right"/>
              <w:ind w:right="45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Interest rate swap agreements</w:t>
            </w:r>
          </w:p>
        </w:tc>
        <w:tc>
          <w:tcPr>
            <w:tcW w:w="28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jc w:val="right"/>
              <w:ind w:right="45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261</w:t>
            </w:r>
          </w:p>
        </w:tc>
        <w:tc>
          <w:tcPr>
            <w:tcW w:w="5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261</w:t>
            </w:r>
          </w:p>
        </w:tc>
        <w:tc>
          <w:tcPr>
            <w:tcW w:w="4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b w:val="1"/>
                <w:bCs w:val="1"/>
                <w:color w:val="auto"/>
              </w:rPr>
              <w:t>2,168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261</w:t>
            </w: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$ 2,431</w:t>
            </w: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Derivative component of ZONES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54"/>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Derivative component of prepaid forward sale agreements</w:t>
            </w:r>
          </w:p>
        </w:tc>
        <w:tc>
          <w:tcPr>
            <w:tcW w:w="2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8"/>
                <w:szCs w:val="18"/>
                <w:color w:val="auto"/>
              </w:rPr>
            </w:pPr>
          </w:p>
        </w:tc>
        <w:tc>
          <w:tcPr>
            <w:tcW w:w="6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495</w:t>
            </w: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495</w:t>
            </w:r>
          </w:p>
        </w:tc>
        <w:tc>
          <w:tcPr>
            <w:tcW w:w="4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280" w:type="dxa"/>
            <w:vAlign w:val="bottom"/>
          </w:tcPr>
          <w:p>
            <w:pPr>
              <w:spacing w:after="0"/>
              <w:rPr>
                <w:sz w:val="18"/>
                <w:szCs w:val="18"/>
                <w:color w:val="auto"/>
              </w:rPr>
            </w:pPr>
          </w:p>
        </w:tc>
        <w:tc>
          <w:tcPr>
            <w:tcW w:w="1100" w:type="dxa"/>
            <w:vAlign w:val="bottom"/>
          </w:tcPr>
          <w:p>
            <w:pPr>
              <w:jc w:val="right"/>
              <w:ind w:right="45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Interest rate collars</w:t>
            </w:r>
          </w:p>
        </w:tc>
        <w:tc>
          <w:tcPr>
            <w:tcW w:w="28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jc w:val="right"/>
              <w:ind w:right="45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67</w:t>
            </w:r>
          </w:p>
        </w:tc>
        <w:tc>
          <w:tcPr>
            <w:tcW w:w="5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67</w:t>
            </w:r>
          </w:p>
        </w:tc>
        <w:tc>
          <w:tcPr>
            <w:tcW w:w="4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576</w:t>
            </w: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576</w:t>
            </w: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9160" w:type="dxa"/>
            <w:vAlign w:val="bottom"/>
            <w:gridSpan w:val="11"/>
          </w:tcPr>
          <w:p>
            <w:pPr>
              <w:jc w:val="right"/>
              <w:spacing w:after="0"/>
              <w:rPr>
                <w:sz w:val="20"/>
                <w:szCs w:val="20"/>
                <w:color w:val="auto"/>
              </w:rPr>
            </w:pPr>
            <w:r>
              <w:rPr>
                <w:rFonts w:ascii="Arial" w:cs="Arial" w:eastAsia="Arial" w:hAnsi="Arial"/>
                <w:sz w:val="18"/>
                <w:szCs w:val="18"/>
                <w:b w:val="1"/>
                <w:bCs w:val="1"/>
                <w:color w:val="auto"/>
              </w:rPr>
              <w:t>Amount of Gain (Loss) Recognized in Income on Derivative Financial Instruments</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00" w:type="dxa"/>
            <w:vAlign w:val="bottom"/>
            <w:gridSpan w:val="4"/>
          </w:tcPr>
          <w:p>
            <w:pPr>
              <w:jc w:val="right"/>
              <w:ind w:right="312"/>
              <w:spacing w:after="0"/>
              <w:rPr>
                <w:sz w:val="20"/>
                <w:szCs w:val="20"/>
                <w:color w:val="auto"/>
              </w:rPr>
            </w:pPr>
            <w:r>
              <w:rPr>
                <w:rFonts w:ascii="Arial" w:cs="Arial" w:eastAsia="Arial" w:hAnsi="Arial"/>
                <w:sz w:val="14"/>
                <w:szCs w:val="14"/>
                <w:color w:val="auto"/>
                <w:w w:val="97"/>
              </w:rPr>
              <w:t>Three Months Ended</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20" w:type="dxa"/>
            <w:vAlign w:val="bottom"/>
            <w:gridSpan w:val="4"/>
          </w:tcPr>
          <w:p>
            <w:pPr>
              <w:ind w:left="16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536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w w:val="92"/>
              </w:rPr>
              <w:t>June 30</w:t>
            </w: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June 30</w:t>
            </w:r>
          </w:p>
        </w:tc>
        <w:tc>
          <w:tcPr>
            <w:tcW w:w="5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3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jc w:val="right"/>
              <w:ind w:right="116"/>
              <w:spacing w:after="0" w:line="142" w:lineRule="exact"/>
              <w:rPr>
                <w:sz w:val="20"/>
                <w:szCs w:val="20"/>
                <w:color w:val="auto"/>
              </w:rPr>
            </w:pPr>
            <w:r>
              <w:rPr>
                <w:rFonts w:ascii="Arial" w:cs="Arial" w:eastAsia="Arial" w:hAnsi="Arial"/>
                <w:sz w:val="14"/>
                <w:szCs w:val="14"/>
                <w:color w:val="auto"/>
                <w:w w:val="89"/>
              </w:rPr>
              <w:t>2010</w:t>
            </w:r>
          </w:p>
        </w:tc>
        <w:tc>
          <w:tcPr>
            <w:tcW w:w="500" w:type="dxa"/>
            <w:vAlign w:val="bottom"/>
          </w:tcPr>
          <w:p>
            <w:pPr>
              <w:spacing w:after="0"/>
              <w:rPr>
                <w:sz w:val="12"/>
                <w:szCs w:val="12"/>
                <w:color w:val="auto"/>
              </w:rPr>
            </w:pPr>
          </w:p>
        </w:tc>
        <w:tc>
          <w:tcPr>
            <w:tcW w:w="700" w:type="dxa"/>
            <w:vAlign w:val="bottom"/>
            <w:gridSpan w:val="2"/>
          </w:tcPr>
          <w:p>
            <w:pPr>
              <w:jc w:val="right"/>
              <w:ind w:right="192"/>
              <w:spacing w:after="0" w:line="142" w:lineRule="exact"/>
              <w:rPr>
                <w:sz w:val="20"/>
                <w:szCs w:val="20"/>
                <w:color w:val="auto"/>
              </w:rPr>
            </w:pPr>
            <w:r>
              <w:rPr>
                <w:rFonts w:ascii="Arial" w:cs="Arial" w:eastAsia="Arial" w:hAnsi="Arial"/>
                <w:sz w:val="14"/>
                <w:szCs w:val="14"/>
                <w:color w:val="auto"/>
              </w:rPr>
              <w:t>2009</w:t>
            </w:r>
          </w:p>
        </w:tc>
        <w:tc>
          <w:tcPr>
            <w:tcW w:w="180" w:type="dxa"/>
            <w:vAlign w:val="bottom"/>
          </w:tcPr>
          <w:p>
            <w:pPr>
              <w:spacing w:after="0"/>
              <w:rPr>
                <w:sz w:val="12"/>
                <w:szCs w:val="12"/>
                <w:color w:val="auto"/>
              </w:rPr>
            </w:pPr>
          </w:p>
        </w:tc>
        <w:tc>
          <w:tcPr>
            <w:tcW w:w="900" w:type="dxa"/>
            <w:vAlign w:val="bottom"/>
            <w:gridSpan w:val="2"/>
          </w:tcPr>
          <w:p>
            <w:pPr>
              <w:jc w:val="right"/>
              <w:ind w:right="134"/>
              <w:spacing w:after="0" w:line="142" w:lineRule="exact"/>
              <w:rPr>
                <w:sz w:val="20"/>
                <w:szCs w:val="20"/>
                <w:color w:val="auto"/>
              </w:rPr>
            </w:pPr>
            <w:r>
              <w:rPr>
                <w:rFonts w:ascii="Arial" w:cs="Arial" w:eastAsia="Arial" w:hAnsi="Arial"/>
                <w:sz w:val="14"/>
                <w:szCs w:val="14"/>
                <w:color w:val="auto"/>
              </w:rPr>
              <w:t>2010</w:t>
            </w:r>
          </w:p>
        </w:tc>
        <w:tc>
          <w:tcPr>
            <w:tcW w:w="620" w:type="dxa"/>
            <w:vAlign w:val="bottom"/>
          </w:tcPr>
          <w:p>
            <w:pPr>
              <w:spacing w:after="0"/>
              <w:rPr>
                <w:sz w:val="12"/>
                <w:szCs w:val="12"/>
                <w:color w:val="auto"/>
              </w:rPr>
            </w:pPr>
          </w:p>
        </w:tc>
        <w:tc>
          <w:tcPr>
            <w:tcW w:w="540" w:type="dxa"/>
            <w:vAlign w:val="bottom"/>
          </w:tcPr>
          <w:p>
            <w:pPr>
              <w:jc w:val="right"/>
              <w:ind w:right="153"/>
              <w:spacing w:after="0" w:line="142" w:lineRule="exact"/>
              <w:rPr>
                <w:sz w:val="20"/>
                <w:szCs w:val="20"/>
                <w:color w:val="auto"/>
              </w:rPr>
            </w:pPr>
            <w:r>
              <w:rPr>
                <w:rFonts w:ascii="Arial" w:cs="Arial" w:eastAsia="Arial" w:hAnsi="Arial"/>
                <w:sz w:val="14"/>
                <w:szCs w:val="14"/>
                <w:color w:val="auto"/>
                <w:w w:val="89"/>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Designated Fair Value Hedging Relationships</w:t>
            </w:r>
          </w:p>
        </w:tc>
        <w:tc>
          <w:tcPr>
            <w:tcW w:w="280" w:type="dxa"/>
            <w:vAlign w:val="bottom"/>
            <w:tcBorders>
              <w:top w:val="single" w:sz="8" w:color="auto"/>
            </w:tcBorders>
            <w:shd w:val="clear" w:color="auto" w:fill="E5E5E5"/>
          </w:tcPr>
          <w:p>
            <w:pPr>
              <w:spacing w:after="0"/>
              <w:rPr>
                <w:sz w:val="18"/>
                <w:szCs w:val="18"/>
                <w:color w:val="auto"/>
              </w:rPr>
            </w:pPr>
          </w:p>
        </w:tc>
        <w:tc>
          <w:tcPr>
            <w:tcW w:w="110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auto"/>
            </w:tcBorders>
            <w:shd w:val="clear" w:color="auto" w:fill="E5E5E5"/>
          </w:tcPr>
          <w:p>
            <w:pPr>
              <w:spacing w:after="0"/>
              <w:rPr>
                <w:sz w:val="18"/>
                <w:szCs w:val="18"/>
                <w:color w:val="auto"/>
              </w:rPr>
            </w:pPr>
          </w:p>
        </w:tc>
        <w:tc>
          <w:tcPr>
            <w:tcW w:w="4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Interest Income (Expense):</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Interest rate swap agreements (fixed to variable)</w:t>
            </w:r>
          </w:p>
        </w:tc>
        <w:tc>
          <w:tcPr>
            <w:tcW w:w="28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6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90</w:t>
            </w:r>
          </w:p>
        </w:tc>
        <w:tc>
          <w:tcPr>
            <w:tcW w:w="500" w:type="dxa"/>
            <w:vAlign w:val="bottom"/>
            <w:shd w:val="clear" w:color="auto" w:fill="E5E5E5"/>
          </w:tcPr>
          <w:p>
            <w:pPr>
              <w:spacing w:after="0"/>
              <w:rPr>
                <w:sz w:val="18"/>
                <w:szCs w:val="18"/>
                <w:color w:val="auto"/>
              </w:rPr>
            </w:pPr>
          </w:p>
        </w:tc>
        <w:tc>
          <w:tcPr>
            <w:tcW w:w="2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0"/>
              </w:rPr>
              <w:t>(113)</w:t>
            </w:r>
          </w:p>
        </w:tc>
        <w:tc>
          <w:tcPr>
            <w:tcW w:w="18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118</w:t>
            </w:r>
          </w:p>
        </w:tc>
        <w:tc>
          <w:tcPr>
            <w:tcW w:w="620" w:type="dxa"/>
            <w:vAlign w:val="bottom"/>
            <w:shd w:val="clear" w:color="auto" w:fill="E5E5E5"/>
          </w:tcPr>
          <w:p>
            <w:pPr>
              <w:ind w:left="5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420"/>
              <w:spacing w:after="0"/>
              <w:rPr>
                <w:sz w:val="20"/>
                <w:szCs w:val="20"/>
                <w:color w:val="auto"/>
              </w:rPr>
            </w:pPr>
            <w:r>
              <w:rPr>
                <w:rFonts w:ascii="Arial" w:cs="Arial" w:eastAsia="Arial" w:hAnsi="Arial"/>
                <w:sz w:val="18"/>
                <w:szCs w:val="18"/>
                <w:color w:val="auto"/>
                <w:w w:val="91"/>
              </w:rPr>
              <w:t>Long-term debt — interest rate swap agreements (fixed to variable)</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(118)</w:t>
            </w:r>
          </w:p>
        </w:tc>
        <w:tc>
          <w:tcPr>
            <w:tcW w:w="62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Investment Income (Expense):</w:t>
            </w:r>
          </w:p>
        </w:tc>
        <w:tc>
          <w:tcPr>
            <w:tcW w:w="28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4"/>
          </w:tcPr>
          <w:p>
            <w:pPr>
              <w:ind w:left="420"/>
              <w:spacing w:after="0"/>
              <w:rPr>
                <w:sz w:val="20"/>
                <w:szCs w:val="20"/>
                <w:color w:val="auto"/>
              </w:rPr>
            </w:pPr>
            <w:r>
              <w:rPr>
                <w:rFonts w:ascii="Arial" w:cs="Arial" w:eastAsia="Arial" w:hAnsi="Arial"/>
                <w:sz w:val="18"/>
                <w:szCs w:val="18"/>
                <w:color w:val="auto"/>
                <w:w w:val="95"/>
              </w:rPr>
              <w:t>Unrealized gains (losses) on securities underlying prepaid forward sale agreement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auto"/>
            </w:tcBorders>
            <w:gridSpan w:val="4"/>
            <w:shd w:val="clear" w:color="auto" w:fill="E5E5E5"/>
          </w:tcPr>
          <w:p>
            <w:pPr>
              <w:ind w:left="420"/>
              <w:spacing w:after="0"/>
              <w:rPr>
                <w:sz w:val="20"/>
                <w:szCs w:val="20"/>
                <w:color w:val="auto"/>
              </w:rPr>
            </w:pPr>
            <w:r>
              <w:rPr>
                <w:rFonts w:ascii="Arial" w:cs="Arial" w:eastAsia="Arial" w:hAnsi="Arial"/>
                <w:sz w:val="18"/>
                <w:szCs w:val="18"/>
                <w:color w:val="auto"/>
                <w:w w:val="89"/>
              </w:rPr>
              <w:t>Mark to market adjustments on derivative component of prepaid forward sale agreement</w:t>
            </w:r>
          </w:p>
        </w:tc>
        <w:tc>
          <w:tcPr>
            <w:tcW w:w="10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50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w:t>
            </w:r>
          </w:p>
        </w:tc>
        <w:tc>
          <w:tcPr>
            <w:tcW w:w="6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Gain (loss) on fair value hedging relationships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62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Nondesignated</w:t>
            </w:r>
          </w:p>
        </w:tc>
        <w:tc>
          <w:tcPr>
            <w:tcW w:w="28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Investment Income (Expense):</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4"/>
            <w:shd w:val="clear" w:color="auto" w:fill="E5E5E5"/>
          </w:tcPr>
          <w:p>
            <w:pPr>
              <w:ind w:left="420"/>
              <w:spacing w:after="0"/>
              <w:rPr>
                <w:sz w:val="20"/>
                <w:szCs w:val="20"/>
                <w:color w:val="auto"/>
              </w:rPr>
            </w:pPr>
            <w:r>
              <w:rPr>
                <w:rFonts w:ascii="Arial" w:cs="Arial" w:eastAsia="Arial" w:hAnsi="Arial"/>
                <w:sz w:val="18"/>
                <w:szCs w:val="18"/>
                <w:color w:val="auto"/>
                <w:w w:val="94"/>
              </w:rPr>
              <w:t>Unrealized gains (losses) on securities underlying prepaid forward sale agreements</w:t>
            </w:r>
          </w:p>
        </w:tc>
        <w:tc>
          <w:tcPr>
            <w:tcW w:w="1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(126)</w:t>
            </w:r>
          </w:p>
        </w:tc>
        <w:tc>
          <w:tcPr>
            <w:tcW w:w="5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309</w:t>
            </w:r>
          </w:p>
        </w:tc>
        <w:tc>
          <w:tcPr>
            <w:tcW w:w="1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215</w:t>
            </w:r>
          </w:p>
        </w:tc>
        <w:tc>
          <w:tcPr>
            <w:tcW w:w="6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4"/>
          </w:tcPr>
          <w:p>
            <w:pPr>
              <w:ind w:left="420"/>
              <w:spacing w:after="0"/>
              <w:rPr>
                <w:sz w:val="20"/>
                <w:szCs w:val="20"/>
                <w:color w:val="auto"/>
              </w:rPr>
            </w:pPr>
            <w:r>
              <w:rPr>
                <w:rFonts w:ascii="Arial" w:cs="Arial" w:eastAsia="Arial" w:hAnsi="Arial"/>
                <w:sz w:val="18"/>
                <w:szCs w:val="18"/>
                <w:color w:val="auto"/>
                <w:w w:val="88"/>
              </w:rPr>
              <w:t>Mark to market adjustments on derivative component of prepaid forward sale agreements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127</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0"/>
              </w:rPr>
              <w:t>(281)</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(139)</w:t>
            </w:r>
          </w:p>
        </w:tc>
        <w:tc>
          <w:tcPr>
            <w:tcW w:w="6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auto"/>
            </w:tcBorders>
            <w:gridSpan w:val="2"/>
            <w:shd w:val="clear" w:color="auto" w:fill="E5E5E5"/>
          </w:tcPr>
          <w:p>
            <w:pPr>
              <w:ind w:left="420"/>
              <w:spacing w:after="0"/>
              <w:rPr>
                <w:sz w:val="20"/>
                <w:szCs w:val="20"/>
                <w:color w:val="auto"/>
              </w:rPr>
            </w:pPr>
            <w:r>
              <w:rPr>
                <w:rFonts w:ascii="Arial" w:cs="Arial" w:eastAsia="Arial" w:hAnsi="Arial"/>
                <w:sz w:val="18"/>
                <w:szCs w:val="18"/>
                <w:color w:val="auto"/>
                <w:w w:val="96"/>
              </w:rPr>
              <w:t>Mark to market adjustments on derivative component of ZONES</w:t>
            </w:r>
          </w:p>
        </w:tc>
        <w:tc>
          <w:tcPr>
            <w:tcW w:w="28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6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5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 gain (loss)</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26</w:t>
            </w: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w:t>
            </w:r>
          </w:p>
        </w:tc>
        <w:tc>
          <w:tcPr>
            <w:tcW w:w="6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difference between variable and fixed rates received under the terms of our interest rate swap agreements reduced interest expense by approximately $33 million and $65 million during the three and six months ended June 30, 2010, respectively. These amounts during the three and six months ended June 30, 2009 were approximately $25 million and $48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Noncontrolling Interests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Certain of our subsidiaries that we consolidate are not wholly owned. Some of the agreements with the minority partners of these subsidiaries contain redemption features whereby interests held by the minority partners are redeemable either (i) at the option of the holder or (ii) upon the occurrence of an event that is not solely within our control. If interests were to be redeemed under these agreements, we would generally be required to purchase the interest at fair value on the date of redemption. These interests are presented on the balance sheet outside of</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equity under the caption “Redeemable noncontrolling interests.” Noncontrolling interests that do not contain such redemption features are presented in equity.</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2010, we acquired all of the noncontrolling interest of one of our technology ventures, which had a carrying value of approximately $20 million, for approximately $9 million. The difference between the amount paid and the carrying value of the noncontrolling interest resulted in an increase of approximately $11 million to additional paid-in capital of Comcast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changes in equity resulting from net income attributable to Comcast Corporation and transfers to or from noncontrolling interests.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160" w:type="dxa"/>
            <w:vAlign w:val="bottom"/>
            <w:gridSpan w:val="2"/>
          </w:tcPr>
          <w:p>
            <w:pPr>
              <w:ind w:left="640"/>
              <w:spacing w:after="0"/>
              <w:rPr>
                <w:sz w:val="20"/>
                <w:szCs w:val="20"/>
                <w:color w:val="auto"/>
              </w:rPr>
            </w:pPr>
            <w:r>
              <w:rPr>
                <w:rFonts w:ascii="Arial" w:cs="Arial" w:eastAsia="Arial" w:hAnsi="Arial"/>
                <w:sz w:val="14"/>
                <w:szCs w:val="14"/>
                <w:color w:val="auto"/>
              </w:rPr>
              <w:t>Six Months Ended</w:t>
            </w:r>
          </w:p>
        </w:tc>
        <w:tc>
          <w:tcPr>
            <w:tcW w:w="1540" w:type="dxa"/>
            <w:vAlign w:val="bottom"/>
            <w:gridSpan w:val="3"/>
          </w:tcPr>
          <w:p>
            <w:pPr>
              <w:ind w:left="520"/>
              <w:spacing w:after="0"/>
              <w:rPr>
                <w:sz w:val="20"/>
                <w:szCs w:val="20"/>
                <w:color w:val="auto"/>
              </w:rPr>
            </w:pPr>
            <w:r>
              <w:rPr>
                <w:rFonts w:ascii="Arial" w:cs="Arial" w:eastAsia="Arial" w:hAnsi="Arial"/>
                <w:sz w:val="14"/>
                <w:szCs w:val="14"/>
                <w:color w:val="auto"/>
                <w:w w:val="87"/>
              </w:rPr>
              <w:t>Six Months Ended</w:t>
            </w:r>
          </w:p>
        </w:tc>
        <w:tc>
          <w:tcPr>
            <w:tcW w:w="0" w:type="dxa"/>
            <w:vAlign w:val="bottom"/>
          </w:tcPr>
          <w:p>
            <w:pPr>
              <w:spacing w:after="0"/>
              <w:rPr>
                <w:sz w:val="1"/>
                <w:szCs w:val="1"/>
                <w:color w:val="auto"/>
              </w:rPr>
            </w:pPr>
          </w:p>
        </w:tc>
      </w:tr>
      <w:tr>
        <w:trPr>
          <w:trHeight w:val="159"/>
        </w:trPr>
        <w:tc>
          <w:tcPr>
            <w:tcW w:w="77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3"/>
                <w:szCs w:val="13"/>
                <w:color w:val="auto"/>
              </w:rPr>
            </w:pPr>
          </w:p>
        </w:tc>
        <w:tc>
          <w:tcPr>
            <w:tcW w:w="1420" w:type="dxa"/>
            <w:vAlign w:val="bottom"/>
          </w:tcPr>
          <w:p>
            <w:pPr>
              <w:jc w:val="right"/>
              <w:ind w:right="557"/>
              <w:spacing w:after="0" w:line="159" w:lineRule="exact"/>
              <w:rPr>
                <w:sz w:val="20"/>
                <w:szCs w:val="20"/>
                <w:color w:val="auto"/>
              </w:rPr>
            </w:pPr>
            <w:r>
              <w:rPr>
                <w:rFonts w:ascii="Arial" w:cs="Arial" w:eastAsia="Arial" w:hAnsi="Arial"/>
                <w:sz w:val="14"/>
                <w:szCs w:val="14"/>
                <w:color w:val="auto"/>
                <w:w w:val="85"/>
              </w:rPr>
              <w:t>June 30, 2010</w:t>
            </w:r>
          </w:p>
        </w:tc>
        <w:tc>
          <w:tcPr>
            <w:tcW w:w="6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85"/>
              </w:rPr>
              <w:t>June 30,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attributable to Comcast Corporation</w:t>
            </w:r>
          </w:p>
        </w:tc>
        <w:tc>
          <w:tcPr>
            <w:tcW w:w="740" w:type="dxa"/>
            <w:vAlign w:val="bottom"/>
            <w:tcBorders>
              <w:top w:val="single" w:sz="8" w:color="auto"/>
            </w:tcBorders>
            <w:shd w:val="clear" w:color="auto" w:fill="E5E5E5"/>
          </w:tcPr>
          <w:p>
            <w:pPr>
              <w:ind w:left="64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E5E5E5"/>
          </w:tcPr>
          <w:p>
            <w:pPr>
              <w:jc w:val="right"/>
              <w:ind w:right="417"/>
              <w:spacing w:after="0"/>
              <w:rPr>
                <w:sz w:val="20"/>
                <w:szCs w:val="20"/>
                <w:color w:val="auto"/>
              </w:rPr>
            </w:pPr>
            <w:r>
              <w:rPr>
                <w:rFonts w:ascii="Arial" w:cs="Arial" w:eastAsia="Arial" w:hAnsi="Arial"/>
                <w:sz w:val="18"/>
                <w:szCs w:val="18"/>
                <w:color w:val="auto"/>
              </w:rPr>
              <w:t>1,750</w:t>
            </w:r>
          </w:p>
        </w:tc>
        <w:tc>
          <w:tcPr>
            <w:tcW w:w="620" w:type="dxa"/>
            <w:vAlign w:val="bottom"/>
            <w:tcBorders>
              <w:top w:val="single" w:sz="8" w:color="auto"/>
            </w:tcBorders>
            <w:shd w:val="clear" w:color="auto" w:fill="E5E5E5"/>
          </w:tcPr>
          <w:p>
            <w:pPr>
              <w:ind w:left="50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Transfers from (to) noncontrolling interests:</w:t>
            </w:r>
          </w:p>
        </w:tc>
        <w:tc>
          <w:tcPr>
            <w:tcW w:w="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Increase in Comcast Corporation additional paid-in capital resulting from the purchase of</w:t>
            </w:r>
          </w:p>
        </w:tc>
        <w:tc>
          <w:tcPr>
            <w:tcW w:w="740" w:type="dxa"/>
            <w:vAlign w:val="bottom"/>
            <w:shd w:val="clear" w:color="auto" w:fill="E5E5E5"/>
          </w:tcPr>
          <w:p>
            <w:pPr>
              <w:spacing w:after="0"/>
              <w:rPr>
                <w:sz w:val="18"/>
                <w:szCs w:val="18"/>
                <w:color w:val="auto"/>
              </w:rPr>
            </w:pPr>
          </w:p>
        </w:tc>
        <w:tc>
          <w:tcPr>
            <w:tcW w:w="14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auto"/>
            </w:tcBorders>
            <w:shd w:val="clear" w:color="auto" w:fill="E5E5E5"/>
          </w:tcPr>
          <w:p>
            <w:pPr>
              <w:ind w:left="640"/>
              <w:spacing w:after="0"/>
              <w:rPr>
                <w:sz w:val="20"/>
                <w:szCs w:val="20"/>
                <w:color w:val="auto"/>
              </w:rPr>
            </w:pPr>
            <w:r>
              <w:rPr>
                <w:rFonts w:ascii="Arial" w:cs="Arial" w:eastAsia="Arial" w:hAnsi="Arial"/>
                <w:sz w:val="18"/>
                <w:szCs w:val="18"/>
                <w:color w:val="auto"/>
              </w:rPr>
              <w:t>noncontrolling interest</w:t>
            </w:r>
          </w:p>
        </w:tc>
        <w:tc>
          <w:tcPr>
            <w:tcW w:w="740" w:type="dxa"/>
            <w:vAlign w:val="bottom"/>
            <w:tcBorders>
              <w:bottom w:val="single" w:sz="8" w:color="auto"/>
            </w:tcBorders>
            <w:shd w:val="clear" w:color="auto" w:fill="E5E5E5"/>
          </w:tcPr>
          <w:p>
            <w:pPr>
              <w:spacing w:after="0"/>
              <w:rPr>
                <w:sz w:val="19"/>
                <w:szCs w:val="19"/>
                <w:color w:val="auto"/>
              </w:rPr>
            </w:pPr>
          </w:p>
        </w:tc>
        <w:tc>
          <w:tcPr>
            <w:tcW w:w="1420" w:type="dxa"/>
            <w:vAlign w:val="bottom"/>
            <w:tcBorders>
              <w:bottom w:val="single" w:sz="8" w:color="auto"/>
            </w:tcBorders>
            <w:shd w:val="clear" w:color="auto" w:fill="E5E5E5"/>
          </w:tcPr>
          <w:p>
            <w:pPr>
              <w:jc w:val="right"/>
              <w:ind w:right="417"/>
              <w:spacing w:after="0"/>
              <w:rPr>
                <w:sz w:val="20"/>
                <w:szCs w:val="20"/>
                <w:color w:val="auto"/>
              </w:rPr>
            </w:pPr>
            <w:r>
              <w:rPr>
                <w:rFonts w:ascii="Arial" w:cs="Arial" w:eastAsia="Arial" w:hAnsi="Arial"/>
                <w:sz w:val="18"/>
                <w:szCs w:val="18"/>
                <w:color w:val="auto"/>
              </w:rPr>
              <w:t>11</w:t>
            </w:r>
          </w:p>
        </w:tc>
        <w:tc>
          <w:tcPr>
            <w:tcW w:w="620" w:type="dxa"/>
            <w:vAlign w:val="bottom"/>
            <w:tcBorders>
              <w:bottom w:val="single" w:sz="8" w:color="auto"/>
            </w:tcBorders>
            <w:shd w:val="clear" w:color="auto" w:fill="E5E5E5"/>
          </w:tcPr>
          <w:p>
            <w:pPr>
              <w:spacing w:after="0"/>
              <w:rPr>
                <w:sz w:val="19"/>
                <w:szCs w:val="19"/>
                <w:color w:val="auto"/>
              </w:rPr>
            </w:pP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20" w:type="dxa"/>
            <w:vAlign w:val="bottom"/>
          </w:tcPr>
          <w:p>
            <w:pPr>
              <w:spacing w:after="0" w:line="202" w:lineRule="exact"/>
              <w:rPr>
                <w:sz w:val="20"/>
                <w:szCs w:val="20"/>
                <w:color w:val="auto"/>
              </w:rPr>
            </w:pPr>
            <w:r>
              <w:rPr>
                <w:rFonts w:ascii="Arial" w:cs="Arial" w:eastAsia="Arial" w:hAnsi="Arial"/>
                <w:sz w:val="18"/>
                <w:szCs w:val="18"/>
                <w:color w:val="auto"/>
                <w:w w:val="96"/>
              </w:rPr>
              <w:t>Changes from net income attributable to Comcast Corporation and transfers from (to) noncontrolling</w:t>
            </w:r>
          </w:p>
        </w:tc>
        <w:tc>
          <w:tcPr>
            <w:tcW w:w="740" w:type="dxa"/>
            <w:vAlign w:val="bottom"/>
            <w:vMerge w:val="restart"/>
          </w:tcPr>
          <w:p>
            <w:pPr>
              <w:ind w:left="640"/>
              <w:spacing w:after="0"/>
              <w:rPr>
                <w:sz w:val="20"/>
                <w:szCs w:val="20"/>
                <w:color w:val="auto"/>
              </w:rPr>
            </w:pPr>
            <w:r>
              <w:rPr>
                <w:rFonts w:ascii="Arial" w:cs="Arial" w:eastAsia="Arial" w:hAnsi="Arial"/>
                <w:sz w:val="18"/>
                <w:szCs w:val="18"/>
                <w:b w:val="1"/>
                <w:bCs w:val="1"/>
                <w:color w:val="auto"/>
                <w:w w:val="79"/>
              </w:rPr>
              <w:t>$</w:t>
            </w:r>
          </w:p>
        </w:tc>
        <w:tc>
          <w:tcPr>
            <w:tcW w:w="1420" w:type="dxa"/>
            <w:vAlign w:val="bottom"/>
            <w:vMerge w:val="restart"/>
          </w:tcPr>
          <w:p>
            <w:pPr>
              <w:jc w:val="right"/>
              <w:ind w:right="417"/>
              <w:spacing w:after="0"/>
              <w:rPr>
                <w:sz w:val="20"/>
                <w:szCs w:val="20"/>
                <w:color w:val="auto"/>
              </w:rPr>
            </w:pPr>
            <w:r>
              <w:rPr>
                <w:rFonts w:ascii="Arial" w:cs="Arial" w:eastAsia="Arial" w:hAnsi="Arial"/>
                <w:sz w:val="18"/>
                <w:szCs w:val="18"/>
                <w:b w:val="1"/>
                <w:bCs w:val="1"/>
                <w:color w:val="auto"/>
              </w:rPr>
              <w:t>1,761</w:t>
            </w:r>
          </w:p>
        </w:tc>
        <w:tc>
          <w:tcPr>
            <w:tcW w:w="620" w:type="dxa"/>
            <w:vAlign w:val="bottom"/>
            <w:vMerge w:val="restart"/>
          </w:tcPr>
          <w:p>
            <w:pPr>
              <w:ind w:left="500"/>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1,769</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interests</w:t>
            </w:r>
          </w:p>
        </w:tc>
        <w:tc>
          <w:tcPr>
            <w:tcW w:w="740" w:type="dxa"/>
            <w:vAlign w:val="bottom"/>
            <w:tcBorders>
              <w:bottom w:val="single" w:sz="8" w:color="auto"/>
            </w:tcBorders>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Equity</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Share-Based Compensation</w:t>
      </w:r>
    </w:p>
    <w:p>
      <w:pPr>
        <w:spacing w:after="0" w:line="82"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Our Board of Directors may grant share-based awards, in the form of stock options and RSUs, to certain employees and directors. Additionally, through our employee stock purchase plan, employees are able to purchase shares of Comcast Class A common stock at a discount through payroll deductions.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2010, we granted 30.9 million stock options and 8.4 million RSUs related to our annual management grant program. The fair values associated with these grants were $5.11 per stock option and $16.87 per RSU.</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80" w:type="dxa"/>
            <w:vAlign w:val="bottom"/>
            <w:gridSpan w:val="3"/>
          </w:tcPr>
          <w:p>
            <w:pPr>
              <w:jc w:val="right"/>
              <w:ind w:right="476"/>
              <w:spacing w:after="0"/>
              <w:rPr>
                <w:sz w:val="20"/>
                <w:szCs w:val="20"/>
                <w:color w:val="auto"/>
              </w:rPr>
            </w:pPr>
            <w:r>
              <w:rPr>
                <w:rFonts w:ascii="Arial" w:cs="Arial" w:eastAsia="Arial" w:hAnsi="Arial"/>
                <w:sz w:val="14"/>
                <w:szCs w:val="14"/>
                <w:color w:val="auto"/>
                <w:w w:val="99"/>
              </w:rPr>
              <w:t>Three Months Ended</w:t>
            </w:r>
          </w:p>
        </w:tc>
        <w:tc>
          <w:tcPr>
            <w:tcW w:w="420" w:type="dxa"/>
            <w:vAlign w:val="bottom"/>
          </w:tcPr>
          <w:p>
            <w:pPr>
              <w:spacing w:after="0"/>
              <w:rPr>
                <w:sz w:val="14"/>
                <w:szCs w:val="14"/>
                <w:color w:val="auto"/>
              </w:rPr>
            </w:pPr>
          </w:p>
        </w:tc>
        <w:tc>
          <w:tcPr>
            <w:tcW w:w="1600" w:type="dxa"/>
            <w:vAlign w:val="bottom"/>
            <w:gridSpan w:val="4"/>
          </w:tcPr>
          <w:p>
            <w:pPr>
              <w:ind w:left="24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68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7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39"/>
              <w:spacing w:after="0" w:line="159" w:lineRule="exact"/>
              <w:rPr>
                <w:sz w:val="20"/>
                <w:szCs w:val="20"/>
                <w:color w:val="auto"/>
              </w:rPr>
            </w:pPr>
            <w:r>
              <w:rPr>
                <w:rFonts w:ascii="Arial" w:cs="Arial" w:eastAsia="Arial" w:hAnsi="Arial"/>
                <w:sz w:val="14"/>
                <w:szCs w:val="14"/>
                <w:color w:val="auto"/>
                <w:w w:val="88"/>
              </w:rPr>
              <w:t>June 30</w:t>
            </w:r>
          </w:p>
        </w:tc>
        <w:tc>
          <w:tcPr>
            <w:tcW w:w="7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39"/>
              <w:spacing w:after="0" w:line="159" w:lineRule="exact"/>
              <w:rPr>
                <w:sz w:val="20"/>
                <w:szCs w:val="20"/>
                <w:color w:val="auto"/>
              </w:rPr>
            </w:pPr>
            <w:r>
              <w:rPr>
                <w:rFonts w:ascii="Arial" w:cs="Arial" w:eastAsia="Arial" w:hAnsi="Arial"/>
                <w:sz w:val="14"/>
                <w:szCs w:val="14"/>
                <w:color w:val="auto"/>
                <w:w w:val="88"/>
              </w:rPr>
              <w:t>June 30</w:t>
            </w:r>
          </w:p>
        </w:tc>
        <w:tc>
          <w:tcPr>
            <w:tcW w:w="4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jc w:val="right"/>
              <w:ind w:right="99"/>
              <w:spacing w:after="0" w:line="142" w:lineRule="exact"/>
              <w:rPr>
                <w:sz w:val="20"/>
                <w:szCs w:val="20"/>
                <w:color w:val="auto"/>
              </w:rPr>
            </w:pPr>
            <w:r>
              <w:rPr>
                <w:rFonts w:ascii="Arial" w:cs="Arial" w:eastAsia="Arial" w:hAnsi="Arial"/>
                <w:sz w:val="14"/>
                <w:szCs w:val="14"/>
                <w:color w:val="auto"/>
                <w:w w:val="89"/>
              </w:rPr>
              <w:t>2010</w:t>
            </w:r>
          </w:p>
        </w:tc>
        <w:tc>
          <w:tcPr>
            <w:tcW w:w="680" w:type="dxa"/>
            <w:vAlign w:val="bottom"/>
          </w:tcPr>
          <w:p>
            <w:pPr>
              <w:spacing w:after="0"/>
              <w:rPr>
                <w:sz w:val="12"/>
                <w:szCs w:val="12"/>
                <w:color w:val="auto"/>
              </w:rPr>
            </w:pPr>
          </w:p>
        </w:tc>
        <w:tc>
          <w:tcPr>
            <w:tcW w:w="720" w:type="dxa"/>
            <w:vAlign w:val="bottom"/>
          </w:tcPr>
          <w:p>
            <w:pPr>
              <w:jc w:val="right"/>
              <w:ind w:right="356"/>
              <w:spacing w:after="0" w:line="142" w:lineRule="exact"/>
              <w:rPr>
                <w:sz w:val="20"/>
                <w:szCs w:val="20"/>
                <w:color w:val="auto"/>
              </w:rPr>
            </w:pPr>
            <w:r>
              <w:rPr>
                <w:rFonts w:ascii="Arial" w:cs="Arial" w:eastAsia="Arial" w:hAnsi="Arial"/>
                <w:sz w:val="14"/>
                <w:szCs w:val="14"/>
                <w:color w:val="auto"/>
                <w:w w:val="83"/>
              </w:rPr>
              <w:t>2009</w:t>
            </w:r>
          </w:p>
        </w:tc>
        <w:tc>
          <w:tcPr>
            <w:tcW w:w="420" w:type="dxa"/>
            <w:vAlign w:val="bottom"/>
          </w:tcPr>
          <w:p>
            <w:pPr>
              <w:spacing w:after="0"/>
              <w:rPr>
                <w:sz w:val="12"/>
                <w:szCs w:val="12"/>
                <w:color w:val="auto"/>
              </w:rPr>
            </w:pPr>
          </w:p>
        </w:tc>
        <w:tc>
          <w:tcPr>
            <w:tcW w:w="480" w:type="dxa"/>
            <w:vAlign w:val="bottom"/>
          </w:tcPr>
          <w:p>
            <w:pPr>
              <w:jc w:val="right"/>
              <w:ind w:right="99"/>
              <w:spacing w:after="0" w:line="142" w:lineRule="exact"/>
              <w:rPr>
                <w:sz w:val="20"/>
                <w:szCs w:val="20"/>
                <w:color w:val="auto"/>
              </w:rPr>
            </w:pPr>
            <w:r>
              <w:rPr>
                <w:rFonts w:ascii="Arial" w:cs="Arial" w:eastAsia="Arial" w:hAnsi="Arial"/>
                <w:sz w:val="14"/>
                <w:szCs w:val="14"/>
                <w:color w:val="auto"/>
                <w:w w:val="89"/>
              </w:rPr>
              <w:t>2010</w:t>
            </w:r>
          </w:p>
        </w:tc>
        <w:tc>
          <w:tcPr>
            <w:tcW w:w="680" w:type="dxa"/>
            <w:vAlign w:val="bottom"/>
          </w:tcPr>
          <w:p>
            <w:pPr>
              <w:spacing w:after="0"/>
              <w:rPr>
                <w:sz w:val="12"/>
                <w:szCs w:val="12"/>
                <w:color w:val="auto"/>
              </w:rPr>
            </w:pPr>
          </w:p>
        </w:tc>
        <w:tc>
          <w:tcPr>
            <w:tcW w:w="420" w:type="dxa"/>
            <w:vAlign w:val="bottom"/>
          </w:tcPr>
          <w:p>
            <w:pPr>
              <w:jc w:val="right"/>
              <w:ind w:right="56"/>
              <w:spacing w:after="0" w:line="142" w:lineRule="exact"/>
              <w:rPr>
                <w:sz w:val="20"/>
                <w:szCs w:val="20"/>
                <w:color w:val="auto"/>
              </w:rPr>
            </w:pPr>
            <w:r>
              <w:rPr>
                <w:rFonts w:ascii="Arial" w:cs="Arial" w:eastAsia="Arial" w:hAnsi="Arial"/>
                <w:sz w:val="14"/>
                <w:szCs w:val="14"/>
                <w:color w:val="auto"/>
                <w:w w:val="83"/>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Stock options</w:t>
            </w:r>
          </w:p>
        </w:tc>
        <w:tc>
          <w:tcPr>
            <w:tcW w:w="7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25</w:t>
            </w:r>
          </w:p>
        </w:tc>
        <w:tc>
          <w:tcPr>
            <w:tcW w:w="6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216"/>
              <w:spacing w:after="0"/>
              <w:rPr>
                <w:sz w:val="20"/>
                <w:szCs w:val="20"/>
                <w:color w:val="auto"/>
              </w:rPr>
            </w:pPr>
            <w:r>
              <w:rPr>
                <w:rFonts w:ascii="Arial" w:cs="Arial" w:eastAsia="Arial" w:hAnsi="Arial"/>
                <w:sz w:val="18"/>
                <w:szCs w:val="18"/>
                <w:color w:val="auto"/>
              </w:rPr>
              <w:t>28</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53</w:t>
            </w:r>
          </w:p>
        </w:tc>
        <w:tc>
          <w:tcPr>
            <w:tcW w:w="6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Restricted share units</w:t>
            </w:r>
          </w:p>
        </w:tc>
        <w:tc>
          <w:tcPr>
            <w:tcW w:w="7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680" w:type="dxa"/>
            <w:vAlign w:val="bottom"/>
          </w:tcPr>
          <w:p>
            <w:pPr>
              <w:spacing w:after="0"/>
              <w:rPr>
                <w:sz w:val="18"/>
                <w:szCs w:val="18"/>
                <w:color w:val="auto"/>
              </w:rPr>
            </w:pPr>
          </w:p>
        </w:tc>
        <w:tc>
          <w:tcPr>
            <w:tcW w:w="720" w:type="dxa"/>
            <w:vAlign w:val="bottom"/>
          </w:tcPr>
          <w:p>
            <w:pPr>
              <w:jc w:val="right"/>
              <w:ind w:right="216"/>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w:t>
            </w:r>
          </w:p>
        </w:tc>
        <w:tc>
          <w:tcPr>
            <w:tcW w:w="6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w:t>
            </w:r>
          </w:p>
        </w:tc>
        <w:tc>
          <w:tcPr>
            <w:tcW w:w="7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6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16"/>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w:t>
            </w:r>
          </w:p>
        </w:tc>
        <w:tc>
          <w:tcPr>
            <w:tcW w:w="68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57</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of June 30, 2010, there was $396 million and $387 million of unrecognized pretax compensation cost related to nonvested stock options and nonvested RSUs, respectively.</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employee cost associated with participation in the employee stock purchase plan was satisfied with payroll deductions of approximately $11 million and $26 million for the three and six months ended June 30, 2010, respectively. For the three and six months ended June 30, 2009, the employee cost was $10 million and $27 million, respectively.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35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w w:val="85"/>
              </w:rPr>
              <w:t>June 30,</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00" w:type="dxa"/>
            <w:vAlign w:val="bottom"/>
            <w:gridSpan w:val="2"/>
            <w:vMerge w:val="continue"/>
          </w:tcPr>
          <w:p>
            <w:pPr>
              <w:spacing w:after="0"/>
              <w:rPr>
                <w:sz w:val="12"/>
                <w:szCs w:val="12"/>
                <w:color w:val="auto"/>
              </w:rPr>
            </w:pPr>
          </w:p>
        </w:tc>
        <w:tc>
          <w:tcPr>
            <w:tcW w:w="3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jc w:val="right"/>
              <w:ind w:right="156"/>
              <w:spacing w:after="0" w:line="142" w:lineRule="exact"/>
              <w:rPr>
                <w:sz w:val="20"/>
                <w:szCs w:val="20"/>
                <w:color w:val="auto"/>
              </w:rPr>
            </w:pPr>
            <w:r>
              <w:rPr>
                <w:rFonts w:ascii="Arial" w:cs="Arial" w:eastAsia="Arial" w:hAnsi="Arial"/>
                <w:sz w:val="14"/>
                <w:szCs w:val="14"/>
                <w:color w:val="auto"/>
                <w:w w:val="89"/>
              </w:rPr>
              <w:t>2010</w:t>
            </w:r>
          </w:p>
        </w:tc>
        <w:tc>
          <w:tcPr>
            <w:tcW w:w="740" w:type="dxa"/>
            <w:vAlign w:val="bottom"/>
          </w:tcPr>
          <w:p>
            <w:pPr>
              <w:spacing w:after="0"/>
              <w:rPr>
                <w:sz w:val="12"/>
                <w:szCs w:val="12"/>
                <w:color w:val="auto"/>
              </w:rPr>
            </w:pPr>
          </w:p>
        </w:tc>
        <w:tc>
          <w:tcPr>
            <w:tcW w:w="540" w:type="dxa"/>
            <w:vAlign w:val="bottom"/>
          </w:tcPr>
          <w:p>
            <w:pPr>
              <w:jc w:val="right"/>
              <w:ind w:right="156"/>
              <w:spacing w:after="0" w:line="142" w:lineRule="exact"/>
              <w:rPr>
                <w:sz w:val="20"/>
                <w:szCs w:val="20"/>
                <w:color w:val="auto"/>
              </w:rPr>
            </w:pPr>
            <w:r>
              <w:rPr>
                <w:rFonts w:ascii="Arial" w:cs="Arial" w:eastAsia="Arial" w:hAnsi="Arial"/>
                <w:sz w:val="14"/>
                <w:szCs w:val="14"/>
                <w:color w:val="auto"/>
                <w:w w:val="89"/>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Unrealized gains (losses) on marketable securities</w:t>
            </w:r>
          </w:p>
        </w:tc>
        <w:tc>
          <w:tcPr>
            <w:tcW w:w="4300" w:type="dxa"/>
            <w:vAlign w:val="bottom"/>
            <w:tcBorders>
              <w:top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color w:val="auto"/>
              </w:rPr>
              <w:t>22</w:t>
            </w:r>
          </w:p>
        </w:tc>
        <w:tc>
          <w:tcPr>
            <w:tcW w:w="7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Deferred gains (losses) on cash flow hedges</w:t>
            </w:r>
          </w:p>
        </w:tc>
        <w:tc>
          <w:tcPr>
            <w:tcW w:w="3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w:t>
            </w: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E5E5E5"/>
          </w:tcPr>
          <w:p>
            <w:pPr>
              <w:spacing w:after="0"/>
              <w:rPr>
                <w:sz w:val="20"/>
                <w:szCs w:val="20"/>
                <w:color w:val="auto"/>
              </w:rPr>
            </w:pPr>
            <w:r>
              <w:rPr>
                <w:rFonts w:ascii="Arial" w:cs="Arial" w:eastAsia="Arial" w:hAnsi="Arial"/>
                <w:sz w:val="18"/>
                <w:szCs w:val="18"/>
                <w:color w:val="auto"/>
              </w:rPr>
              <w:t>Unrealized gains (losses) on employee benefit obligations</w:t>
            </w:r>
          </w:p>
        </w:tc>
        <w:tc>
          <w:tcPr>
            <w:tcW w:w="35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w:t>
            </w:r>
          </w:p>
        </w:tc>
        <w:tc>
          <w:tcPr>
            <w:tcW w:w="74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3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7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3"/>
              </w:rPr>
              <w:t>Accumulated other comprehensive income (loss), net of deferred taxes</w:t>
            </w:r>
          </w:p>
        </w:tc>
        <w:tc>
          <w:tcPr>
            <w:tcW w:w="4300" w:type="dxa"/>
            <w:vAlign w:val="bottom"/>
            <w:tcBorders>
              <w:bottom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(86)</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560" w:type="dxa"/>
            <w:vAlign w:val="bottom"/>
          </w:tcPr>
          <w:p>
            <w:pPr>
              <w:jc w:val="right"/>
              <w:ind w:right="2952"/>
              <w:spacing w:after="0"/>
              <w:rPr>
                <w:sz w:val="20"/>
                <w:szCs w:val="20"/>
                <w:color w:val="auto"/>
              </w:rPr>
            </w:pPr>
            <w:r>
              <w:rPr>
                <w:rFonts w:ascii="Arial" w:cs="Arial" w:eastAsia="Arial" w:hAnsi="Arial"/>
                <w:sz w:val="18"/>
                <w:szCs w:val="18"/>
                <w:color w:val="auto"/>
              </w:rPr>
              <w:t>12</w:t>
            </w: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Deferred losses on cash flow hedges in the table above relate primarily to interest rate lock agreements and interest rate collars. As of June 30, 2010, we expect $16 million of unrealized losses, $10 million net of deferred taxes, to be reclassified as an adjustment to interest expense over the next 12 months.</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Statement of Cash Flows—Supplemental Information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adjustments to reconcile net income from consolidated operations to net cash provided by operating activities.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center"/>
              <w:ind w:right="20"/>
              <w:spacing w:after="0"/>
              <w:rPr>
                <w:sz w:val="20"/>
                <w:szCs w:val="20"/>
                <w:color w:val="auto"/>
              </w:rPr>
            </w:pPr>
            <w:r>
              <w:rPr>
                <w:rFonts w:ascii="Arial" w:cs="Arial" w:eastAsia="Arial" w:hAnsi="Arial"/>
                <w:sz w:val="14"/>
                <w:szCs w:val="14"/>
                <w:color w:val="auto"/>
                <w:w w:val="87"/>
              </w:rPr>
              <w:t>Six Months Ended</w:t>
            </w:r>
          </w:p>
        </w:tc>
        <w:tc>
          <w:tcPr>
            <w:tcW w:w="0" w:type="dxa"/>
            <w:vAlign w:val="bottom"/>
          </w:tcPr>
          <w:p>
            <w:pPr>
              <w:spacing w:after="0"/>
              <w:rPr>
                <w:sz w:val="1"/>
                <w:szCs w:val="1"/>
                <w:color w:val="auto"/>
              </w:rPr>
            </w:pPr>
          </w:p>
        </w:tc>
      </w:tr>
      <w:tr>
        <w:trPr>
          <w:trHeight w:val="159"/>
        </w:trPr>
        <w:tc>
          <w:tcPr>
            <w:tcW w:w="788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3"/>
          </w:tcPr>
          <w:p>
            <w:pPr>
              <w:jc w:val="center"/>
              <w:ind w:right="20"/>
              <w:spacing w:after="0" w:line="159" w:lineRule="exact"/>
              <w:rPr>
                <w:sz w:val="20"/>
                <w:szCs w:val="20"/>
                <w:color w:val="auto"/>
              </w:rPr>
            </w:pPr>
            <w:r>
              <w:rPr>
                <w:rFonts w:ascii="Arial" w:cs="Arial" w:eastAsia="Arial" w:hAnsi="Arial"/>
                <w:sz w:val="14"/>
                <w:szCs w:val="14"/>
                <w:color w:val="auto"/>
                <w:w w:val="80"/>
              </w:rPr>
              <w:t>June 30</w:t>
            </w:r>
          </w:p>
        </w:tc>
        <w:tc>
          <w:tcPr>
            <w:tcW w:w="0" w:type="dxa"/>
            <w:vAlign w:val="bottom"/>
          </w:tcPr>
          <w:p>
            <w:pPr>
              <w:spacing w:after="0"/>
              <w:rPr>
                <w:sz w:val="1"/>
                <w:szCs w:val="1"/>
                <w:color w:val="auto"/>
              </w:rPr>
            </w:pPr>
          </w:p>
        </w:tc>
      </w:tr>
      <w:tr>
        <w:trPr>
          <w:trHeight w:val="142"/>
        </w:trPr>
        <w:tc>
          <w:tcPr>
            <w:tcW w:w="78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78"/>
              <w:spacing w:after="0" w:line="142" w:lineRule="exact"/>
              <w:rPr>
                <w:sz w:val="20"/>
                <w:szCs w:val="20"/>
                <w:color w:val="auto"/>
              </w:rPr>
            </w:pPr>
            <w:r>
              <w:rPr>
                <w:rFonts w:ascii="Arial" w:cs="Arial" w:eastAsia="Arial" w:hAnsi="Arial"/>
                <w:sz w:val="14"/>
                <w:szCs w:val="14"/>
                <w:color w:val="auto"/>
              </w:rPr>
              <w:t>2010</w:t>
            </w:r>
          </w:p>
        </w:tc>
        <w:tc>
          <w:tcPr>
            <w:tcW w:w="96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Net income from consolidated operations</w:t>
            </w:r>
          </w:p>
        </w:tc>
        <w:tc>
          <w:tcPr>
            <w:tcW w:w="20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880" w:type="dxa"/>
            <w:vAlign w:val="bottom"/>
            <w:tcBorders>
              <w:top w:val="single" w:sz="8" w:color="auto"/>
            </w:tcBorders>
            <w:shd w:val="clear" w:color="auto" w:fill="E5E5E5"/>
          </w:tcPr>
          <w:p>
            <w:pPr>
              <w:jc w:val="right"/>
              <w:ind w:right="138"/>
              <w:spacing w:after="0"/>
              <w:rPr>
                <w:sz w:val="20"/>
                <w:szCs w:val="20"/>
                <w:color w:val="auto"/>
              </w:rPr>
            </w:pPr>
            <w:r>
              <w:rPr>
                <w:rFonts w:ascii="Arial" w:cs="Arial" w:eastAsia="Arial" w:hAnsi="Arial"/>
                <w:sz w:val="18"/>
                <w:szCs w:val="18"/>
                <w:color w:val="auto"/>
              </w:rPr>
              <w:t>$ 1,765</w:t>
            </w:r>
          </w:p>
        </w:tc>
        <w:tc>
          <w:tcPr>
            <w:tcW w:w="960" w:type="dxa"/>
            <w:vAlign w:val="bottom"/>
            <w:tcBorders>
              <w:top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$ 1,734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w w:val="89"/>
              </w:rPr>
              <w:t>Adjustments to reconcile net income from consolidated operations to net cash provided by operating activities:</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2,790</w:t>
            </w:r>
          </w:p>
        </w:tc>
        <w:tc>
          <w:tcPr>
            <w:tcW w:w="9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2,786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42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138"/>
              <w:spacing w:after="0"/>
              <w:rPr>
                <w:sz w:val="20"/>
                <w:szCs w:val="20"/>
                <w:color w:val="auto"/>
              </w:rPr>
            </w:pPr>
            <w:r>
              <w:rPr>
                <w:rFonts w:ascii="Arial" w:cs="Arial" w:eastAsia="Arial" w:hAnsi="Arial"/>
                <w:sz w:val="18"/>
                <w:szCs w:val="18"/>
                <w:color w:val="auto"/>
              </w:rPr>
              <w:t>499</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153</w:t>
            </w:r>
          </w:p>
        </w:tc>
        <w:tc>
          <w:tcPr>
            <w:tcW w:w="9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420"/>
              <w:spacing w:after="0"/>
              <w:rPr>
                <w:sz w:val="20"/>
                <w:szCs w:val="20"/>
                <w:color w:val="auto"/>
              </w:rPr>
            </w:pPr>
            <w:r>
              <w:rPr>
                <w:rFonts w:ascii="Arial" w:cs="Arial" w:eastAsia="Arial" w:hAnsi="Arial"/>
                <w:sz w:val="18"/>
                <w:szCs w:val="18"/>
                <w:color w:val="auto"/>
              </w:rPr>
              <w:t>Noncash interest expense (income), net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138"/>
              <w:spacing w:after="0"/>
              <w:rPr>
                <w:sz w:val="20"/>
                <w:szCs w:val="20"/>
                <w:color w:val="auto"/>
              </w:rPr>
            </w:pPr>
            <w:r>
              <w:rPr>
                <w:rFonts w:ascii="Arial" w:cs="Arial" w:eastAsia="Arial" w:hAnsi="Arial"/>
                <w:sz w:val="18"/>
                <w:szCs w:val="18"/>
                <w:color w:val="auto"/>
              </w:rPr>
              <w:t>69</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affiliates, net</w:t>
            </w:r>
          </w:p>
        </w:tc>
        <w:tc>
          <w:tcPr>
            <w:tcW w:w="2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58</w:t>
            </w:r>
          </w:p>
        </w:tc>
        <w:tc>
          <w:tcPr>
            <w:tcW w:w="9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420"/>
              <w:spacing w:after="0"/>
              <w:rPr>
                <w:sz w:val="20"/>
                <w:szCs w:val="20"/>
                <w:color w:val="auto"/>
              </w:rPr>
            </w:pPr>
            <w:r>
              <w:rPr>
                <w:rFonts w:ascii="Arial" w:cs="Arial" w:eastAsia="Arial" w:hAnsi="Arial"/>
                <w:sz w:val="18"/>
                <w:szCs w:val="18"/>
                <w:color w:val="auto"/>
              </w:rPr>
              <w:t>(Gains) losses on investments and noncash other (income) expense, net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78"/>
              <w:spacing w:after="0"/>
              <w:rPr>
                <w:sz w:val="20"/>
                <w:szCs w:val="20"/>
                <w:color w:val="auto"/>
              </w:rPr>
            </w:pPr>
            <w:r>
              <w:rPr>
                <w:rFonts w:ascii="Arial" w:cs="Arial" w:eastAsia="Arial" w:hAnsi="Arial"/>
                <w:sz w:val="18"/>
                <w:szCs w:val="18"/>
                <w:color w:val="auto"/>
              </w:rPr>
              <w:t>(11)</w:t>
            </w: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78"/>
              <w:spacing w:after="0"/>
              <w:rPr>
                <w:sz w:val="20"/>
                <w:szCs w:val="20"/>
                <w:color w:val="auto"/>
              </w:rPr>
            </w:pPr>
            <w:r>
              <w:rPr>
                <w:rFonts w:ascii="Arial" w:cs="Arial" w:eastAsia="Arial" w:hAnsi="Arial"/>
                <w:sz w:val="18"/>
                <w:szCs w:val="18"/>
                <w:color w:val="auto"/>
              </w:rPr>
              <w:t>(25)</w:t>
            </w:r>
          </w:p>
        </w:tc>
        <w:tc>
          <w:tcPr>
            <w:tcW w:w="9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Change in accounts receivable, net</w:t>
            </w:r>
          </w:p>
        </w:tc>
        <w:tc>
          <w:tcPr>
            <w:tcW w:w="2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78"/>
              <w:spacing w:after="0"/>
              <w:rPr>
                <w:sz w:val="20"/>
                <w:szCs w:val="20"/>
                <w:color w:val="auto"/>
              </w:rPr>
            </w:pPr>
            <w:r>
              <w:rPr>
                <w:rFonts w:ascii="Arial" w:cs="Arial" w:eastAsia="Arial" w:hAnsi="Arial"/>
                <w:sz w:val="18"/>
                <w:szCs w:val="18"/>
                <w:color w:val="auto"/>
              </w:rPr>
              <w:t>(121)</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42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138"/>
              <w:spacing w:after="0"/>
              <w:rPr>
                <w:sz w:val="20"/>
                <w:szCs w:val="20"/>
                <w:color w:val="auto"/>
              </w:rPr>
            </w:pPr>
            <w:r>
              <w:rPr>
                <w:rFonts w:ascii="Arial" w:cs="Arial" w:eastAsia="Arial" w:hAnsi="Arial"/>
                <w:sz w:val="18"/>
                <w:szCs w:val="18"/>
                <w:color w:val="auto"/>
              </w:rPr>
              <w:t>2</w:t>
            </w:r>
          </w:p>
        </w:tc>
        <w:tc>
          <w:tcPr>
            <w:tcW w:w="96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Borders>
              <w:bottom w:val="single" w:sz="8" w:color="auto"/>
            </w:tcBorders>
            <w:gridSpan w:val="2"/>
            <w:shd w:val="clear" w:color="auto" w:fill="E5E5E5"/>
          </w:tcPr>
          <w:p>
            <w:pPr>
              <w:ind w:left="420"/>
              <w:spacing w:after="0"/>
              <w:rPr>
                <w:sz w:val="20"/>
                <w:szCs w:val="20"/>
                <w:color w:val="auto"/>
              </w:rPr>
            </w:pPr>
            <w:r>
              <w:rPr>
                <w:rFonts w:ascii="Arial" w:cs="Arial" w:eastAsia="Arial" w:hAnsi="Arial"/>
                <w:sz w:val="18"/>
                <w:szCs w:val="18"/>
                <w:color w:val="auto"/>
              </w:rPr>
              <w:t>Change in other operating assets and liabilities</w:t>
            </w:r>
          </w:p>
        </w:tc>
        <w:tc>
          <w:tcPr>
            <w:tcW w:w="20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32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138"/>
              <w:spacing w:after="0"/>
              <w:rPr>
                <w:sz w:val="20"/>
                <w:szCs w:val="20"/>
                <w:color w:val="auto"/>
              </w:rPr>
            </w:pPr>
            <w:r>
              <w:rPr>
                <w:rFonts w:ascii="Arial" w:cs="Arial" w:eastAsia="Arial" w:hAnsi="Arial"/>
                <w:sz w:val="18"/>
                <w:szCs w:val="18"/>
                <w:color w:val="auto"/>
              </w:rPr>
              <w:t>153</w:t>
            </w: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b w:val="1"/>
                <w:bCs w:val="1"/>
                <w:color w:val="auto"/>
              </w:rPr>
              <w:t>$ 5,332</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$ 5,113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7860" w:type="dxa"/>
            <w:vAlign w:val="bottom"/>
            <w:gridSpan w:val="2"/>
          </w:tcPr>
          <w:p>
            <w:pPr>
              <w:ind w:left="3780"/>
              <w:spacing w:after="0"/>
              <w:rPr>
                <w:sz w:val="20"/>
                <w:szCs w:val="20"/>
                <w:color w:val="auto"/>
              </w:rPr>
            </w:pPr>
            <w:r>
              <w:rPr>
                <w:rFonts w:ascii="Arial" w:cs="Arial" w:eastAsia="Arial" w:hAnsi="Arial"/>
                <w:sz w:val="18"/>
                <w:szCs w:val="18"/>
                <w:b w:val="1"/>
                <w:bCs w:val="1"/>
                <w:color w:val="auto"/>
              </w:rPr>
              <w:t>Cash Payments for Interest and Income Taxes</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4"/>
          </w:tcPr>
          <w:p>
            <w:pPr>
              <w:jc w:val="right"/>
              <w:ind w:right="300"/>
              <w:spacing w:after="0"/>
              <w:rPr>
                <w:sz w:val="20"/>
                <w:szCs w:val="20"/>
                <w:color w:val="auto"/>
              </w:rPr>
            </w:pPr>
            <w:r>
              <w:rPr>
                <w:rFonts w:ascii="Arial" w:cs="Arial" w:eastAsia="Arial" w:hAnsi="Arial"/>
                <w:sz w:val="14"/>
                <w:szCs w:val="14"/>
                <w:color w:val="auto"/>
                <w:w w:val="90"/>
              </w:rPr>
              <w:t>Three Months Ended</w:t>
            </w:r>
          </w:p>
        </w:tc>
        <w:tc>
          <w:tcPr>
            <w:tcW w:w="1860" w:type="dxa"/>
            <w:vAlign w:val="bottom"/>
            <w:gridSpan w:val="3"/>
          </w:tcPr>
          <w:p>
            <w:pPr>
              <w:jc w:val="center"/>
              <w:ind w:left="218"/>
              <w:spacing w:after="0"/>
              <w:rPr>
                <w:sz w:val="20"/>
                <w:szCs w:val="20"/>
                <w:color w:val="auto"/>
              </w:rPr>
            </w:pPr>
            <w:r>
              <w:rPr>
                <w:rFonts w:ascii="Arial" w:cs="Arial" w:eastAsia="Arial" w:hAnsi="Arial"/>
                <w:sz w:val="14"/>
                <w:szCs w:val="14"/>
                <w:color w:val="auto"/>
                <w:w w:val="87"/>
              </w:rPr>
              <w:t>Six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jc w:val="right"/>
              <w:ind w:right="39"/>
              <w:spacing w:after="0" w:line="159" w:lineRule="exact"/>
              <w:rPr>
                <w:sz w:val="20"/>
                <w:szCs w:val="20"/>
                <w:color w:val="auto"/>
              </w:rPr>
            </w:pPr>
            <w:r>
              <w:rPr>
                <w:rFonts w:ascii="Arial" w:cs="Arial" w:eastAsia="Arial" w:hAnsi="Arial"/>
                <w:sz w:val="14"/>
                <w:szCs w:val="14"/>
                <w:color w:val="auto"/>
                <w:w w:val="80"/>
              </w:rPr>
              <w:t>June 30</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gridSpan w:val="2"/>
          </w:tcPr>
          <w:p>
            <w:pPr>
              <w:jc w:val="center"/>
              <w:ind w:right="560"/>
              <w:spacing w:after="0" w:line="159" w:lineRule="exact"/>
              <w:rPr>
                <w:sz w:val="20"/>
                <w:szCs w:val="20"/>
                <w:color w:val="auto"/>
              </w:rPr>
            </w:pPr>
            <w:r>
              <w:rPr>
                <w:rFonts w:ascii="Arial" w:cs="Arial" w:eastAsia="Arial" w:hAnsi="Arial"/>
                <w:sz w:val="14"/>
                <w:szCs w:val="14"/>
                <w:color w:val="auto"/>
                <w:w w:val="84"/>
              </w:rPr>
              <w:t>June 30</w:t>
            </w:r>
          </w:p>
        </w:tc>
        <w:tc>
          <w:tcPr>
            <w:tcW w:w="0" w:type="dxa"/>
            <w:vAlign w:val="bottom"/>
          </w:tcPr>
          <w:p>
            <w:pPr>
              <w:spacing w:after="0"/>
              <w:rPr>
                <w:sz w:val="1"/>
                <w:szCs w:val="1"/>
                <w:color w:val="auto"/>
              </w:rPr>
            </w:pPr>
          </w:p>
        </w:tc>
      </w:tr>
      <w:tr>
        <w:trPr>
          <w:trHeight w:val="142"/>
        </w:trPr>
        <w:tc>
          <w:tcPr>
            <w:tcW w:w="754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3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color w:val="auto"/>
                <w:w w:val="83"/>
              </w:rPr>
              <w:t>2010</w:t>
            </w:r>
          </w:p>
        </w:tc>
        <w:tc>
          <w:tcPr>
            <w:tcW w:w="5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color w:val="auto"/>
                <w:w w:val="89"/>
              </w:rPr>
              <w:t>2009</w:t>
            </w:r>
          </w:p>
        </w:tc>
        <w:tc>
          <w:tcPr>
            <w:tcW w:w="880" w:type="dxa"/>
            <w:vAlign w:val="bottom"/>
            <w:tcBorders>
              <w:top w:val="single" w:sz="8" w:color="auto"/>
            </w:tcBorders>
          </w:tcPr>
          <w:p>
            <w:pPr>
              <w:jc w:val="center"/>
              <w:ind w:left="238"/>
              <w:spacing w:after="0" w:line="142" w:lineRule="exact"/>
              <w:rPr>
                <w:sz w:val="20"/>
                <w:szCs w:val="20"/>
                <w:color w:val="auto"/>
              </w:rPr>
            </w:pPr>
            <w:r>
              <w:rPr>
                <w:rFonts w:ascii="Arial" w:cs="Arial" w:eastAsia="Arial" w:hAnsi="Arial"/>
                <w:sz w:val="14"/>
                <w:szCs w:val="14"/>
                <w:color w:val="auto"/>
                <w:w w:val="89"/>
              </w:rPr>
              <w:t>2010</w:t>
            </w:r>
          </w:p>
        </w:tc>
        <w:tc>
          <w:tcPr>
            <w:tcW w:w="960" w:type="dxa"/>
            <w:vAlign w:val="bottom"/>
            <w:tcBorders>
              <w:top w:val="single" w:sz="8" w:color="auto"/>
            </w:tcBorders>
          </w:tcPr>
          <w:p>
            <w:pPr>
              <w:jc w:val="center"/>
              <w:ind w:left="336"/>
              <w:spacing w:after="0" w:line="142" w:lineRule="exact"/>
              <w:rPr>
                <w:sz w:val="20"/>
                <w:szCs w:val="20"/>
                <w:color w:val="auto"/>
              </w:rPr>
            </w:pPr>
            <w:r>
              <w:rPr>
                <w:rFonts w:ascii="Arial" w:cs="Arial" w:eastAsia="Arial" w:hAnsi="Arial"/>
                <w:sz w:val="14"/>
                <w:szCs w:val="14"/>
                <w:color w:val="auto"/>
                <w:w w:val="83"/>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Interest</w:t>
            </w:r>
          </w:p>
        </w:tc>
        <w:tc>
          <w:tcPr>
            <w:tcW w:w="2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354</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399</w:t>
            </w:r>
          </w:p>
        </w:tc>
        <w:tc>
          <w:tcPr>
            <w:tcW w:w="880" w:type="dxa"/>
            <w:vAlign w:val="bottom"/>
            <w:tcBorders>
              <w:top w:val="single" w:sz="8" w:color="auto"/>
            </w:tcBorders>
            <w:shd w:val="clear" w:color="auto" w:fill="E5E5E5"/>
          </w:tcPr>
          <w:p>
            <w:pPr>
              <w:jc w:val="center"/>
              <w:ind w:left="218"/>
              <w:spacing w:after="0"/>
              <w:rPr>
                <w:sz w:val="20"/>
                <w:szCs w:val="20"/>
                <w:color w:val="auto"/>
              </w:rPr>
            </w:pPr>
            <w:r>
              <w:rPr>
                <w:rFonts w:ascii="Arial" w:cs="Arial" w:eastAsia="Arial" w:hAnsi="Arial"/>
                <w:sz w:val="18"/>
                <w:szCs w:val="18"/>
                <w:color w:val="auto"/>
              </w:rPr>
              <w:t>$  969</w:t>
            </w:r>
          </w:p>
        </w:tc>
        <w:tc>
          <w:tcPr>
            <w:tcW w:w="960" w:type="dxa"/>
            <w:vAlign w:val="bottom"/>
            <w:tcBorders>
              <w:top w:val="single" w:sz="8" w:color="auto"/>
            </w:tcBorders>
            <w:shd w:val="clear" w:color="auto" w:fill="E5E5E5"/>
          </w:tcPr>
          <w:p>
            <w:pPr>
              <w:jc w:val="center"/>
              <w:ind w:left="336"/>
              <w:spacing w:after="0"/>
              <w:rPr>
                <w:sz w:val="20"/>
                <w:szCs w:val="20"/>
                <w:color w:val="auto"/>
              </w:rPr>
            </w:pPr>
            <w:r>
              <w:rPr>
                <w:rFonts w:ascii="Arial" w:cs="Arial" w:eastAsia="Arial" w:hAnsi="Arial"/>
                <w:sz w:val="18"/>
                <w:szCs w:val="18"/>
                <w:color w:val="auto"/>
                <w:w w:val="89"/>
              </w:rPr>
              <w:t>$ 1,063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1,080</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585</w:t>
            </w:r>
          </w:p>
        </w:tc>
        <w:tc>
          <w:tcPr>
            <w:tcW w:w="880" w:type="dxa"/>
            <w:vAlign w:val="bottom"/>
            <w:tcBorders>
              <w:bottom w:val="single" w:sz="8" w:color="auto"/>
            </w:tcBorders>
          </w:tcPr>
          <w:p>
            <w:pPr>
              <w:jc w:val="center"/>
              <w:ind w:left="218"/>
              <w:spacing w:after="0"/>
              <w:rPr>
                <w:sz w:val="20"/>
                <w:szCs w:val="20"/>
                <w:color w:val="auto"/>
              </w:rPr>
            </w:pPr>
            <w:r>
              <w:rPr>
                <w:rFonts w:ascii="Arial" w:cs="Arial" w:eastAsia="Arial" w:hAnsi="Arial"/>
                <w:sz w:val="18"/>
                <w:szCs w:val="18"/>
                <w:color w:val="auto"/>
                <w:w w:val="89"/>
              </w:rPr>
              <w:t>$ 1,126</w:t>
            </w:r>
          </w:p>
        </w:tc>
        <w:tc>
          <w:tcPr>
            <w:tcW w:w="960" w:type="dxa"/>
            <w:vAlign w:val="bottom"/>
            <w:tcBorders>
              <w:bottom w:val="single" w:sz="8" w:color="auto"/>
            </w:tcBorders>
          </w:tcPr>
          <w:p>
            <w:pPr>
              <w:jc w:val="center"/>
              <w:ind w:left="336"/>
              <w:spacing w:after="0"/>
              <w:rPr>
                <w:sz w:val="20"/>
                <w:szCs w:val="20"/>
                <w:color w:val="auto"/>
              </w:rPr>
            </w:pPr>
            <w:r>
              <w:rPr>
                <w:rFonts w:ascii="Arial" w:cs="Arial" w:eastAsia="Arial" w:hAnsi="Arial"/>
                <w:sz w:val="18"/>
                <w:szCs w:val="18"/>
                <w:color w:val="auto"/>
              </w:rPr>
              <w:t>$  746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Financing and Investing Activities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During the six months ended June 30, 2010, we:</w:t>
      </w:r>
    </w:p>
    <w:p>
      <w:pPr>
        <w:spacing w:after="0" w:line="77" w:lineRule="exact"/>
        <w:rPr>
          <w:sz w:val="20"/>
          <w:szCs w:val="20"/>
          <w:color w:val="auto"/>
        </w:rPr>
      </w:pPr>
    </w:p>
    <w:p>
      <w:pPr>
        <w:ind w:left="1020" w:right="1240" w:hanging="215"/>
        <w:spacing w:after="0" w:line="26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recorded a liability of approximately $265 million for a quarterly cash dividend of $0.0945 per common share paid in July 2010, which is a noncash financing activity</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acquired approximately $421 million of property and equipment and software that was accrued but unpaid, which is a noncash investing activity</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Commitments and 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One of our subsidiaries supports debt compliance with respect to obligations of a cable system in which we hold an ownership interest, which expires March 2011. Although there can be no assurance, we believe that this cable system will be able to support its debt compliance requirements on its own and that we will not be required to fund our obligation under this commitment. The total notional amount of our commitment was $410 million as of June 30, 2010, at which time there were no quoted market prices for similar agreements.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Contingencies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Antitrust Cases</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defendants in two purported class actions originally filed in December 2003 in the United States District Courts for the District of Massachusetts and the Eastern District of Pennsylvania. The potential class in the Massachusetts case, which has been transferred to the Eastern District of Pennsylvania, is our customer base in the “Boston Cluster” area, and the potential class in the Pennsylvania case is our customer base in the “Philadelphia and Chicago Clusters,” as those terms are defined in the complaints. In each case, the plaintiffs allege that certain customer exchange transactions with other cable providers resulted in unlawful horizontal market restraints in those areas and seek damages under antitrust statutes, including treble damages.</w:t>
      </w:r>
    </w:p>
    <w:p>
      <w:pPr>
        <w:spacing w:after="0" w:line="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Classes of Philadelphia Cluster and Chicago Cluster customers were certified in May 2007 and October 2007, respectively. In March 2009, as a result of a Third Circuit Court of Appeals decision clarifying the standards for class certification, the order certifying the Philadelphia Cluster class was vacated without prejudice to the plaintiffs filing a new motion. In January 2010, in its decision on the plaintiffs’ new motion, the Eastern District of Pennsylvania certified a class subject to certain limitations. In June 2010, the Third Circuit Court of Appeals granted our petition for an interlocutory appeal from the class certification decision. In March 2010, we moved for summary judgment dismissing all of the plaintiffs’ claims in the Philadelphia Cluster; the summary judgment motion is stayed pending the class certification appeal. The plaintiffs’ claims concerning the other two clusters are stayed pending determination of the Philadelphia Cluster claims.</w:t>
      </w:r>
    </w:p>
    <w:p>
      <w:pPr>
        <w:spacing w:after="0" w:line="5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also are among the defendants in a purported class action filed in the United States District Court for the Central District of California in September 2007. The potential class is comprised of all persons residing in the United States who have subscribed to an expanded basic level of video service provided by one of the defendants. The plaintiffs allege that the defendants who produce video programming have entered into agreements with the defendants who distribute video programming via cable and satellite (including us), which preclude the distributor defendants from reselling channels to customers on an “unbundled” basis in violation of federal antitrust laws. The plaintiffs seek treble damages and injunctive relief requiring each distributor defendant to resell certain channels to its customers on an “unbundled” basis. In October 2009, the Central District of California issued an order dismissing the plaintiffs’ complaint with prejudice. The plaintiffs have appealed that order to the Ninth Circuit Court of Appeals.</w:t>
      </w:r>
    </w:p>
    <w:p>
      <w:pPr>
        <w:spacing w:after="0" w:line="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we are the defendant in twenty-two purported class actions filed in federal district courts throughout the country. All of these actions have been consolidated by the Judicial Panel on Multidistrict Litigation in the United States District Court for the Eastern District of Pennsylvania for pre-trial proceedings. In a consolidated complaint filed in November 2009 on behalf of all plaintiffs in the multi-district litigation, the plaintiffs allege that we improperly “tie” the rental of set-top boxes to the provision of premium cable services in violation of Section 1 of the Sherman Antitrust Act, various state antitrust laws and unfair/deceptive trade practices acts in California, Illinois and Alabama. The plaintiffs also allege a claim for unjust enrichment and seek relief on behalf of a nationwide class of our premium cable customers and on behalf of subclasses consisting of premium cable customers from California, Alabama, Illinois, Pennsylvania and Washington. In January 2010, we moved to compel arbitration of the plaintiffs’ claims for unjust enrichment and violations of the unfair/deceptive trade practices acts of Illinois and Alabama.</w:t>
      </w:r>
    </w:p>
    <w:p>
      <w:pPr>
        <w:spacing w:after="0" w:line="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West Virginia Attorney General also filed a complaint in West Virginia state court in July 2009 alleging that we improperly “tie” the rental of set-top boxes to the provision of premium cable services in violation of the West Virginia Antitrust Act and the West Virginia Consumer Credit and Protection Act. The Attorney General also alleges a claim for unjust enrichment/restitution. We removed the case to the United States District Court for West Virginia, and it was subsequently transferred to the United States District Court for the Eastern District of Pennsylvania and consolidated with the multi-district litigation described above. In March 2010, the Eastern District of Pennsylvania denied the Attorney General’s motion to remand the case back to West Virginia state court. In June 2010, the Attorney General moved to sever and remand the portion of his claims seeking civil penalties and injunctive relief back to West Virginia state court. We filed a brief in opposition to the motion in July 2010.</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ERISA Litigation</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and several of our current officers have been named as defendants in a purported class action lawsuit filed in the United States District Court for the Eastern District of Pennsylvania in February 2008. The potential class comprises participants in our retirement investment (401(k)) plan that invested in the plan’s company stock account. The plaintiffs assert that the defendants breached their fiduciary duties under the Employee Retirement Income Security Act of 1974 (ERISA) in managing the plan by allowing participants to continue to invest in the company stock account during a time in 2007 when we allegedly knew (but had not disclosed) that we would not meet our forecasted results. In July 2010, the parties agreed to settle this action with a payment by us of $5 million and our agreement to take certain action with respect to the administration of the plans.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We are also subject to other legal proceedings and claims that arise in the ordinary course of our business. While the amount of ultimate liability with respect to such actions is not expected to materially affect our financial position, results of operations or cash flows, any litigation resulting from any such legal proceedings or claims could be time consuming, costly and injure our reputation.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believe the claims in each of the actions described above in this item are without merit and intend to defend the actions vigorously. Although we cannot predict the outcome of any of the actions described above or how the final resolution of any such actions would impact our results of operations or cash flows for any one period or our consolidated financial condition, the final disposition of any of the above actions is not expected to have a material adverse effect on our consolidated financial position, but could possibly be material to our consolidated results of operations or cash flows for any one period.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Financial Data by Business Segment</w:t>
      </w:r>
    </w:p>
    <w:p>
      <w:pPr>
        <w:spacing w:after="0" w:line="8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reportable segments consist of our Cable and Programming businesses. In evaluating the profitability of our segments, the components of net income (loss) below operating income (loss) before depreciation and amortization are not separately evaluated by our management. Assets are not allocated to segments for management reporting, although over 95% of our assets relate to the Cable segment. Our financial data by business segment is presented in the table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00" w:type="dxa"/>
            <w:vAlign w:val="bottom"/>
            <w:gridSpan w:val="2"/>
            <w:vMerge w:val="restart"/>
          </w:tcPr>
          <w:p>
            <w:pPr>
              <w:ind w:left="1120"/>
              <w:spacing w:after="0"/>
              <w:rPr>
                <w:sz w:val="20"/>
                <w:szCs w:val="20"/>
                <w:color w:val="auto"/>
              </w:rPr>
            </w:pPr>
            <w:r>
              <w:rPr>
                <w:rFonts w:ascii="Arial" w:cs="Arial" w:eastAsia="Arial" w:hAnsi="Arial"/>
                <w:sz w:val="27"/>
                <w:szCs w:val="27"/>
                <w:color w:val="auto"/>
                <w:vertAlign w:val="subscript"/>
              </w:rPr>
              <w:t>Cable</w:t>
            </w:r>
            <w:r>
              <w:rPr>
                <w:rFonts w:ascii="Arial" w:cs="Arial" w:eastAsia="Arial" w:hAnsi="Arial"/>
                <w:sz w:val="11"/>
                <w:szCs w:val="11"/>
                <w:color w:val="auto"/>
              </w:rPr>
              <w:t>(a)(b)</w:t>
            </w:r>
          </w:p>
        </w:tc>
        <w:tc>
          <w:tcPr>
            <w:tcW w:w="1480" w:type="dxa"/>
            <w:vAlign w:val="bottom"/>
            <w:gridSpan w:val="2"/>
            <w:vMerge w:val="restart"/>
          </w:tcPr>
          <w:p>
            <w:pPr>
              <w:ind w:left="320"/>
              <w:spacing w:after="0"/>
              <w:rPr>
                <w:sz w:val="20"/>
                <w:szCs w:val="20"/>
                <w:color w:val="auto"/>
              </w:rPr>
            </w:pPr>
            <w:r>
              <w:rPr>
                <w:rFonts w:ascii="Arial" w:cs="Arial" w:eastAsia="Arial" w:hAnsi="Arial"/>
                <w:sz w:val="14"/>
                <w:szCs w:val="14"/>
                <w:color w:val="auto"/>
              </w:rPr>
              <w:t>Programming</w:t>
            </w:r>
            <w:r>
              <w:rPr>
                <w:rFonts w:ascii="Arial" w:cs="Arial" w:eastAsia="Arial" w:hAnsi="Arial"/>
                <w:sz w:val="22"/>
                <w:szCs w:val="22"/>
                <w:color w:val="auto"/>
                <w:vertAlign w:val="superscript"/>
              </w:rPr>
              <w:t>(c)</w:t>
            </w:r>
          </w:p>
        </w:tc>
        <w:tc>
          <w:tcPr>
            <w:tcW w:w="1380" w:type="dxa"/>
            <w:vAlign w:val="bottom"/>
            <w:gridSpan w:val="2"/>
          </w:tcPr>
          <w:p>
            <w:pPr>
              <w:ind w:left="260"/>
              <w:spacing w:after="0"/>
              <w:rPr>
                <w:sz w:val="20"/>
                <w:szCs w:val="20"/>
                <w:color w:val="auto"/>
              </w:rPr>
            </w:pPr>
            <w:r>
              <w:rPr>
                <w:rFonts w:ascii="Arial" w:cs="Arial" w:eastAsia="Arial" w:hAnsi="Arial"/>
                <w:sz w:val="14"/>
                <w:szCs w:val="14"/>
                <w:color w:val="auto"/>
              </w:rPr>
              <w:t>Corporate and</w:t>
            </w:r>
          </w:p>
        </w:tc>
        <w:tc>
          <w:tcPr>
            <w:tcW w:w="1460" w:type="dxa"/>
            <w:vAlign w:val="bottom"/>
            <w:gridSpan w:val="2"/>
            <w:vMerge w:val="restart"/>
          </w:tcPr>
          <w:p>
            <w:pPr>
              <w:ind w:left="300"/>
              <w:spacing w:after="0"/>
              <w:rPr>
                <w:sz w:val="20"/>
                <w:szCs w:val="20"/>
                <w:color w:val="auto"/>
              </w:rPr>
            </w:pPr>
            <w:r>
              <w:rPr>
                <w:rFonts w:ascii="Arial" w:cs="Arial" w:eastAsia="Arial" w:hAnsi="Arial"/>
                <w:sz w:val="14"/>
                <w:szCs w:val="14"/>
                <w:color w:val="auto"/>
              </w:rPr>
              <w:t>Eliminations</w:t>
            </w:r>
            <w:r>
              <w:rPr>
                <w:rFonts w:ascii="Arial" w:cs="Arial" w:eastAsia="Arial" w:hAnsi="Arial"/>
                <w:sz w:val="22"/>
                <w:szCs w:val="22"/>
                <w:color w:val="auto"/>
                <w:vertAlign w:val="superscript"/>
              </w:rPr>
              <w:t>(f)</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00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374"/>
              <w:spacing w:after="0" w:line="176" w:lineRule="exact"/>
              <w:rPr>
                <w:sz w:val="20"/>
                <w:szCs w:val="20"/>
                <w:color w:val="auto"/>
              </w:rPr>
            </w:pPr>
            <w:r>
              <w:rPr>
                <w:rFonts w:ascii="Arial" w:cs="Arial" w:eastAsia="Arial" w:hAnsi="Arial"/>
                <w:sz w:val="20"/>
                <w:szCs w:val="20"/>
                <w:color w:val="auto"/>
                <w:w w:val="97"/>
                <w:vertAlign w:val="subscript"/>
              </w:rPr>
              <w:t>Other</w:t>
            </w:r>
            <w:r>
              <w:rPr>
                <w:rFonts w:ascii="Arial" w:cs="Arial" w:eastAsia="Arial" w:hAnsi="Arial"/>
                <w:sz w:val="9"/>
                <w:szCs w:val="9"/>
                <w:color w:val="auto"/>
                <w:w w:val="97"/>
              </w:rPr>
              <w:t>(d)(e)</w:t>
            </w:r>
          </w:p>
        </w:tc>
        <w:tc>
          <w:tcPr>
            <w:tcW w:w="146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Three months ended June 30, 2010</w:t>
            </w:r>
          </w:p>
        </w:tc>
        <w:tc>
          <w:tcPr>
            <w:tcW w:w="120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102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88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Revenue</w:t>
            </w:r>
            <w:r>
              <w:rPr>
                <w:rFonts w:ascii="Arial" w:cs="Arial" w:eastAsia="Arial" w:hAnsi="Arial"/>
                <w:sz w:val="11"/>
                <w:szCs w:val="11"/>
                <w:color w:val="auto"/>
              </w:rPr>
              <w:t>(g)</w:t>
            </w:r>
          </w:p>
        </w:tc>
        <w:tc>
          <w:tcPr>
            <w:tcW w:w="1200" w:type="dxa"/>
            <w:vAlign w:val="bottom"/>
          </w:tcPr>
          <w:p>
            <w:pPr>
              <w:ind w:left="11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8,949</w:t>
            </w:r>
          </w:p>
        </w:tc>
        <w:tc>
          <w:tcPr>
            <w:tcW w:w="680" w:type="dxa"/>
            <w:vAlign w:val="bottom"/>
          </w:tcPr>
          <w:p>
            <w:pPr>
              <w:ind w:left="3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454</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254"/>
              <w:spacing w:after="0"/>
              <w:rPr>
                <w:sz w:val="20"/>
                <w:szCs w:val="20"/>
                <w:color w:val="auto"/>
              </w:rPr>
            </w:pPr>
            <w:r>
              <w:rPr>
                <w:rFonts w:ascii="Arial" w:cs="Arial" w:eastAsia="Arial" w:hAnsi="Arial"/>
                <w:sz w:val="18"/>
                <w:szCs w:val="18"/>
                <w:color w:val="auto"/>
              </w:rPr>
              <w:t>211</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(89)</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9,525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w:t>
            </w:r>
          </w:p>
        </w:tc>
        <w:tc>
          <w:tcPr>
            <w:tcW w:w="12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and amortization</w:t>
            </w:r>
            <w:r>
              <w:rPr>
                <w:rFonts w:ascii="Arial" w:cs="Arial" w:eastAsia="Arial" w:hAnsi="Arial"/>
                <w:sz w:val="11"/>
                <w:szCs w:val="11"/>
                <w:color w:val="auto"/>
              </w:rPr>
              <w:t>(h)</w:t>
            </w:r>
          </w:p>
        </w:tc>
        <w:tc>
          <w:tcPr>
            <w:tcW w:w="120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3,698</w:t>
            </w:r>
          </w:p>
        </w:tc>
        <w:tc>
          <w:tcPr>
            <w:tcW w:w="68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152</w:t>
            </w:r>
          </w:p>
        </w:tc>
        <w:tc>
          <w:tcPr>
            <w:tcW w:w="360" w:type="dxa"/>
            <w:vAlign w:val="bottom"/>
            <w:shd w:val="clear" w:color="auto" w:fill="E5E5E5"/>
          </w:tcPr>
          <w:p>
            <w:pPr>
              <w:spacing w:after="0"/>
              <w:rPr>
                <w:sz w:val="19"/>
                <w:szCs w:val="19"/>
                <w:color w:val="auto"/>
              </w:rPr>
            </w:pPr>
          </w:p>
        </w:tc>
        <w:tc>
          <w:tcPr>
            <w:tcW w:w="10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(112)</w:t>
            </w:r>
          </w:p>
        </w:tc>
        <w:tc>
          <w:tcPr>
            <w:tcW w:w="580" w:type="dxa"/>
            <w:vAlign w:val="bottom"/>
            <w:shd w:val="clear" w:color="auto" w:fill="E5E5E5"/>
          </w:tcPr>
          <w:p>
            <w:pPr>
              <w:spacing w:after="0"/>
              <w:rPr>
                <w:sz w:val="19"/>
                <w:szCs w:val="19"/>
                <w:color w:val="auto"/>
              </w:rPr>
            </w:pPr>
          </w:p>
        </w:tc>
        <w:tc>
          <w:tcPr>
            <w:tcW w:w="8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(1)</w:t>
            </w:r>
          </w:p>
        </w:tc>
        <w:tc>
          <w:tcPr>
            <w:tcW w:w="400" w:type="dxa"/>
            <w:vAlign w:val="bottom"/>
            <w:shd w:val="clear" w:color="auto" w:fill="E5E5E5"/>
          </w:tcPr>
          <w:p>
            <w:pPr>
              <w:spacing w:after="0"/>
              <w:rPr>
                <w:sz w:val="19"/>
                <w:szCs w:val="19"/>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0" w:type="dxa"/>
            <w:vAlign w:val="bottom"/>
          </w:tcPr>
          <w:p>
            <w:pPr>
              <w:spacing w:after="0"/>
              <w:rPr>
                <w:sz w:val="18"/>
                <w:szCs w:val="18"/>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1,589</w:t>
            </w:r>
          </w:p>
        </w:tc>
        <w:tc>
          <w:tcPr>
            <w:tcW w:w="680" w:type="dxa"/>
            <w:vAlign w:val="bottom"/>
          </w:tcPr>
          <w:p>
            <w:pPr>
              <w:spacing w:after="0"/>
              <w:rPr>
                <w:sz w:val="18"/>
                <w:szCs w:val="18"/>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8"/>
                <w:szCs w:val="18"/>
                <w:color w:val="auto"/>
              </w:rPr>
            </w:pPr>
          </w:p>
        </w:tc>
        <w:tc>
          <w:tcPr>
            <w:tcW w:w="1020" w:type="dxa"/>
            <w:vAlign w:val="bottom"/>
          </w:tcPr>
          <w:p>
            <w:pPr>
              <w:jc w:val="right"/>
              <w:ind w:right="254"/>
              <w:spacing w:after="0"/>
              <w:rPr>
                <w:sz w:val="20"/>
                <w:szCs w:val="20"/>
                <w:color w:val="auto"/>
              </w:rPr>
            </w:pPr>
            <w:r>
              <w:rPr>
                <w:rFonts w:ascii="Arial" w:cs="Arial" w:eastAsia="Arial" w:hAnsi="Arial"/>
                <w:sz w:val="18"/>
                <w:szCs w:val="18"/>
                <w:color w:val="auto"/>
              </w:rPr>
              <w:t>28</w:t>
            </w:r>
          </w:p>
        </w:tc>
        <w:tc>
          <w:tcPr>
            <w:tcW w:w="580" w:type="dxa"/>
            <w:vAlign w:val="bottom"/>
          </w:tcPr>
          <w:p>
            <w:pPr>
              <w:spacing w:after="0"/>
              <w:rPr>
                <w:sz w:val="18"/>
                <w:szCs w:val="18"/>
                <w:color w:val="auto"/>
              </w:rPr>
            </w:pP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12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2,109</w:t>
            </w:r>
          </w:p>
        </w:tc>
        <w:tc>
          <w:tcPr>
            <w:tcW w:w="6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103</w:t>
            </w:r>
          </w:p>
        </w:tc>
        <w:tc>
          <w:tcPr>
            <w:tcW w:w="36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(140)</w:t>
            </w: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6</w:t>
            </w: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Capital expenditures</w:t>
            </w:r>
          </w:p>
        </w:tc>
        <w:tc>
          <w:tcPr>
            <w:tcW w:w="1200" w:type="dxa"/>
            <w:vAlign w:val="bottom"/>
          </w:tcPr>
          <w:p>
            <w:pPr>
              <w:spacing w:after="0"/>
              <w:rPr>
                <w:sz w:val="19"/>
                <w:szCs w:val="19"/>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1,120</w:t>
            </w:r>
          </w:p>
        </w:tc>
        <w:tc>
          <w:tcPr>
            <w:tcW w:w="680" w:type="dxa"/>
            <w:vAlign w:val="bottom"/>
          </w:tcPr>
          <w:p>
            <w:pPr>
              <w:spacing w:after="0"/>
              <w:rPr>
                <w:sz w:val="19"/>
                <w:szCs w:val="19"/>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9"/>
                <w:szCs w:val="19"/>
                <w:color w:val="auto"/>
              </w:rPr>
            </w:pPr>
          </w:p>
        </w:tc>
        <w:tc>
          <w:tcPr>
            <w:tcW w:w="1020" w:type="dxa"/>
            <w:vAlign w:val="bottom"/>
          </w:tcPr>
          <w:p>
            <w:pPr>
              <w:jc w:val="right"/>
              <w:ind w:right="254"/>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19"/>
                <w:szCs w:val="19"/>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Three months ended June 30, 2009</w:t>
            </w:r>
          </w:p>
        </w:tc>
        <w:tc>
          <w:tcPr>
            <w:tcW w:w="12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Revenue</w:t>
            </w:r>
            <w:r>
              <w:rPr>
                <w:rFonts w:ascii="Arial" w:cs="Arial" w:eastAsia="Arial" w:hAnsi="Arial"/>
                <w:sz w:val="11"/>
                <w:szCs w:val="11"/>
                <w:color w:val="auto"/>
              </w:rPr>
              <w:t>(g)(i)(j)</w:t>
            </w:r>
          </w:p>
        </w:tc>
        <w:tc>
          <w:tcPr>
            <w:tcW w:w="1200" w:type="dxa"/>
            <w:vAlign w:val="bottom"/>
          </w:tcPr>
          <w:p>
            <w:pPr>
              <w:ind w:left="11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8,518</w:t>
            </w:r>
          </w:p>
        </w:tc>
        <w:tc>
          <w:tcPr>
            <w:tcW w:w="680" w:type="dxa"/>
            <w:vAlign w:val="bottom"/>
          </w:tcPr>
          <w:p>
            <w:pPr>
              <w:ind w:left="3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384</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254"/>
              <w:spacing w:after="0"/>
              <w:rPr>
                <w:sz w:val="20"/>
                <w:szCs w:val="20"/>
                <w:color w:val="auto"/>
              </w:rPr>
            </w:pPr>
            <w:r>
              <w:rPr>
                <w:rFonts w:ascii="Arial" w:cs="Arial" w:eastAsia="Arial" w:hAnsi="Arial"/>
                <w:sz w:val="18"/>
                <w:szCs w:val="18"/>
                <w:color w:val="auto"/>
              </w:rPr>
              <w:t>150</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(74)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8,978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w:t>
            </w:r>
          </w:p>
        </w:tc>
        <w:tc>
          <w:tcPr>
            <w:tcW w:w="12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and amortization</w:t>
            </w:r>
            <w:r>
              <w:rPr>
                <w:rFonts w:ascii="Arial" w:cs="Arial" w:eastAsia="Arial" w:hAnsi="Arial"/>
                <w:sz w:val="11"/>
                <w:szCs w:val="11"/>
                <w:color w:val="auto"/>
              </w:rPr>
              <w:t>(h)(i)</w:t>
            </w:r>
          </w:p>
        </w:tc>
        <w:tc>
          <w:tcPr>
            <w:tcW w:w="120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3,499</w:t>
            </w:r>
          </w:p>
        </w:tc>
        <w:tc>
          <w:tcPr>
            <w:tcW w:w="68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113</w:t>
            </w:r>
          </w:p>
        </w:tc>
        <w:tc>
          <w:tcPr>
            <w:tcW w:w="360" w:type="dxa"/>
            <w:vAlign w:val="bottom"/>
            <w:shd w:val="clear" w:color="auto" w:fill="E5E5E5"/>
          </w:tcPr>
          <w:p>
            <w:pPr>
              <w:spacing w:after="0"/>
              <w:rPr>
                <w:sz w:val="19"/>
                <w:szCs w:val="19"/>
                <w:color w:val="auto"/>
              </w:rPr>
            </w:pPr>
          </w:p>
        </w:tc>
        <w:tc>
          <w:tcPr>
            <w:tcW w:w="10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(78)</w:t>
            </w:r>
          </w:p>
        </w:tc>
        <w:tc>
          <w:tcPr>
            <w:tcW w:w="580" w:type="dxa"/>
            <w:vAlign w:val="bottom"/>
            <w:shd w:val="clear" w:color="auto" w:fill="E5E5E5"/>
          </w:tcPr>
          <w:p>
            <w:pPr>
              <w:spacing w:after="0"/>
              <w:rPr>
                <w:sz w:val="19"/>
                <w:szCs w:val="19"/>
                <w:color w:val="auto"/>
              </w:rPr>
            </w:pPr>
          </w:p>
        </w:tc>
        <w:tc>
          <w:tcPr>
            <w:tcW w:w="88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1</w:t>
            </w:r>
          </w:p>
        </w:tc>
        <w:tc>
          <w:tcPr>
            <w:tcW w:w="400" w:type="dxa"/>
            <w:vAlign w:val="bottom"/>
            <w:shd w:val="clear" w:color="auto" w:fill="E5E5E5"/>
          </w:tcPr>
          <w:p>
            <w:pPr>
              <w:spacing w:after="0"/>
              <w:rPr>
                <w:sz w:val="19"/>
                <w:szCs w:val="19"/>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1"/>
                <w:szCs w:val="11"/>
                <w:color w:val="auto"/>
              </w:rPr>
              <w:t>(i)</w:t>
            </w:r>
          </w:p>
        </w:tc>
        <w:tc>
          <w:tcPr>
            <w:tcW w:w="1200" w:type="dxa"/>
            <w:vAlign w:val="bottom"/>
          </w:tcPr>
          <w:p>
            <w:pPr>
              <w:spacing w:after="0"/>
              <w:rPr>
                <w:sz w:val="18"/>
                <w:szCs w:val="18"/>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1,598</w:t>
            </w:r>
          </w:p>
        </w:tc>
        <w:tc>
          <w:tcPr>
            <w:tcW w:w="680" w:type="dxa"/>
            <w:vAlign w:val="bottom"/>
          </w:tcPr>
          <w:p>
            <w:pPr>
              <w:spacing w:after="0"/>
              <w:rPr>
                <w:sz w:val="18"/>
                <w:szCs w:val="18"/>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18"/>
                <w:szCs w:val="18"/>
                <w:color w:val="auto"/>
              </w:rPr>
            </w:pPr>
          </w:p>
        </w:tc>
        <w:tc>
          <w:tcPr>
            <w:tcW w:w="1020" w:type="dxa"/>
            <w:vAlign w:val="bottom"/>
          </w:tcPr>
          <w:p>
            <w:pPr>
              <w:jc w:val="right"/>
              <w:ind w:right="254"/>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rPr>
                <w:sz w:val="18"/>
                <w:szCs w:val="18"/>
                <w:color w:val="auto"/>
              </w:rPr>
            </w:pP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r>
              <w:rPr>
                <w:rFonts w:ascii="Arial" w:cs="Arial" w:eastAsia="Arial" w:hAnsi="Arial"/>
                <w:sz w:val="11"/>
                <w:szCs w:val="11"/>
                <w:color w:val="auto"/>
              </w:rPr>
              <w:t>(i)</w:t>
            </w:r>
          </w:p>
        </w:tc>
        <w:tc>
          <w:tcPr>
            <w:tcW w:w="12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1,901</w:t>
            </w:r>
          </w:p>
        </w:tc>
        <w:tc>
          <w:tcPr>
            <w:tcW w:w="6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65</w:t>
            </w:r>
          </w:p>
        </w:tc>
        <w:tc>
          <w:tcPr>
            <w:tcW w:w="36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(101)</w:t>
            </w: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10</w:t>
            </w: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Capital expenditures</w:t>
            </w:r>
          </w:p>
        </w:tc>
        <w:tc>
          <w:tcPr>
            <w:tcW w:w="1200" w:type="dxa"/>
            <w:vAlign w:val="bottom"/>
          </w:tcPr>
          <w:p>
            <w:pPr>
              <w:spacing w:after="0"/>
              <w:rPr>
                <w:sz w:val="19"/>
                <w:szCs w:val="19"/>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1,108</w:t>
            </w:r>
          </w:p>
        </w:tc>
        <w:tc>
          <w:tcPr>
            <w:tcW w:w="680" w:type="dxa"/>
            <w:vAlign w:val="bottom"/>
          </w:tcPr>
          <w:p>
            <w:pPr>
              <w:spacing w:after="0"/>
              <w:rPr>
                <w:sz w:val="19"/>
                <w:szCs w:val="19"/>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9"/>
                <w:szCs w:val="19"/>
                <w:color w:val="auto"/>
              </w:rPr>
            </w:pPr>
          </w:p>
        </w:tc>
        <w:tc>
          <w:tcPr>
            <w:tcW w:w="1020" w:type="dxa"/>
            <w:vAlign w:val="bottom"/>
          </w:tcPr>
          <w:p>
            <w:pPr>
              <w:jc w:val="right"/>
              <w:ind w:right="254"/>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19"/>
                <w:szCs w:val="19"/>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Six months ended June 30, 2010</w:t>
            </w:r>
          </w:p>
        </w:tc>
        <w:tc>
          <w:tcPr>
            <w:tcW w:w="12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Revenue</w:t>
            </w:r>
            <w:r>
              <w:rPr>
                <w:rFonts w:ascii="Arial" w:cs="Arial" w:eastAsia="Arial" w:hAnsi="Arial"/>
                <w:sz w:val="11"/>
                <w:szCs w:val="11"/>
                <w:color w:val="auto"/>
              </w:rPr>
              <w:t>(g)</w:t>
            </w:r>
          </w:p>
        </w:tc>
        <w:tc>
          <w:tcPr>
            <w:tcW w:w="1200" w:type="dxa"/>
            <w:vAlign w:val="bottom"/>
          </w:tcPr>
          <w:p>
            <w:pPr>
              <w:ind w:left="11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232"/>
              <w:spacing w:after="0"/>
              <w:rPr>
                <w:sz w:val="20"/>
                <w:szCs w:val="20"/>
                <w:color w:val="auto"/>
              </w:rPr>
            </w:pPr>
            <w:r>
              <w:rPr>
                <w:rFonts w:ascii="Arial" w:cs="Arial" w:eastAsia="Arial" w:hAnsi="Arial"/>
                <w:sz w:val="18"/>
                <w:szCs w:val="18"/>
                <w:color w:val="auto"/>
                <w:w w:val="83"/>
              </w:rPr>
              <w:t>17,626</w:t>
            </w:r>
          </w:p>
        </w:tc>
        <w:tc>
          <w:tcPr>
            <w:tcW w:w="680" w:type="dxa"/>
            <w:vAlign w:val="bottom"/>
          </w:tcPr>
          <w:p>
            <w:pPr>
              <w:ind w:left="3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839</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254"/>
              <w:spacing w:after="0"/>
              <w:rPr>
                <w:sz w:val="20"/>
                <w:szCs w:val="20"/>
                <w:color w:val="auto"/>
              </w:rPr>
            </w:pPr>
            <w:r>
              <w:rPr>
                <w:rFonts w:ascii="Arial" w:cs="Arial" w:eastAsia="Arial" w:hAnsi="Arial"/>
                <w:sz w:val="18"/>
                <w:szCs w:val="18"/>
                <w:color w:val="auto"/>
              </w:rPr>
              <w:t>456</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(194)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18,727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w:t>
            </w:r>
          </w:p>
        </w:tc>
        <w:tc>
          <w:tcPr>
            <w:tcW w:w="12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and amortization</w:t>
            </w:r>
            <w:r>
              <w:rPr>
                <w:rFonts w:ascii="Arial" w:cs="Arial" w:eastAsia="Arial" w:hAnsi="Arial"/>
                <w:sz w:val="11"/>
                <w:szCs w:val="11"/>
                <w:color w:val="auto"/>
              </w:rPr>
              <w:t>(h)</w:t>
            </w:r>
          </w:p>
        </w:tc>
        <w:tc>
          <w:tcPr>
            <w:tcW w:w="120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7,240</w:t>
            </w:r>
          </w:p>
        </w:tc>
        <w:tc>
          <w:tcPr>
            <w:tcW w:w="68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273</w:t>
            </w:r>
          </w:p>
        </w:tc>
        <w:tc>
          <w:tcPr>
            <w:tcW w:w="360" w:type="dxa"/>
            <w:vAlign w:val="bottom"/>
            <w:shd w:val="clear" w:color="auto" w:fill="E5E5E5"/>
          </w:tcPr>
          <w:p>
            <w:pPr>
              <w:spacing w:after="0"/>
              <w:rPr>
                <w:sz w:val="19"/>
                <w:szCs w:val="19"/>
                <w:color w:val="auto"/>
              </w:rPr>
            </w:pPr>
          </w:p>
        </w:tc>
        <w:tc>
          <w:tcPr>
            <w:tcW w:w="10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(211)</w:t>
            </w:r>
          </w:p>
        </w:tc>
        <w:tc>
          <w:tcPr>
            <w:tcW w:w="580" w:type="dxa"/>
            <w:vAlign w:val="bottom"/>
            <w:shd w:val="clear" w:color="auto" w:fill="E5E5E5"/>
          </w:tcPr>
          <w:p>
            <w:pPr>
              <w:spacing w:after="0"/>
              <w:rPr>
                <w:sz w:val="19"/>
                <w:szCs w:val="19"/>
                <w:color w:val="auto"/>
              </w:rPr>
            </w:pPr>
          </w:p>
        </w:tc>
        <w:tc>
          <w:tcPr>
            <w:tcW w:w="88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9"/>
                <w:szCs w:val="19"/>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0" w:type="dxa"/>
            <w:vAlign w:val="bottom"/>
          </w:tcPr>
          <w:p>
            <w:pPr>
              <w:spacing w:after="0"/>
              <w:rPr>
                <w:sz w:val="18"/>
                <w:szCs w:val="18"/>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3,144</w:t>
            </w:r>
          </w:p>
        </w:tc>
        <w:tc>
          <w:tcPr>
            <w:tcW w:w="680" w:type="dxa"/>
            <w:vAlign w:val="bottom"/>
          </w:tcPr>
          <w:p>
            <w:pPr>
              <w:spacing w:after="0"/>
              <w:rPr>
                <w:sz w:val="18"/>
                <w:szCs w:val="18"/>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18"/>
                <w:szCs w:val="18"/>
                <w:color w:val="auto"/>
              </w:rPr>
            </w:pPr>
          </w:p>
        </w:tc>
        <w:tc>
          <w:tcPr>
            <w:tcW w:w="1020" w:type="dxa"/>
            <w:vAlign w:val="bottom"/>
          </w:tcPr>
          <w:p>
            <w:pPr>
              <w:jc w:val="right"/>
              <w:ind w:right="254"/>
              <w:spacing w:after="0"/>
              <w:rPr>
                <w:sz w:val="20"/>
                <w:szCs w:val="20"/>
                <w:color w:val="auto"/>
              </w:rPr>
            </w:pPr>
            <w:r>
              <w:rPr>
                <w:rFonts w:ascii="Arial" w:cs="Arial" w:eastAsia="Arial" w:hAnsi="Arial"/>
                <w:sz w:val="18"/>
                <w:szCs w:val="18"/>
                <w:color w:val="auto"/>
              </w:rPr>
              <w:t>55</w:t>
            </w:r>
          </w:p>
        </w:tc>
        <w:tc>
          <w:tcPr>
            <w:tcW w:w="580" w:type="dxa"/>
            <w:vAlign w:val="bottom"/>
          </w:tcPr>
          <w:p>
            <w:pPr>
              <w:spacing w:after="0"/>
              <w:rPr>
                <w:sz w:val="18"/>
                <w:szCs w:val="18"/>
                <w:color w:val="auto"/>
              </w:rPr>
            </w:pP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12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4,096</w:t>
            </w:r>
          </w:p>
        </w:tc>
        <w:tc>
          <w:tcPr>
            <w:tcW w:w="6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170</w:t>
            </w:r>
          </w:p>
        </w:tc>
        <w:tc>
          <w:tcPr>
            <w:tcW w:w="36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(266)</w:t>
            </w: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13</w:t>
            </w: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Capital expenditures</w:t>
            </w:r>
          </w:p>
        </w:tc>
        <w:tc>
          <w:tcPr>
            <w:tcW w:w="1200" w:type="dxa"/>
            <w:vAlign w:val="bottom"/>
          </w:tcPr>
          <w:p>
            <w:pPr>
              <w:spacing w:after="0"/>
              <w:rPr>
                <w:sz w:val="19"/>
                <w:szCs w:val="19"/>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2,033</w:t>
            </w:r>
          </w:p>
        </w:tc>
        <w:tc>
          <w:tcPr>
            <w:tcW w:w="680" w:type="dxa"/>
            <w:vAlign w:val="bottom"/>
          </w:tcPr>
          <w:p>
            <w:pPr>
              <w:spacing w:after="0"/>
              <w:rPr>
                <w:sz w:val="19"/>
                <w:szCs w:val="19"/>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1020" w:type="dxa"/>
            <w:vAlign w:val="bottom"/>
          </w:tcPr>
          <w:p>
            <w:pPr>
              <w:jc w:val="right"/>
              <w:ind w:right="254"/>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9"/>
                <w:szCs w:val="19"/>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Six months ended June 30, 2009</w:t>
            </w:r>
          </w:p>
        </w:tc>
        <w:tc>
          <w:tcPr>
            <w:tcW w:w="12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Revenue</w:t>
            </w:r>
            <w:r>
              <w:rPr>
                <w:rFonts w:ascii="Arial" w:cs="Arial" w:eastAsia="Arial" w:hAnsi="Arial"/>
                <w:sz w:val="11"/>
                <w:szCs w:val="11"/>
                <w:color w:val="auto"/>
              </w:rPr>
              <w:t>(g)( i )(j)</w:t>
            </w:r>
          </w:p>
        </w:tc>
        <w:tc>
          <w:tcPr>
            <w:tcW w:w="1200" w:type="dxa"/>
            <w:vAlign w:val="bottom"/>
          </w:tcPr>
          <w:p>
            <w:pPr>
              <w:ind w:left="11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232"/>
              <w:spacing w:after="0"/>
              <w:rPr>
                <w:sz w:val="20"/>
                <w:szCs w:val="20"/>
                <w:color w:val="auto"/>
              </w:rPr>
            </w:pPr>
            <w:r>
              <w:rPr>
                <w:rFonts w:ascii="Arial" w:cs="Arial" w:eastAsia="Arial" w:hAnsi="Arial"/>
                <w:sz w:val="18"/>
                <w:szCs w:val="18"/>
                <w:color w:val="auto"/>
                <w:w w:val="83"/>
              </w:rPr>
              <w:t>16,901</w:t>
            </w:r>
          </w:p>
        </w:tc>
        <w:tc>
          <w:tcPr>
            <w:tcW w:w="680" w:type="dxa"/>
            <w:vAlign w:val="bottom"/>
          </w:tcPr>
          <w:p>
            <w:pPr>
              <w:ind w:left="3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745</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254"/>
              <w:spacing w:after="0"/>
              <w:rPr>
                <w:sz w:val="20"/>
                <w:szCs w:val="20"/>
                <w:color w:val="auto"/>
              </w:rPr>
            </w:pPr>
            <w:r>
              <w:rPr>
                <w:rFonts w:ascii="Arial" w:cs="Arial" w:eastAsia="Arial" w:hAnsi="Arial"/>
                <w:sz w:val="18"/>
                <w:szCs w:val="18"/>
                <w:color w:val="auto"/>
              </w:rPr>
              <w:t>356</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(158)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17,844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w:t>
            </w:r>
          </w:p>
        </w:tc>
        <w:tc>
          <w:tcPr>
            <w:tcW w:w="12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and amortization</w:t>
            </w:r>
            <w:r>
              <w:rPr>
                <w:rFonts w:ascii="Arial" w:cs="Arial" w:eastAsia="Arial" w:hAnsi="Arial"/>
                <w:sz w:val="11"/>
                <w:szCs w:val="11"/>
                <w:color w:val="auto"/>
              </w:rPr>
              <w:t>(h)(i)</w:t>
            </w:r>
          </w:p>
        </w:tc>
        <w:tc>
          <w:tcPr>
            <w:tcW w:w="120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6,903</w:t>
            </w:r>
          </w:p>
        </w:tc>
        <w:tc>
          <w:tcPr>
            <w:tcW w:w="68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225</w:t>
            </w:r>
          </w:p>
        </w:tc>
        <w:tc>
          <w:tcPr>
            <w:tcW w:w="360" w:type="dxa"/>
            <w:vAlign w:val="bottom"/>
            <w:shd w:val="clear" w:color="auto" w:fill="E5E5E5"/>
          </w:tcPr>
          <w:p>
            <w:pPr>
              <w:spacing w:after="0"/>
              <w:rPr>
                <w:sz w:val="19"/>
                <w:szCs w:val="19"/>
                <w:color w:val="auto"/>
              </w:rPr>
            </w:pPr>
          </w:p>
        </w:tc>
        <w:tc>
          <w:tcPr>
            <w:tcW w:w="10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(148)</w:t>
            </w:r>
          </w:p>
        </w:tc>
        <w:tc>
          <w:tcPr>
            <w:tcW w:w="580" w:type="dxa"/>
            <w:vAlign w:val="bottom"/>
            <w:shd w:val="clear" w:color="auto" w:fill="E5E5E5"/>
          </w:tcPr>
          <w:p>
            <w:pPr>
              <w:spacing w:after="0"/>
              <w:rPr>
                <w:sz w:val="19"/>
                <w:szCs w:val="19"/>
                <w:color w:val="auto"/>
              </w:rPr>
            </w:pPr>
          </w:p>
        </w:tc>
        <w:tc>
          <w:tcPr>
            <w:tcW w:w="8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(1)</w:t>
            </w:r>
          </w:p>
        </w:tc>
        <w:tc>
          <w:tcPr>
            <w:tcW w:w="400" w:type="dxa"/>
            <w:vAlign w:val="bottom"/>
            <w:shd w:val="clear" w:color="auto" w:fill="E5E5E5"/>
          </w:tcPr>
          <w:p>
            <w:pPr>
              <w:spacing w:after="0"/>
              <w:rPr>
                <w:sz w:val="19"/>
                <w:szCs w:val="19"/>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1"/>
                <w:szCs w:val="11"/>
                <w:color w:val="auto"/>
              </w:rPr>
              <w:t>(i)</w:t>
            </w:r>
          </w:p>
        </w:tc>
        <w:tc>
          <w:tcPr>
            <w:tcW w:w="1200" w:type="dxa"/>
            <w:vAlign w:val="bottom"/>
          </w:tcPr>
          <w:p>
            <w:pPr>
              <w:spacing w:after="0"/>
              <w:rPr>
                <w:sz w:val="18"/>
                <w:szCs w:val="18"/>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3,163</w:t>
            </w:r>
          </w:p>
        </w:tc>
        <w:tc>
          <w:tcPr>
            <w:tcW w:w="680" w:type="dxa"/>
            <w:vAlign w:val="bottom"/>
          </w:tcPr>
          <w:p>
            <w:pPr>
              <w:spacing w:after="0"/>
              <w:rPr>
                <w:sz w:val="18"/>
                <w:szCs w:val="18"/>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97</w:t>
            </w:r>
          </w:p>
        </w:tc>
        <w:tc>
          <w:tcPr>
            <w:tcW w:w="360" w:type="dxa"/>
            <w:vAlign w:val="bottom"/>
          </w:tcPr>
          <w:p>
            <w:pPr>
              <w:spacing w:after="0"/>
              <w:rPr>
                <w:sz w:val="18"/>
                <w:szCs w:val="18"/>
                <w:color w:val="auto"/>
              </w:rPr>
            </w:pPr>
          </w:p>
        </w:tc>
        <w:tc>
          <w:tcPr>
            <w:tcW w:w="1020" w:type="dxa"/>
            <w:vAlign w:val="bottom"/>
          </w:tcPr>
          <w:p>
            <w:pPr>
              <w:jc w:val="right"/>
              <w:ind w:right="254"/>
              <w:spacing w:after="0"/>
              <w:rPr>
                <w:sz w:val="20"/>
                <w:szCs w:val="20"/>
                <w:color w:val="auto"/>
              </w:rPr>
            </w:pPr>
            <w:r>
              <w:rPr>
                <w:rFonts w:ascii="Arial" w:cs="Arial" w:eastAsia="Arial" w:hAnsi="Arial"/>
                <w:sz w:val="18"/>
                <w:szCs w:val="18"/>
                <w:color w:val="auto"/>
              </w:rPr>
              <w:t>50</w:t>
            </w:r>
          </w:p>
        </w:tc>
        <w:tc>
          <w:tcPr>
            <w:tcW w:w="580" w:type="dxa"/>
            <w:vAlign w:val="bottom"/>
          </w:tcPr>
          <w:p>
            <w:pPr>
              <w:spacing w:after="0"/>
              <w:rPr>
                <w:sz w:val="18"/>
                <w:szCs w:val="18"/>
                <w:color w:val="auto"/>
              </w:rPr>
            </w:pP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r>
              <w:rPr>
                <w:rFonts w:ascii="Arial" w:cs="Arial" w:eastAsia="Arial" w:hAnsi="Arial"/>
                <w:sz w:val="11"/>
                <w:szCs w:val="11"/>
                <w:color w:val="auto"/>
              </w:rPr>
              <w:t>(i)</w:t>
            </w:r>
          </w:p>
        </w:tc>
        <w:tc>
          <w:tcPr>
            <w:tcW w:w="12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3,740</w:t>
            </w:r>
          </w:p>
        </w:tc>
        <w:tc>
          <w:tcPr>
            <w:tcW w:w="6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128</w:t>
            </w:r>
          </w:p>
        </w:tc>
        <w:tc>
          <w:tcPr>
            <w:tcW w:w="36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(198)</w:t>
            </w: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16</w:t>
            </w: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3,686</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Capital expenditures</w:t>
            </w:r>
          </w:p>
        </w:tc>
        <w:tc>
          <w:tcPr>
            <w:tcW w:w="1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2,238</w:t>
            </w:r>
          </w:p>
        </w:tc>
        <w:tc>
          <w:tcPr>
            <w:tcW w:w="6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14</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29</w:t>
            </w: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Cable segment revenue was derived from the following services:</w:t>
      </w:r>
    </w:p>
    <w:p>
      <w:pPr>
        <w:spacing w:after="0" w:line="4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280" w:type="dxa"/>
            <w:vAlign w:val="bottom"/>
            <w:gridSpan w:val="2"/>
          </w:tcPr>
          <w:p>
            <w:pPr>
              <w:jc w:val="right"/>
              <w:ind w:right="492"/>
              <w:spacing w:after="0"/>
              <w:rPr>
                <w:sz w:val="20"/>
                <w:szCs w:val="20"/>
                <w:color w:val="auto"/>
              </w:rPr>
            </w:pPr>
            <w:r>
              <w:rPr>
                <w:rFonts w:ascii="Arial" w:cs="Arial" w:eastAsia="Arial" w:hAnsi="Arial"/>
                <w:sz w:val="14"/>
                <w:szCs w:val="14"/>
                <w:color w:val="auto"/>
              </w:rPr>
              <w:t>Three Months Ended</w:t>
            </w:r>
          </w:p>
        </w:tc>
        <w:tc>
          <w:tcPr>
            <w:tcW w:w="1740" w:type="dxa"/>
            <w:vAlign w:val="bottom"/>
            <w:gridSpan w:val="2"/>
          </w:tcPr>
          <w:p>
            <w:pPr>
              <w:jc w:val="right"/>
              <w:ind w:right="292"/>
              <w:spacing w:after="0"/>
              <w:rPr>
                <w:sz w:val="20"/>
                <w:szCs w:val="20"/>
                <w:color w:val="auto"/>
              </w:rPr>
            </w:pPr>
            <w:r>
              <w:rPr>
                <w:rFonts w:ascii="Arial" w:cs="Arial" w:eastAsia="Arial" w:hAnsi="Arial"/>
                <w:sz w:val="14"/>
                <w:szCs w:val="14"/>
                <w:color w:val="auto"/>
              </w:rPr>
              <w:t>Six Months Ended</w:t>
            </w:r>
          </w:p>
        </w:tc>
      </w:tr>
      <w:tr>
        <w:trPr>
          <w:trHeight w:val="173"/>
        </w:trPr>
        <w:tc>
          <w:tcPr>
            <w:tcW w:w="7040" w:type="dxa"/>
            <w:vAlign w:val="bottom"/>
          </w:tcPr>
          <w:p>
            <w:pPr>
              <w:spacing w:after="0"/>
              <w:rPr>
                <w:sz w:val="15"/>
                <w:szCs w:val="15"/>
                <w:color w:val="auto"/>
              </w:rPr>
            </w:pP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June 30</w:t>
            </w:r>
          </w:p>
        </w:tc>
        <w:tc>
          <w:tcPr>
            <w:tcW w:w="8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June 30</w:t>
            </w:r>
          </w:p>
        </w:tc>
        <w:tc>
          <w:tcPr>
            <w:tcW w:w="580" w:type="dxa"/>
            <w:vAlign w:val="bottom"/>
            <w:tcBorders>
              <w:bottom w:val="single" w:sz="8" w:color="auto"/>
            </w:tcBorders>
          </w:tcPr>
          <w:p>
            <w:pPr>
              <w:spacing w:after="0"/>
              <w:rPr>
                <w:sz w:val="15"/>
                <w:szCs w:val="15"/>
                <w:color w:val="auto"/>
              </w:rPr>
            </w:pPr>
          </w:p>
        </w:tc>
      </w:tr>
      <w:tr>
        <w:trPr>
          <w:trHeight w:val="237"/>
        </w:trPr>
        <w:tc>
          <w:tcPr>
            <w:tcW w:w="70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2010</w:t>
            </w: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2009</w:t>
            </w: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rPr>
              <w:t>2010</w:t>
            </w: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2009</w:t>
            </w:r>
          </w:p>
        </w:tc>
      </w:tr>
      <w:tr>
        <w:trPr>
          <w:trHeight w:val="142"/>
        </w:trPr>
        <w:tc>
          <w:tcPr>
            <w:tcW w:w="7040" w:type="dxa"/>
            <w:vAlign w:val="bottom"/>
            <w:shd w:val="clear" w:color="auto" w:fill="E5E5E5"/>
          </w:tcPr>
          <w:p>
            <w:pPr>
              <w:spacing w:after="0" w:line="142" w:lineRule="exact"/>
              <w:rPr>
                <w:sz w:val="20"/>
                <w:szCs w:val="20"/>
                <w:color w:val="auto"/>
              </w:rPr>
            </w:pPr>
            <w:r>
              <w:rPr>
                <w:rFonts w:ascii="Arial" w:cs="Arial" w:eastAsia="Arial" w:hAnsi="Arial"/>
                <w:sz w:val="11"/>
                <w:szCs w:val="11"/>
                <w:color w:val="auto"/>
              </w:rPr>
              <w:t>Video</w:t>
            </w:r>
            <w:r>
              <w:rPr>
                <w:rFonts w:ascii="Arial" w:cs="Arial" w:eastAsia="Arial" w:hAnsi="Arial"/>
                <w:sz w:val="16"/>
                <w:szCs w:val="16"/>
                <w:color w:val="auto"/>
                <w:vertAlign w:val="superscript"/>
              </w:rPr>
              <w:t>(j)</w:t>
            </w:r>
          </w:p>
        </w:tc>
        <w:tc>
          <w:tcPr>
            <w:tcW w:w="1440" w:type="dxa"/>
            <w:vAlign w:val="bottom"/>
            <w:shd w:val="clear" w:color="auto" w:fill="E5E5E5"/>
          </w:tcPr>
          <w:p>
            <w:pPr>
              <w:jc w:val="right"/>
              <w:ind w:right="412"/>
              <w:spacing w:after="0" w:line="142" w:lineRule="exact"/>
              <w:rPr>
                <w:sz w:val="20"/>
                <w:szCs w:val="20"/>
                <w:color w:val="auto"/>
              </w:rPr>
            </w:pPr>
            <w:r>
              <w:rPr>
                <w:rFonts w:ascii="Arial" w:cs="Arial" w:eastAsia="Arial" w:hAnsi="Arial"/>
                <w:sz w:val="14"/>
                <w:szCs w:val="14"/>
                <w:color w:val="auto"/>
              </w:rPr>
              <w:t>54.9%</w:t>
            </w:r>
          </w:p>
        </w:tc>
        <w:tc>
          <w:tcPr>
            <w:tcW w:w="84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57.3%</w:t>
            </w:r>
          </w:p>
        </w:tc>
        <w:tc>
          <w:tcPr>
            <w:tcW w:w="1160" w:type="dxa"/>
            <w:vAlign w:val="bottom"/>
            <w:shd w:val="clear" w:color="auto" w:fill="E5E5E5"/>
          </w:tcPr>
          <w:p>
            <w:pPr>
              <w:jc w:val="right"/>
              <w:ind w:right="392"/>
              <w:spacing w:after="0" w:line="142" w:lineRule="exact"/>
              <w:rPr>
                <w:sz w:val="20"/>
                <w:szCs w:val="20"/>
                <w:color w:val="auto"/>
              </w:rPr>
            </w:pPr>
            <w:r>
              <w:rPr>
                <w:rFonts w:ascii="Arial" w:cs="Arial" w:eastAsia="Arial" w:hAnsi="Arial"/>
                <w:sz w:val="14"/>
                <w:szCs w:val="14"/>
                <w:color w:val="auto"/>
              </w:rPr>
              <w:t>55.4%</w:t>
            </w:r>
          </w:p>
        </w:tc>
        <w:tc>
          <w:tcPr>
            <w:tcW w:w="58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58.1%</w:t>
            </w:r>
          </w:p>
        </w:tc>
      </w:tr>
      <w:tr>
        <w:trPr>
          <w:trHeight w:val="149"/>
        </w:trPr>
        <w:tc>
          <w:tcPr>
            <w:tcW w:w="7040" w:type="dxa"/>
            <w:vAlign w:val="bottom"/>
          </w:tcPr>
          <w:p>
            <w:pPr>
              <w:spacing w:after="0" w:line="149" w:lineRule="exact"/>
              <w:rPr>
                <w:sz w:val="20"/>
                <w:szCs w:val="20"/>
                <w:color w:val="auto"/>
              </w:rPr>
            </w:pPr>
            <w:r>
              <w:rPr>
                <w:rFonts w:ascii="Arial" w:cs="Arial" w:eastAsia="Arial" w:hAnsi="Arial"/>
                <w:sz w:val="14"/>
                <w:szCs w:val="14"/>
                <w:color w:val="auto"/>
              </w:rPr>
              <w:t>High-speed Internet</w:t>
            </w:r>
          </w:p>
        </w:tc>
        <w:tc>
          <w:tcPr>
            <w:tcW w:w="144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23.8%</w:t>
            </w:r>
          </w:p>
        </w:tc>
        <w:tc>
          <w:tcPr>
            <w:tcW w:w="8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22.7%</w:t>
            </w:r>
          </w:p>
        </w:tc>
        <w:tc>
          <w:tcPr>
            <w:tcW w:w="116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23.8%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22.7%</w:t>
            </w:r>
          </w:p>
        </w:tc>
      </w:tr>
      <w:tr>
        <w:trPr>
          <w:trHeight w:val="149"/>
        </w:trPr>
        <w:tc>
          <w:tcPr>
            <w:tcW w:w="70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Phone</w:t>
            </w:r>
          </w:p>
        </w:tc>
        <w:tc>
          <w:tcPr>
            <w:tcW w:w="1440" w:type="dxa"/>
            <w:vAlign w:val="bottom"/>
            <w:shd w:val="clear" w:color="auto" w:fill="E5E5E5"/>
          </w:tcPr>
          <w:p>
            <w:pPr>
              <w:jc w:val="right"/>
              <w:ind w:right="412"/>
              <w:spacing w:after="0" w:line="149" w:lineRule="exact"/>
              <w:rPr>
                <w:sz w:val="20"/>
                <w:szCs w:val="20"/>
                <w:color w:val="auto"/>
              </w:rPr>
            </w:pPr>
            <w:r>
              <w:rPr>
                <w:rFonts w:ascii="Arial" w:cs="Arial" w:eastAsia="Arial" w:hAnsi="Arial"/>
                <w:sz w:val="14"/>
                <w:szCs w:val="14"/>
                <w:color w:val="auto"/>
              </w:rPr>
              <w:t>10.2%</w:t>
            </w:r>
          </w:p>
        </w:tc>
        <w:tc>
          <w:tcPr>
            <w:tcW w:w="84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9.4%</w:t>
            </w:r>
          </w:p>
        </w:tc>
        <w:tc>
          <w:tcPr>
            <w:tcW w:w="1160" w:type="dxa"/>
            <w:vAlign w:val="bottom"/>
            <w:shd w:val="clear" w:color="auto" w:fill="E5E5E5"/>
          </w:tcPr>
          <w:p>
            <w:pPr>
              <w:jc w:val="right"/>
              <w:ind w:right="392"/>
              <w:spacing w:after="0" w:line="149" w:lineRule="exact"/>
              <w:rPr>
                <w:sz w:val="20"/>
                <w:szCs w:val="20"/>
                <w:color w:val="auto"/>
              </w:rPr>
            </w:pPr>
            <w:r>
              <w:rPr>
                <w:rFonts w:ascii="Arial" w:cs="Arial" w:eastAsia="Arial" w:hAnsi="Arial"/>
                <w:sz w:val="14"/>
                <w:szCs w:val="14"/>
                <w:color w:val="auto"/>
              </w:rPr>
              <w:t>10.2%</w:t>
            </w:r>
          </w:p>
        </w:tc>
        <w:tc>
          <w:tcPr>
            <w:tcW w:w="5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9.3%</w:t>
            </w:r>
          </w:p>
        </w:tc>
      </w:tr>
      <w:tr>
        <w:trPr>
          <w:trHeight w:val="149"/>
        </w:trPr>
        <w:tc>
          <w:tcPr>
            <w:tcW w:w="7040" w:type="dxa"/>
            <w:vAlign w:val="bottom"/>
          </w:tcPr>
          <w:p>
            <w:pPr>
              <w:spacing w:after="0" w:line="149" w:lineRule="exact"/>
              <w:rPr>
                <w:sz w:val="20"/>
                <w:szCs w:val="20"/>
                <w:color w:val="auto"/>
              </w:rPr>
            </w:pPr>
            <w:r>
              <w:rPr>
                <w:rFonts w:ascii="Arial" w:cs="Arial" w:eastAsia="Arial" w:hAnsi="Arial"/>
                <w:sz w:val="11"/>
                <w:szCs w:val="11"/>
                <w:color w:val="auto"/>
              </w:rPr>
              <w:t>Advertising</w:t>
            </w:r>
            <w:r>
              <w:rPr>
                <w:rFonts w:ascii="Arial" w:cs="Arial" w:eastAsia="Arial" w:hAnsi="Arial"/>
                <w:sz w:val="17"/>
                <w:szCs w:val="17"/>
                <w:color w:val="auto"/>
                <w:vertAlign w:val="superscript"/>
              </w:rPr>
              <w:t>(j)</w:t>
            </w:r>
          </w:p>
        </w:tc>
        <w:tc>
          <w:tcPr>
            <w:tcW w:w="144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5.0%</w:t>
            </w:r>
          </w:p>
        </w:tc>
        <w:tc>
          <w:tcPr>
            <w:tcW w:w="8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4.3%</w:t>
            </w:r>
          </w:p>
        </w:tc>
        <w:tc>
          <w:tcPr>
            <w:tcW w:w="116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4.6%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r>
      <w:tr>
        <w:trPr>
          <w:trHeight w:val="149"/>
        </w:trPr>
        <w:tc>
          <w:tcPr>
            <w:tcW w:w="70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Franchise fees</w:t>
            </w:r>
          </w:p>
        </w:tc>
        <w:tc>
          <w:tcPr>
            <w:tcW w:w="1440" w:type="dxa"/>
            <w:vAlign w:val="bottom"/>
            <w:shd w:val="clear" w:color="auto" w:fill="E5E5E5"/>
          </w:tcPr>
          <w:p>
            <w:pPr>
              <w:jc w:val="right"/>
              <w:ind w:right="412"/>
              <w:spacing w:after="0" w:line="149" w:lineRule="exact"/>
              <w:rPr>
                <w:sz w:val="20"/>
                <w:szCs w:val="20"/>
                <w:color w:val="auto"/>
              </w:rPr>
            </w:pPr>
            <w:r>
              <w:rPr>
                <w:rFonts w:ascii="Arial" w:cs="Arial" w:eastAsia="Arial" w:hAnsi="Arial"/>
                <w:sz w:val="14"/>
                <w:szCs w:val="14"/>
                <w:color w:val="auto"/>
              </w:rPr>
              <w:t>2.8%</w:t>
            </w:r>
          </w:p>
        </w:tc>
        <w:tc>
          <w:tcPr>
            <w:tcW w:w="84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2.8%</w:t>
            </w:r>
          </w:p>
        </w:tc>
        <w:tc>
          <w:tcPr>
            <w:tcW w:w="1160" w:type="dxa"/>
            <w:vAlign w:val="bottom"/>
            <w:shd w:val="clear" w:color="auto" w:fill="E5E5E5"/>
          </w:tcPr>
          <w:p>
            <w:pPr>
              <w:jc w:val="right"/>
              <w:ind w:right="392"/>
              <w:spacing w:after="0" w:line="149" w:lineRule="exact"/>
              <w:rPr>
                <w:sz w:val="20"/>
                <w:szCs w:val="20"/>
                <w:color w:val="auto"/>
              </w:rPr>
            </w:pPr>
            <w:r>
              <w:rPr>
                <w:rFonts w:ascii="Arial" w:cs="Arial" w:eastAsia="Arial" w:hAnsi="Arial"/>
                <w:sz w:val="14"/>
                <w:szCs w:val="14"/>
                <w:color w:val="auto"/>
              </w:rPr>
              <w:t>2.8%</w:t>
            </w:r>
          </w:p>
        </w:tc>
        <w:tc>
          <w:tcPr>
            <w:tcW w:w="5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2.8%</w:t>
            </w:r>
          </w:p>
        </w:tc>
      </w:tr>
      <w:tr>
        <w:trPr>
          <w:trHeight w:val="149"/>
        </w:trPr>
        <w:tc>
          <w:tcPr>
            <w:tcW w:w="7040" w:type="dxa"/>
            <w:vAlign w:val="bottom"/>
            <w:tcBorders>
              <w:bottom w:val="single" w:sz="8" w:color="auto"/>
            </w:tcBorders>
          </w:tcPr>
          <w:p>
            <w:pPr>
              <w:spacing w:after="0" w:line="149" w:lineRule="exact"/>
              <w:rPr>
                <w:sz w:val="20"/>
                <w:szCs w:val="20"/>
                <w:color w:val="auto"/>
              </w:rPr>
            </w:pPr>
            <w:r>
              <w:rPr>
                <w:rFonts w:ascii="Arial" w:cs="Arial" w:eastAsia="Arial" w:hAnsi="Arial"/>
                <w:sz w:val="11"/>
                <w:szCs w:val="11"/>
                <w:color w:val="auto"/>
              </w:rPr>
              <w:t>Other</w:t>
            </w:r>
            <w:r>
              <w:rPr>
                <w:rFonts w:ascii="Arial" w:cs="Arial" w:eastAsia="Arial" w:hAnsi="Arial"/>
                <w:sz w:val="17"/>
                <w:szCs w:val="17"/>
                <w:color w:val="auto"/>
                <w:vertAlign w:val="superscript"/>
              </w:rPr>
              <w:t>(j)</w:t>
            </w:r>
          </w:p>
        </w:tc>
        <w:tc>
          <w:tcPr>
            <w:tcW w:w="1440" w:type="dxa"/>
            <w:vAlign w:val="bottom"/>
            <w:tcBorders>
              <w:bottom w:val="single" w:sz="8" w:color="auto"/>
            </w:tcBorders>
          </w:tcPr>
          <w:p>
            <w:pPr>
              <w:jc w:val="right"/>
              <w:ind w:right="412"/>
              <w:spacing w:after="0" w:line="149" w:lineRule="exact"/>
              <w:rPr>
                <w:sz w:val="20"/>
                <w:szCs w:val="20"/>
                <w:color w:val="auto"/>
              </w:rPr>
            </w:pPr>
            <w:r>
              <w:rPr>
                <w:rFonts w:ascii="Arial" w:cs="Arial" w:eastAsia="Arial" w:hAnsi="Arial"/>
                <w:sz w:val="14"/>
                <w:szCs w:val="14"/>
                <w:color w:val="auto"/>
              </w:rPr>
              <w:t>3.3%</w:t>
            </w:r>
          </w:p>
        </w:tc>
        <w:tc>
          <w:tcPr>
            <w:tcW w:w="84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3.5%</w:t>
            </w:r>
          </w:p>
        </w:tc>
        <w:tc>
          <w:tcPr>
            <w:tcW w:w="1160" w:type="dxa"/>
            <w:vAlign w:val="bottom"/>
            <w:tcBorders>
              <w:bottom w:val="single" w:sz="8" w:color="auto"/>
            </w:tcBorders>
          </w:tcPr>
          <w:p>
            <w:pPr>
              <w:jc w:val="right"/>
              <w:ind w:right="392"/>
              <w:spacing w:after="0" w:line="149" w:lineRule="exact"/>
              <w:rPr>
                <w:sz w:val="20"/>
                <w:szCs w:val="20"/>
                <w:color w:val="auto"/>
              </w:rPr>
            </w:pPr>
            <w:r>
              <w:rPr>
                <w:rFonts w:ascii="Arial" w:cs="Arial" w:eastAsia="Arial" w:hAnsi="Arial"/>
                <w:sz w:val="14"/>
                <w:szCs w:val="14"/>
                <w:color w:val="auto"/>
              </w:rPr>
              <w:t>3.2%</w:t>
            </w: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w:t>
            </w:r>
          </w:p>
        </w:tc>
      </w:tr>
      <w:tr>
        <w:trPr>
          <w:trHeight w:val="149"/>
        </w:trPr>
        <w:tc>
          <w:tcPr>
            <w:tcW w:w="704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Total</w:t>
            </w:r>
          </w:p>
        </w:tc>
        <w:tc>
          <w:tcPr>
            <w:tcW w:w="1440" w:type="dxa"/>
            <w:vAlign w:val="bottom"/>
            <w:tcBorders>
              <w:bottom w:val="single" w:sz="8" w:color="auto"/>
            </w:tcBorders>
            <w:shd w:val="clear" w:color="auto" w:fill="E5E5E5"/>
          </w:tcPr>
          <w:p>
            <w:pPr>
              <w:jc w:val="right"/>
              <w:ind w:right="392"/>
              <w:spacing w:after="0" w:line="142" w:lineRule="exact"/>
              <w:rPr>
                <w:sz w:val="20"/>
                <w:szCs w:val="20"/>
                <w:color w:val="auto"/>
              </w:rPr>
            </w:pPr>
            <w:r>
              <w:rPr>
                <w:rFonts w:ascii="Arial" w:cs="Arial" w:eastAsia="Arial" w:hAnsi="Arial"/>
                <w:sz w:val="14"/>
                <w:szCs w:val="14"/>
                <w:b w:val="1"/>
                <w:bCs w:val="1"/>
                <w:color w:val="auto"/>
              </w:rPr>
              <w:t>100.0%</w:t>
            </w:r>
          </w:p>
        </w:tc>
        <w:tc>
          <w:tcPr>
            <w:tcW w:w="84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b w:val="1"/>
                <w:bCs w:val="1"/>
                <w:color w:val="auto"/>
              </w:rPr>
              <w:t>100.0%</w:t>
            </w:r>
          </w:p>
        </w:tc>
        <w:tc>
          <w:tcPr>
            <w:tcW w:w="1160" w:type="dxa"/>
            <w:vAlign w:val="bottom"/>
            <w:tcBorders>
              <w:bottom w:val="single" w:sz="8" w:color="auto"/>
            </w:tcBorders>
            <w:shd w:val="clear" w:color="auto" w:fill="E5E5E5"/>
          </w:tcPr>
          <w:p>
            <w:pPr>
              <w:jc w:val="right"/>
              <w:ind w:right="372"/>
              <w:spacing w:after="0" w:line="142" w:lineRule="exact"/>
              <w:rPr>
                <w:sz w:val="20"/>
                <w:szCs w:val="20"/>
                <w:color w:val="auto"/>
              </w:rPr>
            </w:pPr>
            <w:r>
              <w:rPr>
                <w:rFonts w:ascii="Arial" w:cs="Arial" w:eastAsia="Arial" w:hAnsi="Arial"/>
                <w:sz w:val="14"/>
                <w:szCs w:val="14"/>
                <w:b w:val="1"/>
                <w:bCs w:val="1"/>
                <w:color w:val="auto"/>
              </w:rPr>
              <w:t>100.0%</w:t>
            </w:r>
          </w:p>
        </w:tc>
        <w:tc>
          <w:tcPr>
            <w:tcW w:w="58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100.0%</w:t>
            </w:r>
          </w:p>
        </w:tc>
      </w:tr>
    </w:tbl>
    <w:p>
      <w:pPr>
        <w:spacing w:after="0" w:line="5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Subscription revenue received from customers who purchase bundled services at a discounted rate is allocated proportionally to each service based on the individual service’s price on a stand-alone basis.</w:t>
      </w:r>
    </w:p>
    <w:p>
      <w:pPr>
        <w:spacing w:after="0" w:line="7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Cable segment includes our regional sports networks.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Programming segment consists primarily of our consolidated national programming networks, E!, Golf Channel, VERSUS, G4 and Style.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20" w:hanging="332"/>
        <w:spacing w:after="0" w:line="239"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Corporate and Other activities include Comcast Interactive Media, Comcast Spectacor, a portion of operating results of our less than wholly owned technology development ventures (see “(e)” below), corporate activities and all other businesses not presented in our Cable or Programming segments.</w:t>
      </w:r>
    </w:p>
    <w:p>
      <w:pPr>
        <w:spacing w:after="0" w:line="43" w:lineRule="exact"/>
        <w:rPr>
          <w:rFonts w:ascii="Arial" w:cs="Arial" w:eastAsia="Arial" w:hAnsi="Arial"/>
          <w:sz w:val="14"/>
          <w:szCs w:val="14"/>
          <w:color w:val="auto"/>
        </w:rPr>
      </w:pPr>
    </w:p>
    <w:p>
      <w:pPr>
        <w:jc w:val="both"/>
        <w:ind w:left="340" w:hanging="332"/>
        <w:spacing w:after="0" w:line="233"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consolidate our less than wholly owned technology development ventures that we control or of which we are considered the primary beneficiary. These ventures are with Motorola. The ventures have been created to share the costs of development of new technologies for set-top boxes and other devices. The results of these entities are included within Corporate and Other except for cost allocations, which are made to the Cable segment based on our percentage ownership in each entity.</w:t>
      </w:r>
    </w:p>
    <w:p>
      <w:pPr>
        <w:spacing w:after="0" w:line="44"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the Eliminations column are transactions that our segments enter into with one another. The most common types of transactions are the following:</w:t>
      </w:r>
    </w:p>
    <w:p>
      <w:pPr>
        <w:spacing w:after="0" w:line="55"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Programming segment generates revenue by selling cable network programming to our Cable segment, which represents a substantial majority of the revenue elimination amount</w:t>
      </w:r>
    </w:p>
    <w:p>
      <w:pPr>
        <w:spacing w:after="0" w:line="57"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segment receives incentives offered by our Programming segment when negotiating programming contracts that are recorded as a reduction to programming expenses</w:t>
      </w:r>
    </w:p>
    <w:p>
      <w:pPr>
        <w:spacing w:after="0" w:line="57" w:lineRule="exact"/>
        <w:rPr>
          <w:rFonts w:ascii="Arial" w:cs="Arial" w:eastAsia="Arial" w:hAnsi="Arial"/>
          <w:sz w:val="14"/>
          <w:szCs w:val="14"/>
          <w:color w:val="auto"/>
        </w:rPr>
      </w:pPr>
    </w:p>
    <w:p>
      <w:pPr>
        <w:ind w:left="1020" w:hanging="215"/>
        <w:spacing w:after="0"/>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segment generates revenue by selling advertising and by selling the use of satellite feeds to our Programming segment</w:t>
      </w:r>
    </w:p>
    <w:p>
      <w:pPr>
        <w:spacing w:after="0" w:line="68" w:lineRule="exact"/>
        <w:rPr>
          <w:rFonts w:ascii="Arial" w:cs="Arial" w:eastAsia="Arial" w:hAnsi="Arial"/>
          <w:sz w:val="14"/>
          <w:szCs w:val="14"/>
          <w:color w:val="auto"/>
        </w:rPr>
      </w:pPr>
    </w:p>
    <w:p>
      <w:pPr>
        <w:ind w:left="1020" w:hanging="215"/>
        <w:spacing w:after="0"/>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segment generates revenue by providing network services to Comcast Interactive Media</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Non-U.S. revenue was not significant in any period. No single customer accounted for a significant amount of our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To measure the performance of our operating segments, we use operating income (loss) before depreciation and amortization, excluding impairments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It is also unaffected by our capital structure or investment activities. We use this measure to evaluate our consolidated operating performance,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 substitute for operating income (loss), net income (loss) attributable to Comcast Corporation, net cash provided by operating activities, or other measures of performance or liquidity reported in accordance with GAAP.</w:t>
      </w:r>
    </w:p>
    <w:p>
      <w:pPr>
        <w:spacing w:after="0" w:line="28" w:lineRule="exact"/>
        <w:rPr>
          <w:rFonts w:ascii="Arial" w:cs="Arial" w:eastAsia="Arial" w:hAnsi="Arial"/>
          <w:sz w:val="12"/>
          <w:szCs w:val="12"/>
          <w:color w:val="auto"/>
        </w:rPr>
      </w:pPr>
    </w:p>
    <w:p>
      <w:pPr>
        <w:jc w:val="both"/>
        <w:ind w:left="340" w:hanging="332"/>
        <w:spacing w:after="0" w:line="233"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2009 Cable segment and Corporate and Other amounts have been adjusted for segment reclassifications to be consistent with our 2010 management reporting presentation. The adjustments resulted in the reclassification of revenue, operating income (loss) before depreciation and amortization, depreciation and amortization, and operating income from Corporate and Other to our Cable segment for the amounts presented below.</w:t>
      </w:r>
    </w:p>
    <w:p>
      <w:pPr>
        <w:spacing w:after="0" w:line="32"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920" w:type="dxa"/>
            <w:vAlign w:val="bottom"/>
            <w:gridSpan w:val="2"/>
          </w:tcPr>
          <w:p>
            <w:pPr>
              <w:ind w:left="2080"/>
              <w:spacing w:after="0"/>
              <w:rPr>
                <w:sz w:val="20"/>
                <w:szCs w:val="20"/>
                <w:color w:val="auto"/>
              </w:rPr>
            </w:pPr>
            <w:r>
              <w:rPr>
                <w:rFonts w:ascii="Arial" w:cs="Arial" w:eastAsia="Arial" w:hAnsi="Arial"/>
                <w:sz w:val="14"/>
                <w:szCs w:val="14"/>
                <w:color w:val="auto"/>
              </w:rPr>
              <w:t>Three Months Ended</w:t>
            </w:r>
          </w:p>
        </w:tc>
        <w:tc>
          <w:tcPr>
            <w:tcW w:w="1740" w:type="dxa"/>
            <w:vAlign w:val="bottom"/>
            <w:gridSpan w:val="2"/>
          </w:tcPr>
          <w:p>
            <w:pPr>
              <w:ind w:left="640"/>
              <w:spacing w:after="0"/>
              <w:rPr>
                <w:sz w:val="20"/>
                <w:szCs w:val="20"/>
                <w:color w:val="auto"/>
              </w:rPr>
            </w:pPr>
            <w:r>
              <w:rPr>
                <w:rFonts w:ascii="Arial" w:cs="Arial" w:eastAsia="Arial" w:hAnsi="Arial"/>
                <w:sz w:val="14"/>
                <w:szCs w:val="14"/>
                <w:color w:val="auto"/>
                <w:w w:val="95"/>
              </w:rPr>
              <w:t>Six Months Ended</w:t>
            </w:r>
          </w:p>
        </w:tc>
      </w:tr>
      <w:tr>
        <w:trPr>
          <w:trHeight w:val="173"/>
        </w:trPr>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812"/>
              <w:spacing w:after="0"/>
              <w:rPr>
                <w:sz w:val="20"/>
                <w:szCs w:val="20"/>
                <w:color w:val="auto"/>
              </w:rPr>
            </w:pPr>
            <w:r>
              <w:rPr>
                <w:rFonts w:ascii="Arial" w:cs="Arial" w:eastAsia="Arial" w:hAnsi="Arial"/>
                <w:sz w:val="14"/>
                <w:szCs w:val="14"/>
                <w:color w:val="auto"/>
                <w:w w:val="90"/>
              </w:rPr>
              <w:t>June 30, 2009</w:t>
            </w:r>
          </w:p>
        </w:tc>
        <w:tc>
          <w:tcPr>
            <w:tcW w:w="7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85"/>
              </w:rPr>
              <w:t>June 30, 2009</w:t>
            </w:r>
          </w:p>
        </w:tc>
      </w:tr>
      <w:tr>
        <w:trPr>
          <w:trHeight w:val="142"/>
        </w:trPr>
        <w:tc>
          <w:tcPr>
            <w:tcW w:w="540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Revenue</w:t>
            </w:r>
          </w:p>
        </w:tc>
        <w:tc>
          <w:tcPr>
            <w:tcW w:w="2220" w:type="dxa"/>
            <w:vAlign w:val="bottom"/>
            <w:shd w:val="clear" w:color="auto" w:fill="E5E5E5"/>
          </w:tcPr>
          <w:p>
            <w:pPr>
              <w:ind w:left="2080"/>
              <w:spacing w:after="0" w:line="142" w:lineRule="exact"/>
              <w:rPr>
                <w:sz w:val="20"/>
                <w:szCs w:val="20"/>
                <w:color w:val="auto"/>
              </w:rPr>
            </w:pPr>
            <w:r>
              <w:rPr>
                <w:rFonts w:ascii="Arial" w:cs="Arial" w:eastAsia="Arial" w:hAnsi="Arial"/>
                <w:sz w:val="14"/>
                <w:szCs w:val="14"/>
                <w:color w:val="auto"/>
              </w:rPr>
              <w:t>$</w:t>
            </w:r>
          </w:p>
        </w:tc>
        <w:tc>
          <w:tcPr>
            <w:tcW w:w="1700" w:type="dxa"/>
            <w:vAlign w:val="bottom"/>
            <w:shd w:val="clear" w:color="auto" w:fill="E5E5E5"/>
          </w:tcPr>
          <w:p>
            <w:pPr>
              <w:jc w:val="right"/>
              <w:ind w:right="632"/>
              <w:spacing w:after="0" w:line="142" w:lineRule="exact"/>
              <w:rPr>
                <w:sz w:val="20"/>
                <w:szCs w:val="20"/>
                <w:color w:val="auto"/>
              </w:rPr>
            </w:pPr>
            <w:r>
              <w:rPr>
                <w:rFonts w:ascii="Arial" w:cs="Arial" w:eastAsia="Arial" w:hAnsi="Arial"/>
                <w:sz w:val="14"/>
                <w:szCs w:val="14"/>
                <w:color w:val="auto"/>
              </w:rPr>
              <w:t>2</w:t>
            </w:r>
          </w:p>
        </w:tc>
        <w:tc>
          <w:tcPr>
            <w:tcW w:w="740" w:type="dxa"/>
            <w:vAlign w:val="bottom"/>
            <w:shd w:val="clear" w:color="auto" w:fill="E5E5E5"/>
          </w:tcPr>
          <w:p>
            <w:pPr>
              <w:ind w:left="640"/>
              <w:spacing w:after="0" w:line="142" w:lineRule="exact"/>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5</w:t>
            </w:r>
          </w:p>
        </w:tc>
      </w:tr>
      <w:tr>
        <w:trPr>
          <w:trHeight w:val="149"/>
        </w:trPr>
        <w:tc>
          <w:tcPr>
            <w:tcW w:w="5400" w:type="dxa"/>
            <w:vAlign w:val="bottom"/>
          </w:tcPr>
          <w:p>
            <w:pPr>
              <w:spacing w:after="0" w:line="149" w:lineRule="exact"/>
              <w:rPr>
                <w:sz w:val="20"/>
                <w:szCs w:val="20"/>
                <w:color w:val="auto"/>
              </w:rPr>
            </w:pPr>
            <w:r>
              <w:rPr>
                <w:rFonts w:ascii="Arial" w:cs="Arial" w:eastAsia="Arial" w:hAnsi="Arial"/>
                <w:sz w:val="14"/>
                <w:szCs w:val="14"/>
                <w:color w:val="auto"/>
              </w:rPr>
              <w:t>Operating income (loss) before depreciation and amortization</w:t>
            </w:r>
          </w:p>
        </w:tc>
        <w:tc>
          <w:tcPr>
            <w:tcW w:w="2220" w:type="dxa"/>
            <w:vAlign w:val="bottom"/>
          </w:tcPr>
          <w:p>
            <w:pPr>
              <w:ind w:left="2080"/>
              <w:spacing w:after="0" w:line="149" w:lineRule="exact"/>
              <w:rPr>
                <w:sz w:val="20"/>
                <w:szCs w:val="20"/>
                <w:color w:val="auto"/>
              </w:rPr>
            </w:pPr>
            <w:r>
              <w:rPr>
                <w:rFonts w:ascii="Arial" w:cs="Arial" w:eastAsia="Arial" w:hAnsi="Arial"/>
                <w:sz w:val="14"/>
                <w:szCs w:val="14"/>
                <w:color w:val="auto"/>
              </w:rPr>
              <w:t>$</w:t>
            </w:r>
          </w:p>
        </w:tc>
        <w:tc>
          <w:tcPr>
            <w:tcW w:w="1700" w:type="dxa"/>
            <w:vAlign w:val="bottom"/>
          </w:tcPr>
          <w:p>
            <w:pPr>
              <w:jc w:val="right"/>
              <w:ind w:right="572"/>
              <w:spacing w:after="0" w:line="149" w:lineRule="exact"/>
              <w:rPr>
                <w:sz w:val="20"/>
                <w:szCs w:val="20"/>
                <w:color w:val="auto"/>
              </w:rPr>
            </w:pPr>
            <w:r>
              <w:rPr>
                <w:rFonts w:ascii="Arial" w:cs="Arial" w:eastAsia="Arial" w:hAnsi="Arial"/>
                <w:sz w:val="14"/>
                <w:szCs w:val="14"/>
                <w:color w:val="auto"/>
              </w:rPr>
              <w:t>(2)</w:t>
            </w:r>
          </w:p>
        </w:tc>
        <w:tc>
          <w:tcPr>
            <w:tcW w:w="7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r>
      <w:tr>
        <w:trPr>
          <w:trHeight w:val="149"/>
        </w:trPr>
        <w:tc>
          <w:tcPr>
            <w:tcW w:w="540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220" w:type="dxa"/>
            <w:vAlign w:val="bottom"/>
            <w:shd w:val="clear" w:color="auto" w:fill="E5E5E5"/>
          </w:tcPr>
          <w:p>
            <w:pPr>
              <w:ind w:left="2080"/>
              <w:spacing w:after="0" w:line="149" w:lineRule="exact"/>
              <w:rPr>
                <w:sz w:val="20"/>
                <w:szCs w:val="20"/>
                <w:color w:val="auto"/>
              </w:rPr>
            </w:pPr>
            <w:r>
              <w:rPr>
                <w:rFonts w:ascii="Arial" w:cs="Arial" w:eastAsia="Arial" w:hAnsi="Arial"/>
                <w:sz w:val="14"/>
                <w:szCs w:val="14"/>
                <w:color w:val="auto"/>
              </w:rPr>
              <w:t>$</w:t>
            </w:r>
          </w:p>
        </w:tc>
        <w:tc>
          <w:tcPr>
            <w:tcW w:w="1700" w:type="dxa"/>
            <w:vAlign w:val="bottom"/>
            <w:shd w:val="clear" w:color="auto" w:fill="E5E5E5"/>
          </w:tcPr>
          <w:p>
            <w:pPr>
              <w:jc w:val="right"/>
              <w:ind w:right="632"/>
              <w:spacing w:after="0" w:line="149" w:lineRule="exact"/>
              <w:rPr>
                <w:sz w:val="20"/>
                <w:szCs w:val="20"/>
                <w:color w:val="auto"/>
              </w:rPr>
            </w:pPr>
            <w:r>
              <w:rPr>
                <w:rFonts w:ascii="Arial" w:cs="Arial" w:eastAsia="Arial" w:hAnsi="Arial"/>
                <w:sz w:val="14"/>
                <w:szCs w:val="14"/>
                <w:color w:val="auto"/>
              </w:rPr>
              <w:t>3</w:t>
            </w:r>
          </w:p>
        </w:tc>
        <w:tc>
          <w:tcPr>
            <w:tcW w:w="740" w:type="dxa"/>
            <w:vAlign w:val="bottom"/>
            <w:shd w:val="clear" w:color="auto" w:fill="E5E5E5"/>
          </w:tcPr>
          <w:p>
            <w:pPr>
              <w:ind w:left="64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6</w:t>
            </w:r>
          </w:p>
        </w:tc>
      </w:tr>
      <w:tr>
        <w:trPr>
          <w:trHeight w:val="149"/>
        </w:trPr>
        <w:tc>
          <w:tcPr>
            <w:tcW w:w="54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Operating income (loss)</w:t>
            </w:r>
          </w:p>
        </w:tc>
        <w:tc>
          <w:tcPr>
            <w:tcW w:w="2220" w:type="dxa"/>
            <w:vAlign w:val="bottom"/>
            <w:tcBorders>
              <w:bottom w:val="single" w:sz="8" w:color="auto"/>
            </w:tcBorders>
          </w:tcPr>
          <w:p>
            <w:pPr>
              <w:ind w:left="2080"/>
              <w:spacing w:after="0" w:line="149" w:lineRule="exact"/>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572"/>
              <w:spacing w:after="0" w:line="149" w:lineRule="exact"/>
              <w:rPr>
                <w:sz w:val="20"/>
                <w:szCs w:val="20"/>
                <w:color w:val="auto"/>
              </w:rPr>
            </w:pPr>
            <w:r>
              <w:rPr>
                <w:rFonts w:ascii="Arial" w:cs="Arial" w:eastAsia="Arial" w:hAnsi="Arial"/>
                <w:sz w:val="14"/>
                <w:szCs w:val="14"/>
                <w:color w:val="auto"/>
              </w:rPr>
              <w:t>(5)</w:t>
            </w:r>
          </w:p>
        </w:tc>
        <w:tc>
          <w:tcPr>
            <w:tcW w:w="740" w:type="dxa"/>
            <w:vAlign w:val="bottom"/>
            <w:tcBorders>
              <w:bottom w:val="single" w:sz="8" w:color="auto"/>
            </w:tcBorders>
          </w:tcPr>
          <w:p>
            <w:pPr>
              <w:ind w:left="640"/>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w:t>
            </w:r>
          </w:p>
        </w:tc>
      </w:tr>
    </w:tbl>
    <w:p>
      <w:pPr>
        <w:spacing w:after="0" w:line="5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Reclassifications have been made to prior year amounts between revenue and operating expenses to conform to classifications used in 2010.</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Condensed Consolidating Financial Information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Corporation and four of our wholly owned cable holding company subsidiaries, Comcast Cable Communications, LLC (“CCCL”), Comcast MO Group, Inc. (“Comcast MO Group”), Comcast Cable Holdings, LLC (“CCH”) and Comcast MO of Delaware, LLC (“Comcast MO of Delaware”), have fully and unconditionally guaranteed each other’s debt securities. Comcast MO Group, CCH and Comcast MO of Delaware are collectively referred to as the “Combined CCHMO Parents.”</w:t>
      </w:r>
    </w:p>
    <w:p>
      <w:pPr>
        <w:spacing w:after="0" w:line="4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Comcast Corporation provides an unconditional subordinated guarantee of the $185 million principal amount currently outstanding of Comcast Holdings’ ZONES due October 2029 and the $202 million principal amount currently outstanding of Comcast Holdings’ 10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22"/>
          <w:szCs w:val="22"/>
          <w:color w:val="auto"/>
          <w:vertAlign w:val="subscript"/>
        </w:rPr>
        <w:t>8</w:t>
      </w:r>
      <w:r>
        <w:rPr>
          <w:rFonts w:ascii="Arial" w:cs="Arial" w:eastAsia="Arial" w:hAnsi="Arial"/>
          <w:sz w:val="18"/>
          <w:szCs w:val="18"/>
          <w:color w:val="auto"/>
        </w:rPr>
        <w:t>% senior subordinated debentures due 2012. Comcast Corporation does not guarantee the $61 million principal amount outstanding of Comcast Holdings’ ZONES due November 2029. We have included Comcast Holdings’ condensed consolidated financial information for all periods presented. Our condensed consolidating financial information is presented in the tables below.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214"/>
              <w:spacing w:after="0"/>
              <w:rPr>
                <w:sz w:val="20"/>
                <w:szCs w:val="20"/>
                <w:color w:val="auto"/>
              </w:rPr>
            </w:pPr>
            <w:r>
              <w:rPr>
                <w:rFonts w:ascii="Arial" w:cs="Arial" w:eastAsia="Arial" w:hAnsi="Arial"/>
                <w:sz w:val="14"/>
                <w:szCs w:val="14"/>
                <w:color w:val="auto"/>
                <w:w w:val="93"/>
              </w:rPr>
              <w:t>Elimination</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Combined</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134"/>
              <w:spacing w:after="0" w:line="149" w:lineRule="exact"/>
              <w:rPr>
                <w:sz w:val="20"/>
                <w:szCs w:val="20"/>
                <w:color w:val="auto"/>
              </w:rPr>
            </w:pPr>
            <w:r>
              <w:rPr>
                <w:rFonts w:ascii="Arial" w:cs="Arial" w:eastAsia="Arial" w:hAnsi="Arial"/>
                <w:sz w:val="14"/>
                <w:szCs w:val="14"/>
                <w:color w:val="auto"/>
                <w:w w:val="92"/>
              </w:rPr>
              <w:t>Non-</w:t>
            </w:r>
          </w:p>
        </w:tc>
        <w:tc>
          <w:tcPr>
            <w:tcW w:w="200" w:type="dxa"/>
            <w:vAlign w:val="bottom"/>
          </w:tcPr>
          <w:p>
            <w:pPr>
              <w:spacing w:after="0"/>
              <w:rPr>
                <w:sz w:val="12"/>
                <w:szCs w:val="12"/>
                <w:color w:val="auto"/>
              </w:rPr>
            </w:pPr>
          </w:p>
        </w:tc>
        <w:tc>
          <w:tcPr>
            <w:tcW w:w="980" w:type="dxa"/>
            <w:vAlign w:val="bottom"/>
          </w:tcPr>
          <w:p>
            <w:pPr>
              <w:jc w:val="center"/>
              <w:ind w:right="214"/>
              <w:spacing w:after="0" w:line="149" w:lineRule="exact"/>
              <w:rPr>
                <w:sz w:val="20"/>
                <w:szCs w:val="20"/>
                <w:color w:val="auto"/>
              </w:rPr>
            </w:pPr>
            <w:r>
              <w:rPr>
                <w:rFonts w:ascii="Arial" w:cs="Arial" w:eastAsia="Arial" w:hAnsi="Arial"/>
                <w:sz w:val="14"/>
                <w:szCs w:val="14"/>
                <w:color w:val="auto"/>
                <w:w w:val="85"/>
              </w:rPr>
              <w:t>and</w:t>
            </w:r>
          </w:p>
        </w:tc>
        <w:tc>
          <w:tcPr>
            <w:tcW w:w="1000" w:type="dxa"/>
            <w:vAlign w:val="bottom"/>
            <w:gridSpan w:val="3"/>
          </w:tcPr>
          <w:p>
            <w:pPr>
              <w:jc w:val="center"/>
              <w:ind w:left="36"/>
              <w:spacing w:after="0" w:line="149" w:lineRule="exact"/>
              <w:rPr>
                <w:sz w:val="20"/>
                <w:szCs w:val="20"/>
                <w:color w:val="auto"/>
              </w:rPr>
            </w:pPr>
            <w:r>
              <w:rPr>
                <w:rFonts w:ascii="Arial" w:cs="Arial" w:eastAsia="Arial" w:hAnsi="Arial"/>
                <w:sz w:val="14"/>
                <w:szCs w:val="14"/>
                <w:color w:val="auto"/>
                <w:w w:val="88"/>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jc w:val="right"/>
              <w:ind w:right="34"/>
              <w:spacing w:after="0" w:line="149" w:lineRule="exact"/>
              <w:rPr>
                <w:sz w:val="20"/>
                <w:szCs w:val="20"/>
                <w:color w:val="auto"/>
              </w:rPr>
            </w:pPr>
            <w:r>
              <w:rPr>
                <w:rFonts w:ascii="Arial" w:cs="Arial" w:eastAsia="Arial" w:hAnsi="Arial"/>
                <w:sz w:val="14"/>
                <w:szCs w:val="14"/>
                <w:color w:val="auto"/>
                <w:w w:val="83"/>
              </w:rPr>
              <w:t>Comcast</w:t>
            </w:r>
          </w:p>
        </w:tc>
        <w:tc>
          <w:tcPr>
            <w:tcW w:w="300" w:type="dxa"/>
            <w:vAlign w:val="bottom"/>
          </w:tcPr>
          <w:p>
            <w:pPr>
              <w:spacing w:after="0"/>
              <w:rPr>
                <w:sz w:val="12"/>
                <w:szCs w:val="12"/>
                <w:color w:val="auto"/>
              </w:rPr>
            </w:pPr>
          </w:p>
        </w:tc>
        <w:tc>
          <w:tcPr>
            <w:tcW w:w="640" w:type="dxa"/>
            <w:vAlign w:val="bottom"/>
          </w:tcPr>
          <w:p>
            <w:pPr>
              <w:jc w:val="right"/>
              <w:ind w:right="174"/>
              <w:spacing w:after="0" w:line="149" w:lineRule="exact"/>
              <w:rPr>
                <w:sz w:val="20"/>
                <w:szCs w:val="20"/>
                <w:color w:val="auto"/>
              </w:rPr>
            </w:pPr>
            <w:r>
              <w:rPr>
                <w:rFonts w:ascii="Arial" w:cs="Arial" w:eastAsia="Arial" w:hAnsi="Arial"/>
                <w:sz w:val="14"/>
                <w:szCs w:val="14"/>
                <w:color w:val="auto"/>
                <w:w w:val="94"/>
              </w:rPr>
              <w:t>CCCL</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CCHMO</w:t>
            </w:r>
          </w:p>
        </w:tc>
        <w:tc>
          <w:tcPr>
            <w:tcW w:w="200" w:type="dxa"/>
            <w:vAlign w:val="bottom"/>
          </w:tcPr>
          <w:p>
            <w:pPr>
              <w:spacing w:after="0"/>
              <w:rPr>
                <w:sz w:val="12"/>
                <w:szCs w:val="12"/>
                <w:color w:val="auto"/>
              </w:rPr>
            </w:pPr>
          </w:p>
        </w:tc>
        <w:tc>
          <w:tcPr>
            <w:tcW w:w="680" w:type="dxa"/>
            <w:vAlign w:val="bottom"/>
          </w:tcPr>
          <w:p>
            <w:pPr>
              <w:jc w:val="right"/>
              <w:ind w:right="113"/>
              <w:spacing w:after="0" w:line="149" w:lineRule="exact"/>
              <w:rPr>
                <w:sz w:val="20"/>
                <w:szCs w:val="20"/>
                <w:color w:val="auto"/>
              </w:rPr>
            </w:pPr>
            <w:r>
              <w:rPr>
                <w:rFonts w:ascii="Arial" w:cs="Arial" w:eastAsia="Arial" w:hAnsi="Arial"/>
                <w:sz w:val="14"/>
                <w:szCs w:val="14"/>
                <w:color w:val="auto"/>
                <w:w w:val="83"/>
              </w:rPr>
              <w:t>Comcast</w:t>
            </w:r>
          </w:p>
        </w:tc>
        <w:tc>
          <w:tcPr>
            <w:tcW w:w="200" w:type="dxa"/>
            <w:vAlign w:val="bottom"/>
          </w:tcPr>
          <w:p>
            <w:pPr>
              <w:spacing w:after="0"/>
              <w:rPr>
                <w:sz w:val="12"/>
                <w:szCs w:val="12"/>
                <w:color w:val="auto"/>
              </w:rPr>
            </w:pPr>
          </w:p>
        </w:tc>
        <w:tc>
          <w:tcPr>
            <w:tcW w:w="780" w:type="dxa"/>
            <w:vAlign w:val="bottom"/>
          </w:tcPr>
          <w:p>
            <w:pPr>
              <w:jc w:val="center"/>
              <w:ind w:right="114"/>
              <w:spacing w:after="0" w:line="149" w:lineRule="exact"/>
              <w:rPr>
                <w:sz w:val="20"/>
                <w:szCs w:val="20"/>
                <w:color w:val="auto"/>
              </w:rPr>
            </w:pPr>
            <w:r>
              <w:rPr>
                <w:rFonts w:ascii="Arial" w:cs="Arial" w:eastAsia="Arial" w:hAnsi="Arial"/>
                <w:sz w:val="14"/>
                <w:szCs w:val="14"/>
                <w:color w:val="auto"/>
                <w:w w:val="85"/>
              </w:rPr>
              <w:t>Guarantor</w:t>
            </w:r>
          </w:p>
        </w:tc>
        <w:tc>
          <w:tcPr>
            <w:tcW w:w="1180" w:type="dxa"/>
            <w:vAlign w:val="bottom"/>
            <w:gridSpan w:val="2"/>
          </w:tcPr>
          <w:p>
            <w:pPr>
              <w:jc w:val="center"/>
              <w:ind w:right="14"/>
              <w:spacing w:after="0" w:line="149" w:lineRule="exact"/>
              <w:rPr>
                <w:sz w:val="20"/>
                <w:szCs w:val="20"/>
                <w:color w:val="auto"/>
              </w:rPr>
            </w:pPr>
            <w:r>
              <w:rPr>
                <w:rFonts w:ascii="Arial" w:cs="Arial" w:eastAsia="Arial" w:hAnsi="Arial"/>
                <w:sz w:val="14"/>
                <w:szCs w:val="14"/>
                <w:color w:val="auto"/>
                <w:w w:val="89"/>
              </w:rPr>
              <w:t>Consolidation</w:t>
            </w:r>
          </w:p>
        </w:tc>
        <w:tc>
          <w:tcPr>
            <w:tcW w:w="24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6"/>
              </w:rPr>
              <w:t>Comcast</w:t>
            </w:r>
          </w:p>
        </w:tc>
        <w:tc>
          <w:tcPr>
            <w:tcW w:w="0" w:type="dxa"/>
            <w:vAlign w:val="bottom"/>
          </w:tcPr>
          <w:p>
            <w:pPr>
              <w:spacing w:after="0"/>
              <w:rPr>
                <w:sz w:val="1"/>
                <w:szCs w:val="1"/>
                <w:color w:val="auto"/>
              </w:rPr>
            </w:pPr>
          </w:p>
        </w:tc>
      </w:tr>
      <w:tr>
        <w:trPr>
          <w:trHeight w:val="173"/>
        </w:trPr>
        <w:tc>
          <w:tcPr>
            <w:tcW w:w="46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5"/>
                <w:szCs w:val="15"/>
                <w:color w:val="auto"/>
              </w:rPr>
            </w:pPr>
          </w:p>
        </w:tc>
        <w:tc>
          <w:tcPr>
            <w:tcW w:w="600" w:type="dxa"/>
            <w:vAlign w:val="bottom"/>
          </w:tcPr>
          <w:p>
            <w:pPr>
              <w:jc w:val="right"/>
              <w:ind w:right="94"/>
              <w:spacing w:after="0"/>
              <w:rPr>
                <w:sz w:val="20"/>
                <w:szCs w:val="20"/>
                <w:color w:val="auto"/>
              </w:rPr>
            </w:pPr>
            <w:r>
              <w:rPr>
                <w:rFonts w:ascii="Arial" w:cs="Arial" w:eastAsia="Arial" w:hAnsi="Arial"/>
                <w:sz w:val="14"/>
                <w:szCs w:val="14"/>
                <w:color w:val="auto"/>
                <w:w w:val="96"/>
              </w:rPr>
              <w:t>Parent</w:t>
            </w:r>
          </w:p>
        </w:tc>
        <w:tc>
          <w:tcPr>
            <w:tcW w:w="300" w:type="dxa"/>
            <w:vAlign w:val="bottom"/>
          </w:tcPr>
          <w:p>
            <w:pPr>
              <w:spacing w:after="0"/>
              <w:rPr>
                <w:sz w:val="15"/>
                <w:szCs w:val="15"/>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color w:val="auto"/>
                <w:w w:val="87"/>
              </w:rPr>
              <w:t>Parent</w:t>
            </w:r>
          </w:p>
        </w:tc>
        <w:tc>
          <w:tcPr>
            <w:tcW w:w="220" w:type="dxa"/>
            <w:vAlign w:val="bottom"/>
          </w:tcPr>
          <w:p>
            <w:pPr>
              <w:spacing w:after="0"/>
              <w:rPr>
                <w:sz w:val="15"/>
                <w:szCs w:val="15"/>
                <w:color w:val="auto"/>
              </w:rPr>
            </w:pPr>
          </w:p>
        </w:tc>
        <w:tc>
          <w:tcPr>
            <w:tcW w:w="660" w:type="dxa"/>
            <w:vAlign w:val="bottom"/>
          </w:tcPr>
          <w:p>
            <w:pPr>
              <w:jc w:val="center"/>
              <w:ind w:right="133"/>
              <w:spacing w:after="0"/>
              <w:rPr>
                <w:sz w:val="20"/>
                <w:szCs w:val="20"/>
                <w:color w:val="auto"/>
              </w:rPr>
            </w:pPr>
            <w:r>
              <w:rPr>
                <w:rFonts w:ascii="Arial" w:cs="Arial" w:eastAsia="Arial" w:hAnsi="Arial"/>
                <w:sz w:val="14"/>
                <w:szCs w:val="14"/>
                <w:color w:val="auto"/>
                <w:w w:val="82"/>
              </w:rPr>
              <w:t>Parents</w:t>
            </w:r>
          </w:p>
        </w:tc>
        <w:tc>
          <w:tcPr>
            <w:tcW w:w="880" w:type="dxa"/>
            <w:vAlign w:val="bottom"/>
            <w:gridSpan w:val="2"/>
          </w:tcPr>
          <w:p>
            <w:pPr>
              <w:jc w:val="right"/>
              <w:ind w:right="113"/>
              <w:spacing w:after="0"/>
              <w:rPr>
                <w:sz w:val="20"/>
                <w:szCs w:val="20"/>
                <w:color w:val="auto"/>
              </w:rPr>
            </w:pPr>
            <w:r>
              <w:rPr>
                <w:rFonts w:ascii="Arial" w:cs="Arial" w:eastAsia="Arial" w:hAnsi="Arial"/>
                <w:sz w:val="14"/>
                <w:szCs w:val="14"/>
                <w:color w:val="auto"/>
              </w:rPr>
              <w:t>Holdings</w:t>
            </w:r>
          </w:p>
        </w:tc>
        <w:tc>
          <w:tcPr>
            <w:tcW w:w="980" w:type="dxa"/>
            <w:vAlign w:val="bottom"/>
            <w:gridSpan w:val="2"/>
          </w:tcPr>
          <w:p>
            <w:pPr>
              <w:jc w:val="center"/>
              <w:spacing w:after="0"/>
              <w:rPr>
                <w:sz w:val="20"/>
                <w:szCs w:val="20"/>
                <w:color w:val="auto"/>
              </w:rPr>
            </w:pPr>
            <w:r>
              <w:rPr>
                <w:rFonts w:ascii="Arial" w:cs="Arial" w:eastAsia="Arial" w:hAnsi="Arial"/>
                <w:sz w:val="14"/>
                <w:szCs w:val="14"/>
                <w:color w:val="auto"/>
                <w:w w:val="86"/>
              </w:rPr>
              <w:t>Subsidiaries</w:t>
            </w:r>
          </w:p>
        </w:tc>
        <w:tc>
          <w:tcPr>
            <w:tcW w:w="200" w:type="dxa"/>
            <w:vAlign w:val="bottom"/>
          </w:tcPr>
          <w:p>
            <w:pPr>
              <w:spacing w:after="0"/>
              <w:rPr>
                <w:sz w:val="15"/>
                <w:szCs w:val="15"/>
                <w:color w:val="auto"/>
              </w:rPr>
            </w:pPr>
          </w:p>
        </w:tc>
        <w:tc>
          <w:tcPr>
            <w:tcW w:w="980" w:type="dxa"/>
            <w:vAlign w:val="bottom"/>
          </w:tcPr>
          <w:p>
            <w:pPr>
              <w:jc w:val="center"/>
              <w:ind w:right="214"/>
              <w:spacing w:after="0"/>
              <w:rPr>
                <w:sz w:val="20"/>
                <w:szCs w:val="20"/>
                <w:color w:val="auto"/>
              </w:rPr>
            </w:pPr>
            <w:r>
              <w:rPr>
                <w:rFonts w:ascii="Arial" w:cs="Arial" w:eastAsia="Arial" w:hAnsi="Arial"/>
                <w:sz w:val="14"/>
                <w:szCs w:val="14"/>
                <w:color w:val="auto"/>
                <w:w w:val="88"/>
              </w:rPr>
              <w:t>Adjustments</w:t>
            </w:r>
          </w:p>
        </w:tc>
        <w:tc>
          <w:tcPr>
            <w:tcW w:w="24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98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4,028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53</w:t>
            </w:r>
          </w:p>
        </w:tc>
        <w:tc>
          <w:tcPr>
            <w:tcW w:w="2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1,845</w:t>
            </w:r>
          </w:p>
        </w:tc>
        <w:tc>
          <w:tcPr>
            <w:tcW w:w="20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180</w:t>
            </w:r>
          </w:p>
        </w:tc>
        <w:tc>
          <w:tcPr>
            <w:tcW w:w="3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483</w:t>
            </w:r>
          </w:p>
        </w:tc>
        <w:tc>
          <w:tcPr>
            <w:tcW w:w="20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w:t>
            </w:r>
          </w:p>
        </w:tc>
        <w:tc>
          <w:tcPr>
            <w:tcW w:w="300" w:type="dxa"/>
            <w:vAlign w:val="bottom"/>
          </w:tcPr>
          <w:p>
            <w:pPr>
              <w:spacing w:after="0"/>
              <w:rPr>
                <w:sz w:val="18"/>
                <w:szCs w:val="18"/>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6,409</w:t>
            </w:r>
          </w:p>
        </w:tc>
        <w:tc>
          <w:tcPr>
            <w:tcW w:w="20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6,098</w:t>
            </w:r>
          </w:p>
        </w:tc>
        <w:tc>
          <w:tcPr>
            <w:tcW w:w="2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3"/>
              </w:rPr>
              <w:t>Investments in and amounts due from subsidiaries eliminated</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upon consolidation</w:t>
            </w:r>
          </w:p>
        </w:tc>
        <w:tc>
          <w:tcPr>
            <w:tcW w:w="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67,599</w:t>
            </w:r>
          </w:p>
        </w:tc>
        <w:tc>
          <w:tcPr>
            <w:tcW w:w="30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w w:val="90"/>
              </w:rPr>
              <w:t>83,748</w:t>
            </w:r>
          </w:p>
        </w:tc>
        <w:tc>
          <w:tcPr>
            <w:tcW w:w="220" w:type="dxa"/>
            <w:vAlign w:val="bottom"/>
          </w:tcPr>
          <w:p>
            <w:pPr>
              <w:spacing w:after="0"/>
              <w:rPr>
                <w:sz w:val="19"/>
                <w:szCs w:val="19"/>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w w:val="94"/>
              </w:rPr>
              <w:t>48,377</w:t>
            </w:r>
          </w:p>
        </w:tc>
        <w:tc>
          <w:tcPr>
            <w:tcW w:w="200" w:type="dxa"/>
            <w:vAlign w:val="bottom"/>
          </w:tcPr>
          <w:p>
            <w:pPr>
              <w:spacing w:after="0"/>
              <w:rPr>
                <w:sz w:val="19"/>
                <w:szCs w:val="19"/>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w w:val="98"/>
              </w:rPr>
              <w:t>70,254</w:t>
            </w:r>
          </w:p>
        </w:tc>
        <w:tc>
          <w:tcPr>
            <w:tcW w:w="20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8,235</w:t>
            </w:r>
          </w:p>
        </w:tc>
        <w:tc>
          <w:tcPr>
            <w:tcW w:w="20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(278,213)</w:t>
            </w:r>
          </w:p>
        </w:tc>
        <w:tc>
          <w:tcPr>
            <w:tcW w:w="2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286</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22,931</w:t>
            </w:r>
          </w:p>
        </w:tc>
        <w:tc>
          <w:tcPr>
            <w:tcW w:w="2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Franchise rights</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59,452</w:t>
            </w:r>
          </w:p>
        </w:tc>
        <w:tc>
          <w:tcPr>
            <w:tcW w:w="20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15,028</w:t>
            </w:r>
          </w:p>
        </w:tc>
        <w:tc>
          <w:tcPr>
            <w:tcW w:w="2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3,863</w:t>
            </w:r>
          </w:p>
        </w:tc>
        <w:tc>
          <w:tcPr>
            <w:tcW w:w="20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3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1,118</w:t>
            </w:r>
          </w:p>
        </w:tc>
        <w:tc>
          <w:tcPr>
            <w:tcW w:w="3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148</w:t>
            </w:r>
          </w:p>
        </w:tc>
        <w:tc>
          <w:tcPr>
            <w:tcW w:w="2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853</w:t>
            </w:r>
          </w:p>
        </w:tc>
        <w:tc>
          <w:tcPr>
            <w:tcW w:w="20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(795)</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69,193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90"/>
              </w:rPr>
              <w:t>83,794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4"/>
              </w:rPr>
              <w:t>48,377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8"/>
              </w:rPr>
              <w:t>70,402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122,869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(279,008)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Accounts payable and accrued expenses related</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to trade creditors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3,116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1,084</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345</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75</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268</w:t>
            </w:r>
          </w:p>
        </w:tc>
        <w:tc>
          <w:tcPr>
            <w:tcW w:w="2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1,484</w:t>
            </w:r>
          </w:p>
        </w:tc>
        <w:tc>
          <w:tcPr>
            <w:tcW w:w="2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Current portion of long-term debt</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2,359</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1,345</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75</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268</w:t>
            </w:r>
          </w:p>
        </w:tc>
        <w:tc>
          <w:tcPr>
            <w:tcW w:w="2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4,643</w:t>
            </w:r>
          </w:p>
        </w:tc>
        <w:tc>
          <w:tcPr>
            <w:tcW w:w="2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21,800</w:t>
            </w:r>
          </w:p>
        </w:tc>
        <w:tc>
          <w:tcPr>
            <w:tcW w:w="300" w:type="dxa"/>
            <w:vAlign w:val="bottom"/>
          </w:tcPr>
          <w:p>
            <w:pPr>
              <w:spacing w:after="0"/>
              <w:rPr>
                <w:sz w:val="18"/>
                <w:szCs w:val="18"/>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3,960</w:t>
            </w:r>
          </w:p>
        </w:tc>
        <w:tc>
          <w:tcPr>
            <w:tcW w:w="220" w:type="dxa"/>
            <w:vAlign w:val="bottom"/>
          </w:tcPr>
          <w:p>
            <w:pPr>
              <w:spacing w:after="0"/>
              <w:rPr>
                <w:sz w:val="18"/>
                <w:szCs w:val="18"/>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2,347</w:t>
            </w:r>
          </w:p>
        </w:tc>
        <w:tc>
          <w:tcPr>
            <w:tcW w:w="200" w:type="dxa"/>
            <w:vAlign w:val="bottom"/>
          </w:tcPr>
          <w:p>
            <w:pPr>
              <w:spacing w:after="0"/>
              <w:rPr>
                <w:sz w:val="18"/>
                <w:szCs w:val="18"/>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313</w:t>
            </w:r>
          </w:p>
        </w:tc>
        <w:tc>
          <w:tcPr>
            <w:tcW w:w="20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28,684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685</w:t>
            </w:r>
          </w:p>
        </w:tc>
        <w:tc>
          <w:tcPr>
            <w:tcW w:w="2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27,542</w:t>
            </w:r>
          </w:p>
        </w:tc>
        <w:tc>
          <w:tcPr>
            <w:tcW w:w="2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(652)</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1,597</w:t>
            </w:r>
          </w:p>
        </w:tc>
        <w:tc>
          <w:tcPr>
            <w:tcW w:w="300" w:type="dxa"/>
            <w:vAlign w:val="bottom"/>
          </w:tcPr>
          <w:p>
            <w:pPr>
              <w:spacing w:after="0"/>
              <w:rPr>
                <w:sz w:val="18"/>
                <w:szCs w:val="18"/>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5,555</w:t>
            </w:r>
          </w:p>
        </w:tc>
        <w:tc>
          <w:tcPr>
            <w:tcW w:w="20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Equity:</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Common stock</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shareholders’ equity</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43,405</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0"/>
              </w:rPr>
              <w:t>78,489</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4"/>
              </w:rPr>
              <w:t>45,955</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8"/>
              </w:rPr>
              <w:t>69,136</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84,633</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(278,213)</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8"/>
              </w:rPr>
              <w:t>43,437</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w w:val="90"/>
              </w:rPr>
              <w:t>78,489</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4"/>
              </w:rPr>
              <w:t>45,955</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8"/>
              </w:rPr>
              <w:t>69,136</w:t>
            </w:r>
          </w:p>
        </w:tc>
        <w:tc>
          <w:tcPr>
            <w:tcW w:w="2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84,633</w:t>
            </w:r>
          </w:p>
        </w:tc>
        <w:tc>
          <w:tcPr>
            <w:tcW w:w="2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(278,213)</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43,437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3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8"/>
              </w:rPr>
              <w:t>43,437</w:t>
            </w:r>
          </w:p>
        </w:tc>
        <w:tc>
          <w:tcPr>
            <w:tcW w:w="3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w w:val="90"/>
              </w:rPr>
              <w:t>78,489</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4"/>
              </w:rPr>
              <w:t>45,955</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8"/>
              </w:rPr>
              <w:t>69,136</w:t>
            </w:r>
          </w:p>
        </w:tc>
        <w:tc>
          <w:tcPr>
            <w:tcW w:w="2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84,720</w:t>
            </w:r>
          </w:p>
        </w:tc>
        <w:tc>
          <w:tcPr>
            <w:tcW w:w="20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(278,213)</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43,524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69,193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90"/>
              </w:rPr>
              <w:t>83,794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4"/>
              </w:rPr>
              <w:t>48,377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8"/>
              </w:rPr>
              <w:t>70,402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122,869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(279,008)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Combined</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Non-</w:t>
            </w:r>
          </w:p>
        </w:tc>
        <w:tc>
          <w:tcPr>
            <w:tcW w:w="220" w:type="dxa"/>
            <w:vAlign w:val="bottom"/>
          </w:tcPr>
          <w:p>
            <w:pPr>
              <w:spacing w:after="0"/>
              <w:rPr>
                <w:sz w:val="12"/>
                <w:szCs w:val="12"/>
                <w:color w:val="auto"/>
              </w:rPr>
            </w:pPr>
          </w:p>
        </w:tc>
        <w:tc>
          <w:tcPr>
            <w:tcW w:w="860" w:type="dxa"/>
            <w:vAlign w:val="bottom"/>
          </w:tcPr>
          <w:p>
            <w:pPr>
              <w:jc w:val="center"/>
              <w:ind w:right="213"/>
              <w:spacing w:after="0" w:line="149" w:lineRule="exact"/>
              <w:rPr>
                <w:sz w:val="20"/>
                <w:szCs w:val="20"/>
                <w:color w:val="auto"/>
              </w:rPr>
            </w:pPr>
            <w:r>
              <w:rPr>
                <w:rFonts w:ascii="Arial" w:cs="Arial" w:eastAsia="Arial" w:hAnsi="Arial"/>
                <w:sz w:val="14"/>
                <w:szCs w:val="14"/>
                <w:color w:val="auto"/>
                <w:w w:val="85"/>
              </w:rPr>
              <w:t>and</w:t>
            </w:r>
          </w:p>
        </w:tc>
        <w:tc>
          <w:tcPr>
            <w:tcW w:w="860" w:type="dxa"/>
            <w:vAlign w:val="bottom"/>
            <w:gridSpan w:val="3"/>
          </w:tcPr>
          <w:p>
            <w:pPr>
              <w:ind w:left="120"/>
              <w:spacing w:after="0" w:line="149" w:lineRule="exact"/>
              <w:rPr>
                <w:sz w:val="20"/>
                <w:szCs w:val="20"/>
                <w:color w:val="auto"/>
              </w:rPr>
            </w:pPr>
            <w:r>
              <w:rPr>
                <w:rFonts w:ascii="Arial" w:cs="Arial" w:eastAsia="Arial" w:hAnsi="Arial"/>
                <w:sz w:val="14"/>
                <w:szCs w:val="14"/>
                <w:color w:val="auto"/>
                <w:w w:val="88"/>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60" w:type="dxa"/>
            <w:vAlign w:val="bottom"/>
            <w:gridSpan w:val="2"/>
          </w:tcPr>
          <w:p>
            <w:pPr>
              <w:jc w:val="right"/>
              <w:ind w:right="73"/>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600" w:type="dxa"/>
            <w:vAlign w:val="bottom"/>
          </w:tcPr>
          <w:p>
            <w:pPr>
              <w:ind w:left="20"/>
              <w:spacing w:after="0" w:line="149" w:lineRule="exact"/>
              <w:rPr>
                <w:sz w:val="20"/>
                <w:szCs w:val="20"/>
                <w:color w:val="auto"/>
              </w:rPr>
            </w:pPr>
            <w:r>
              <w:rPr>
                <w:rFonts w:ascii="Arial" w:cs="Arial" w:eastAsia="Arial" w:hAnsi="Arial"/>
                <w:sz w:val="14"/>
                <w:szCs w:val="14"/>
                <w:color w:val="auto"/>
              </w:rPr>
              <w:t>CCCL</w:t>
            </w:r>
          </w:p>
        </w:tc>
        <w:tc>
          <w:tcPr>
            <w:tcW w:w="780" w:type="dxa"/>
            <w:vAlign w:val="bottom"/>
            <w:gridSpan w:val="2"/>
          </w:tcPr>
          <w:p>
            <w:pPr>
              <w:jc w:val="right"/>
              <w:ind w:right="53"/>
              <w:spacing w:after="0" w:line="149" w:lineRule="exact"/>
              <w:rPr>
                <w:sz w:val="20"/>
                <w:szCs w:val="20"/>
                <w:color w:val="auto"/>
              </w:rPr>
            </w:pPr>
            <w:r>
              <w:rPr>
                <w:rFonts w:ascii="Arial" w:cs="Arial" w:eastAsia="Arial" w:hAnsi="Arial"/>
                <w:sz w:val="14"/>
                <w:szCs w:val="14"/>
                <w:color w:val="auto"/>
              </w:rPr>
              <w:t>CCHMO</w:t>
            </w:r>
          </w:p>
        </w:tc>
        <w:tc>
          <w:tcPr>
            <w:tcW w:w="8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jc w:val="right"/>
              <w:ind w:right="73"/>
              <w:spacing w:after="0" w:line="149" w:lineRule="exact"/>
              <w:rPr>
                <w:sz w:val="20"/>
                <w:szCs w:val="20"/>
                <w:color w:val="auto"/>
              </w:rPr>
            </w:pPr>
            <w:r>
              <w:rPr>
                <w:rFonts w:ascii="Arial" w:cs="Arial" w:eastAsia="Arial" w:hAnsi="Arial"/>
                <w:sz w:val="14"/>
                <w:szCs w:val="14"/>
                <w:color w:val="auto"/>
              </w:rPr>
              <w:t>Guarantor</w:t>
            </w: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6"/>
              </w:rPr>
              <w:t>Comcast</w:t>
            </w:r>
          </w:p>
        </w:tc>
        <w:tc>
          <w:tcPr>
            <w:tcW w:w="0" w:type="dxa"/>
            <w:vAlign w:val="bottom"/>
          </w:tcPr>
          <w:p>
            <w:pPr>
              <w:spacing w:after="0"/>
              <w:rPr>
                <w:sz w:val="1"/>
                <w:szCs w:val="1"/>
                <w:color w:val="auto"/>
              </w:rPr>
            </w:pPr>
          </w:p>
        </w:tc>
      </w:tr>
      <w:tr>
        <w:trPr>
          <w:trHeight w:val="173"/>
        </w:trPr>
        <w:tc>
          <w:tcPr>
            <w:tcW w:w="51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15"/>
                <w:szCs w:val="15"/>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color w:val="auto"/>
                <w:w w:val="82"/>
              </w:rPr>
              <w:t>Parent</w:t>
            </w:r>
          </w:p>
        </w:tc>
        <w:tc>
          <w:tcPr>
            <w:tcW w:w="2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4"/>
                <w:szCs w:val="14"/>
                <w:color w:val="auto"/>
              </w:rPr>
              <w:t>Parent</w:t>
            </w:r>
          </w:p>
        </w:tc>
        <w:tc>
          <w:tcPr>
            <w:tcW w:w="180" w:type="dxa"/>
            <w:vAlign w:val="bottom"/>
          </w:tcPr>
          <w:p>
            <w:pPr>
              <w:spacing w:after="0"/>
              <w:rPr>
                <w:sz w:val="15"/>
                <w:szCs w:val="15"/>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color w:val="auto"/>
                <w:w w:val="78"/>
              </w:rPr>
              <w:t>Parents</w:t>
            </w:r>
          </w:p>
        </w:tc>
        <w:tc>
          <w:tcPr>
            <w:tcW w:w="800" w:type="dxa"/>
            <w:vAlign w:val="bottom"/>
            <w:gridSpan w:val="2"/>
          </w:tcPr>
          <w:p>
            <w:pPr>
              <w:jc w:val="right"/>
              <w:ind w:right="52"/>
              <w:spacing w:after="0"/>
              <w:rPr>
                <w:sz w:val="20"/>
                <w:szCs w:val="20"/>
                <w:color w:val="auto"/>
              </w:rPr>
            </w:pPr>
            <w:r>
              <w:rPr>
                <w:rFonts w:ascii="Arial" w:cs="Arial" w:eastAsia="Arial" w:hAnsi="Arial"/>
                <w:sz w:val="14"/>
                <w:szCs w:val="14"/>
                <w:color w:val="auto"/>
              </w:rPr>
              <w:t>Holdings</w:t>
            </w:r>
          </w:p>
        </w:tc>
        <w:tc>
          <w:tcPr>
            <w:tcW w:w="880" w:type="dxa"/>
            <w:vAlign w:val="bottom"/>
            <w:gridSpan w:val="2"/>
          </w:tcPr>
          <w:p>
            <w:pPr>
              <w:ind w:left="120"/>
              <w:spacing w:after="0"/>
              <w:rPr>
                <w:sz w:val="20"/>
                <w:szCs w:val="20"/>
                <w:color w:val="auto"/>
              </w:rPr>
            </w:pPr>
            <w:r>
              <w:rPr>
                <w:rFonts w:ascii="Arial" w:cs="Arial" w:eastAsia="Arial" w:hAnsi="Arial"/>
                <w:sz w:val="14"/>
                <w:szCs w:val="14"/>
                <w:color w:val="auto"/>
                <w:w w:val="96"/>
              </w:rPr>
              <w:t>Subsidiaries</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860" w:type="dxa"/>
            <w:vAlign w:val="bottom"/>
            <w:gridSpan w:val="3"/>
          </w:tcPr>
          <w:p>
            <w:pPr>
              <w:jc w:val="center"/>
              <w:ind w:left="19"/>
              <w:spacing w:after="0"/>
              <w:rPr>
                <w:sz w:val="20"/>
                <w:szCs w:val="20"/>
                <w:color w:val="auto"/>
              </w:rPr>
            </w:pPr>
            <w:r>
              <w:rPr>
                <w:rFonts w:ascii="Arial" w:cs="Arial" w:eastAsia="Arial" w:hAnsi="Arial"/>
                <w:sz w:val="14"/>
                <w:szCs w:val="14"/>
                <w:color w:val="auto"/>
                <w:w w:val="87"/>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671</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50</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460" w:type="dxa"/>
            <w:vAlign w:val="bottom"/>
          </w:tcPr>
          <w:p>
            <w:pPr>
              <w:spacing w:after="0"/>
              <w:rPr>
                <w:sz w:val="18"/>
                <w:szCs w:val="18"/>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1,711</w:t>
            </w:r>
          </w:p>
        </w:tc>
        <w:tc>
          <w:tcPr>
            <w:tcW w:w="220" w:type="dxa"/>
            <w:vAlign w:val="bottom"/>
          </w:tcPr>
          <w:p>
            <w:pPr>
              <w:spacing w:after="0"/>
              <w:rPr>
                <w:sz w:val="18"/>
                <w:szCs w:val="18"/>
                <w:color w:val="auto"/>
              </w:rPr>
            </w:pP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current assets</w:t>
            </w:r>
          </w:p>
        </w:tc>
        <w:tc>
          <w:tcPr>
            <w:tcW w:w="4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169</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620</w:t>
            </w:r>
          </w:p>
        </w:tc>
        <w:tc>
          <w:tcPr>
            <w:tcW w:w="2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ind w:left="4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Total current assets</w:t>
            </w:r>
          </w:p>
        </w:tc>
        <w:tc>
          <w:tcPr>
            <w:tcW w:w="46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6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3,052</w:t>
            </w:r>
          </w:p>
        </w:tc>
        <w:tc>
          <w:tcPr>
            <w:tcW w:w="220" w:type="dxa"/>
            <w:vAlign w:val="bottom"/>
          </w:tcPr>
          <w:p>
            <w:pPr>
              <w:spacing w:after="0"/>
              <w:rPr>
                <w:sz w:val="18"/>
                <w:szCs w:val="18"/>
                <w:color w:val="auto"/>
              </w:rPr>
            </w:pP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5,947</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Investments in and amounts due from subsidiaries eliminated upon</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consolidation</w:t>
            </w:r>
          </w:p>
        </w:tc>
        <w:tc>
          <w:tcPr>
            <w:tcW w:w="460" w:type="dxa"/>
            <w:vAlign w:val="bottom"/>
          </w:tcPr>
          <w:p>
            <w:pPr>
              <w:spacing w:after="0"/>
              <w:rPr>
                <w:sz w:val="19"/>
                <w:szCs w:val="19"/>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w w:val="83"/>
              </w:rPr>
              <w:t>73,943</w:t>
            </w:r>
          </w:p>
        </w:tc>
        <w:tc>
          <w:tcPr>
            <w:tcW w:w="200" w:type="dxa"/>
            <w:vAlign w:val="bottom"/>
          </w:tcPr>
          <w:p>
            <w:pPr>
              <w:spacing w:after="0"/>
              <w:rPr>
                <w:sz w:val="19"/>
                <w:szCs w:val="19"/>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w w:val="83"/>
              </w:rPr>
              <w:t>80,766</w:t>
            </w:r>
          </w:p>
        </w:tc>
        <w:tc>
          <w:tcPr>
            <w:tcW w:w="180" w:type="dxa"/>
            <w:vAlign w:val="bottom"/>
          </w:tcPr>
          <w:p>
            <w:pPr>
              <w:spacing w:after="0"/>
              <w:rPr>
                <w:sz w:val="19"/>
                <w:szCs w:val="19"/>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w w:val="87"/>
              </w:rPr>
              <w:t>47,141</w:t>
            </w:r>
          </w:p>
        </w:tc>
        <w:tc>
          <w:tcPr>
            <w:tcW w:w="20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69,959</w:t>
            </w:r>
          </w:p>
        </w:tc>
        <w:tc>
          <w:tcPr>
            <w:tcW w:w="200" w:type="dxa"/>
            <w:vAlign w:val="bottom"/>
          </w:tcPr>
          <w:p>
            <w:pPr>
              <w:spacing w:after="0"/>
              <w:rPr>
                <w:sz w:val="19"/>
                <w:szCs w:val="19"/>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5,721</w:t>
            </w:r>
          </w:p>
        </w:tc>
        <w:tc>
          <w:tcPr>
            <w:tcW w:w="220" w:type="dxa"/>
            <w:vAlign w:val="bottom"/>
          </w:tcPr>
          <w:p>
            <w:pPr>
              <w:spacing w:after="0"/>
              <w:rPr>
                <w:sz w:val="19"/>
                <w:szCs w:val="19"/>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(277,530)</w:t>
            </w:r>
          </w:p>
        </w:tc>
        <w:tc>
          <w:tcPr>
            <w:tcW w:w="220" w:type="dxa"/>
            <w:vAlign w:val="bottom"/>
          </w:tcPr>
          <w:p>
            <w:pPr>
              <w:spacing w:after="0"/>
              <w:rPr>
                <w:sz w:val="19"/>
                <w:szCs w:val="19"/>
                <w:color w:val="auto"/>
              </w:rPr>
            </w:pP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299</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23,556</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Franchise rights</w:t>
            </w:r>
          </w:p>
        </w:tc>
        <w:tc>
          <w:tcPr>
            <w:tcW w:w="460" w:type="dxa"/>
            <w:vAlign w:val="bottom"/>
          </w:tcPr>
          <w:p>
            <w:pPr>
              <w:spacing w:after="0"/>
              <w:rPr>
                <w:sz w:val="18"/>
                <w:szCs w:val="18"/>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59,452</w:t>
            </w:r>
          </w:p>
        </w:tc>
        <w:tc>
          <w:tcPr>
            <w:tcW w:w="220" w:type="dxa"/>
            <w:vAlign w:val="bottom"/>
          </w:tcPr>
          <w:p>
            <w:pPr>
              <w:spacing w:after="0"/>
              <w:rPr>
                <w:sz w:val="18"/>
                <w:szCs w:val="18"/>
                <w:color w:val="auto"/>
              </w:rPr>
            </w:pP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14,933</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46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600" w:type="dxa"/>
            <w:vAlign w:val="bottom"/>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4,094</w:t>
            </w:r>
          </w:p>
        </w:tc>
        <w:tc>
          <w:tcPr>
            <w:tcW w:w="220" w:type="dxa"/>
            <w:vAlign w:val="bottom"/>
          </w:tcPr>
          <w:p>
            <w:pPr>
              <w:spacing w:after="0"/>
              <w:rPr>
                <w:sz w:val="18"/>
                <w:szCs w:val="18"/>
                <w:color w:val="auto"/>
              </w:rPr>
            </w:pP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4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419</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780</w:t>
            </w:r>
          </w:p>
        </w:tc>
        <w:tc>
          <w:tcPr>
            <w:tcW w:w="2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ind w:left="4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3"/>
              </w:rPr>
              <w:t>74,841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80,781</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7"/>
              </w:rPr>
              <w:t>47,141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69,965</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6"/>
              </w:rPr>
              <w:t>117,535</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(277,530)</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112,733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w w:val="93"/>
              </w:rPr>
              <w:t>Accounts payable and accrued expenses related to trade creditors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3,080</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1,009</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75</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1,608</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Current portion of long-term debt</w:t>
            </w: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1,100</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2,123</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75</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4,744</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46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w w:val="83"/>
              </w:rPr>
              <w:t>20,089</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4,925</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2,352</w:t>
            </w:r>
          </w:p>
        </w:tc>
        <w:tc>
          <w:tcPr>
            <w:tcW w:w="200" w:type="dxa"/>
            <w:vAlign w:val="bottom"/>
          </w:tcPr>
          <w:p>
            <w:pPr>
              <w:spacing w:after="0"/>
              <w:rPr>
                <w:sz w:val="18"/>
                <w:szCs w:val="18"/>
                <w:color w:val="auto"/>
              </w:rPr>
            </w:pPr>
          </w:p>
        </w:tc>
        <w:tc>
          <w:tcPr>
            <w:tcW w:w="600" w:type="dxa"/>
            <w:vAlign w:val="bottom"/>
          </w:tcPr>
          <w:p>
            <w:pPr>
              <w:ind w:left="240"/>
              <w:spacing w:after="0"/>
              <w:rPr>
                <w:sz w:val="20"/>
                <w:szCs w:val="20"/>
                <w:color w:val="auto"/>
              </w:rPr>
            </w:pPr>
            <w:r>
              <w:rPr>
                <w:rFonts w:ascii="Arial" w:cs="Arial" w:eastAsia="Arial" w:hAnsi="Arial"/>
                <w:sz w:val="18"/>
                <w:szCs w:val="18"/>
                <w:color w:val="auto"/>
              </w:rPr>
              <w:t>326</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18"/>
                <w:szCs w:val="18"/>
                <w:color w:val="auto"/>
              </w:rPr>
            </w:pP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8,068</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697</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19,035</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46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1,840</w:t>
            </w:r>
          </w:p>
        </w:tc>
        <w:tc>
          <w:tcPr>
            <w:tcW w:w="200" w:type="dxa"/>
            <w:vAlign w:val="bottom"/>
          </w:tcPr>
          <w:p>
            <w:pPr>
              <w:spacing w:after="0"/>
              <w:rPr>
                <w:sz w:val="18"/>
                <w:szCs w:val="18"/>
                <w:color w:val="auto"/>
              </w:rPr>
            </w:pPr>
          </w:p>
        </w:tc>
        <w:tc>
          <w:tcPr>
            <w:tcW w:w="600" w:type="dxa"/>
            <w:vAlign w:val="bottom"/>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ind w:left="240"/>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4,756</w:t>
            </w:r>
          </w:p>
        </w:tc>
        <w:tc>
          <w:tcPr>
            <w:tcW w:w="220" w:type="dxa"/>
            <w:vAlign w:val="bottom"/>
          </w:tcPr>
          <w:p>
            <w:pPr>
              <w:spacing w:after="0"/>
              <w:rPr>
                <w:sz w:val="18"/>
                <w:szCs w:val="18"/>
                <w:color w:val="auto"/>
              </w:rPr>
            </w:pP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Equity:</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Common stock</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32</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shareholders’ equity</w:t>
            </w: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83"/>
              </w:rPr>
              <w:t>42,689</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83"/>
              </w:rPr>
              <w:t>75,680</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44,714</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7"/>
              </w:rPr>
              <w:t>68,640</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88,496</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(277,530)</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83"/>
              </w:rPr>
              <w:t>42,721</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w w:val="83"/>
              </w:rPr>
              <w:t>75,680</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7"/>
              </w:rPr>
              <w:t>44,714</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87"/>
              </w:rPr>
              <w:t>68,640</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88,496</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ind w:left="40"/>
              <w:spacing w:after="0"/>
              <w:rPr>
                <w:sz w:val="20"/>
                <w:szCs w:val="20"/>
                <w:color w:val="auto"/>
              </w:rPr>
            </w:pPr>
            <w:r>
              <w:rPr>
                <w:rFonts w:ascii="Arial" w:cs="Arial" w:eastAsia="Arial" w:hAnsi="Arial"/>
                <w:sz w:val="18"/>
                <w:szCs w:val="18"/>
                <w:color w:val="auto"/>
              </w:rPr>
              <w:t>(277,530)</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42,721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4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83"/>
              </w:rPr>
              <w:t>42,721</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w w:val="83"/>
              </w:rPr>
              <w:t>75,680</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44,714</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87"/>
              </w:rPr>
              <w:t>68,640</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88,586</w:t>
            </w:r>
          </w:p>
        </w:tc>
        <w:tc>
          <w:tcPr>
            <w:tcW w:w="2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8"/>
                <w:szCs w:val="18"/>
                <w:color w:val="auto"/>
              </w:rPr>
              <w:t>(277,530)</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42,811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3"/>
              </w:rPr>
              <w:t>74,841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80,781</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7"/>
              </w:rPr>
              <w:t>47,141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69,965</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6"/>
              </w:rPr>
              <w:t>117,535</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(277,530)</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112,733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Combined</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73"/>
              <w:spacing w:after="0" w:line="149" w:lineRule="exact"/>
              <w:rPr>
                <w:sz w:val="20"/>
                <w:szCs w:val="20"/>
                <w:color w:val="auto"/>
              </w:rPr>
            </w:pPr>
            <w:r>
              <w:rPr>
                <w:rFonts w:ascii="Arial" w:cs="Arial" w:eastAsia="Arial" w:hAnsi="Arial"/>
                <w:sz w:val="14"/>
                <w:szCs w:val="14"/>
                <w:color w:val="auto"/>
                <w:w w:val="98"/>
              </w:rPr>
              <w:t>Non-</w:t>
            </w:r>
          </w:p>
        </w:tc>
        <w:tc>
          <w:tcPr>
            <w:tcW w:w="400" w:type="dxa"/>
            <w:vAlign w:val="bottom"/>
          </w:tcPr>
          <w:p>
            <w:pPr>
              <w:spacing w:after="0"/>
              <w:rPr>
                <w:sz w:val="12"/>
                <w:szCs w:val="12"/>
                <w:color w:val="auto"/>
              </w:rPr>
            </w:pPr>
          </w:p>
        </w:tc>
        <w:tc>
          <w:tcPr>
            <w:tcW w:w="840" w:type="dxa"/>
            <w:vAlign w:val="bottom"/>
          </w:tcPr>
          <w:p>
            <w:pPr>
              <w:jc w:val="center"/>
              <w:ind w:right="353"/>
              <w:spacing w:after="0" w:line="149" w:lineRule="exact"/>
              <w:rPr>
                <w:sz w:val="20"/>
                <w:szCs w:val="20"/>
                <w:color w:val="auto"/>
              </w:rPr>
            </w:pPr>
            <w:r>
              <w:rPr>
                <w:rFonts w:ascii="Arial" w:cs="Arial" w:eastAsia="Arial" w:hAnsi="Arial"/>
                <w:sz w:val="14"/>
                <w:szCs w:val="14"/>
                <w:color w:val="auto"/>
                <w:w w:val="85"/>
              </w:rPr>
              <w:t>and</w:t>
            </w:r>
          </w:p>
        </w:tc>
        <w:tc>
          <w:tcPr>
            <w:tcW w:w="104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96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CCCL</w:t>
            </w:r>
          </w:p>
        </w:tc>
        <w:tc>
          <w:tcPr>
            <w:tcW w:w="104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CCHMO</w:t>
            </w:r>
          </w:p>
        </w:tc>
        <w:tc>
          <w:tcPr>
            <w:tcW w:w="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Comcast</w:t>
            </w:r>
          </w:p>
        </w:tc>
        <w:tc>
          <w:tcPr>
            <w:tcW w:w="1120" w:type="dxa"/>
            <w:vAlign w:val="bottom"/>
            <w:gridSpan w:val="2"/>
          </w:tcPr>
          <w:p>
            <w:pPr>
              <w:jc w:val="right"/>
              <w:ind w:right="233"/>
              <w:spacing w:after="0" w:line="149" w:lineRule="exact"/>
              <w:rPr>
                <w:sz w:val="20"/>
                <w:szCs w:val="20"/>
                <w:color w:val="auto"/>
              </w:rPr>
            </w:pPr>
            <w:r>
              <w:rPr>
                <w:rFonts w:ascii="Arial" w:cs="Arial" w:eastAsia="Arial" w:hAnsi="Arial"/>
                <w:sz w:val="14"/>
                <w:szCs w:val="14"/>
                <w:color w:val="auto"/>
              </w:rPr>
              <w:t>Guarantor</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3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1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940" w:type="dxa"/>
            <w:vAlign w:val="bottom"/>
            <w:gridSpan w:val="2"/>
          </w:tcPr>
          <w:p>
            <w:pPr>
              <w:jc w:val="right"/>
              <w:ind w:right="252"/>
              <w:spacing w:after="0"/>
              <w:rPr>
                <w:sz w:val="20"/>
                <w:szCs w:val="20"/>
                <w:color w:val="auto"/>
              </w:rPr>
            </w:pPr>
            <w:r>
              <w:rPr>
                <w:rFonts w:ascii="Arial" w:cs="Arial" w:eastAsia="Arial" w:hAnsi="Arial"/>
                <w:sz w:val="14"/>
                <w:szCs w:val="14"/>
                <w:color w:val="auto"/>
              </w:rPr>
              <w:t>Parent</w:t>
            </w:r>
          </w:p>
        </w:tc>
        <w:tc>
          <w:tcPr>
            <w:tcW w:w="960" w:type="dxa"/>
            <w:vAlign w:val="bottom"/>
            <w:gridSpan w:val="2"/>
          </w:tcPr>
          <w:p>
            <w:pPr>
              <w:jc w:val="right"/>
              <w:ind w:right="252"/>
              <w:spacing w:after="0"/>
              <w:rPr>
                <w:sz w:val="20"/>
                <w:szCs w:val="20"/>
                <w:color w:val="auto"/>
              </w:rPr>
            </w:pPr>
            <w:r>
              <w:rPr>
                <w:rFonts w:ascii="Arial" w:cs="Arial" w:eastAsia="Arial" w:hAnsi="Arial"/>
                <w:sz w:val="14"/>
                <w:szCs w:val="14"/>
                <w:color w:val="auto"/>
              </w:rPr>
              <w:t>Parent</w:t>
            </w:r>
          </w:p>
        </w:tc>
        <w:tc>
          <w:tcPr>
            <w:tcW w:w="1040" w:type="dxa"/>
            <w:vAlign w:val="bottom"/>
            <w:gridSpan w:val="2"/>
          </w:tcPr>
          <w:p>
            <w:pPr>
              <w:jc w:val="right"/>
              <w:ind w:right="272"/>
              <w:spacing w:after="0"/>
              <w:rPr>
                <w:sz w:val="20"/>
                <w:szCs w:val="20"/>
                <w:color w:val="auto"/>
              </w:rPr>
            </w:pPr>
            <w:r>
              <w:rPr>
                <w:rFonts w:ascii="Arial" w:cs="Arial" w:eastAsia="Arial" w:hAnsi="Arial"/>
                <w:sz w:val="14"/>
                <w:szCs w:val="14"/>
                <w:color w:val="auto"/>
              </w:rPr>
              <w:t>Parents</w:t>
            </w:r>
          </w:p>
        </w:tc>
        <w:tc>
          <w:tcPr>
            <w:tcW w:w="980" w:type="dxa"/>
            <w:vAlign w:val="bottom"/>
            <w:gridSpan w:val="2"/>
          </w:tcPr>
          <w:p>
            <w:pPr>
              <w:ind w:left="200"/>
              <w:spacing w:after="0"/>
              <w:rPr>
                <w:sz w:val="20"/>
                <w:szCs w:val="20"/>
                <w:color w:val="auto"/>
              </w:rPr>
            </w:pPr>
            <w:r>
              <w:rPr>
                <w:rFonts w:ascii="Arial" w:cs="Arial" w:eastAsia="Arial" w:hAnsi="Arial"/>
                <w:sz w:val="14"/>
                <w:szCs w:val="14"/>
                <w:color w:val="auto"/>
              </w:rPr>
              <w:t>Holdings</w:t>
            </w:r>
          </w:p>
        </w:tc>
        <w:tc>
          <w:tcPr>
            <w:tcW w:w="1120" w:type="dxa"/>
            <w:vAlign w:val="bottom"/>
            <w:gridSpan w:val="2"/>
          </w:tcPr>
          <w:p>
            <w:pPr>
              <w:ind w:left="200"/>
              <w:spacing w:after="0"/>
              <w:rPr>
                <w:sz w:val="20"/>
                <w:szCs w:val="20"/>
                <w:color w:val="auto"/>
              </w:rPr>
            </w:pPr>
            <w:r>
              <w:rPr>
                <w:rFonts w:ascii="Arial" w:cs="Arial" w:eastAsia="Arial" w:hAnsi="Arial"/>
                <w:sz w:val="14"/>
                <w:szCs w:val="14"/>
                <w:color w:val="auto"/>
              </w:rPr>
              <w:t>Subsidiaries</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4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0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9,525</w:t>
            </w:r>
          </w:p>
        </w:tc>
        <w:tc>
          <w:tcPr>
            <w:tcW w:w="40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9,525</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202</w:t>
            </w:r>
          </w:p>
        </w:tc>
        <w:tc>
          <w:tcPr>
            <w:tcW w:w="3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120</w:t>
            </w:r>
          </w:p>
        </w:tc>
        <w:tc>
          <w:tcPr>
            <w:tcW w:w="4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112</w:t>
            </w: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(434)</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202</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120</w:t>
            </w: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112</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9,525</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(434)</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9,525</w:t>
            </w:r>
          </w:p>
        </w:tc>
      </w:tr>
      <w:tr>
        <w:trPr>
          <w:trHeight w:val="210"/>
        </w:trPr>
        <w:tc>
          <w:tcPr>
            <w:tcW w:w="20" w:type="dxa"/>
            <w:vAlign w:val="bottom"/>
          </w:tcPr>
          <w:p>
            <w:pPr>
              <w:spacing w:after="0"/>
              <w:rPr>
                <w:sz w:val="18"/>
                <w:szCs w:val="18"/>
                <w:color w:val="auto"/>
              </w:rPr>
            </w:pPr>
          </w:p>
        </w:tc>
        <w:tc>
          <w:tcPr>
            <w:tcW w:w="408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w w:val="93"/>
              </w:rPr>
              <w:t>Operating (excluding depreciation and amortization)</w:t>
            </w:r>
          </w:p>
        </w:tc>
        <w:tc>
          <w:tcPr>
            <w:tcW w:w="28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3,827</w:t>
            </w:r>
          </w:p>
        </w:tc>
        <w:tc>
          <w:tcPr>
            <w:tcW w:w="40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3,827</w:t>
            </w:r>
          </w:p>
        </w:tc>
      </w:tr>
      <w:tr>
        <w:trPr>
          <w:trHeight w:val="216"/>
        </w:trPr>
        <w:tc>
          <w:tcPr>
            <w:tcW w:w="20" w:type="dxa"/>
            <w:vAlign w:val="bottom"/>
          </w:tcPr>
          <w:p>
            <w:pPr>
              <w:spacing w:after="0"/>
              <w:rPr>
                <w:sz w:val="18"/>
                <w:szCs w:val="18"/>
                <w:color w:val="auto"/>
              </w:rPr>
            </w:pPr>
          </w:p>
        </w:tc>
        <w:tc>
          <w:tcPr>
            <w:tcW w:w="40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119</w:t>
            </w: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120</w:t>
            </w: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15</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2,029</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(434)</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1,961</w:t>
            </w: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1,404</w:t>
            </w:r>
          </w:p>
        </w:tc>
        <w:tc>
          <w:tcPr>
            <w:tcW w:w="40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1,411</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248</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248</w:t>
            </w:r>
          </w:p>
        </w:tc>
      </w:tr>
      <w:tr>
        <w:trPr>
          <w:trHeight w:val="210"/>
        </w:trPr>
        <w:tc>
          <w:tcPr>
            <w:tcW w:w="20" w:type="dxa"/>
            <w:vAlign w:val="bottom"/>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126</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120</w:t>
            </w: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112</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7,508</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(434)</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7,447</w:t>
            </w:r>
          </w:p>
        </w:tc>
      </w:tr>
      <w:tr>
        <w:trPr>
          <w:trHeight w:val="210"/>
        </w:trPr>
        <w:tc>
          <w:tcPr>
            <w:tcW w:w="20" w:type="dxa"/>
            <w:vAlign w:val="bottom"/>
          </w:tcPr>
          <w:p>
            <w:pPr>
              <w:spacing w:after="0"/>
              <w:rPr>
                <w:sz w:val="18"/>
                <w:szCs w:val="18"/>
                <w:color w:val="auto"/>
              </w:rPr>
            </w:pPr>
          </w:p>
        </w:tc>
        <w:tc>
          <w:tcPr>
            <w:tcW w:w="40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76</w:t>
            </w: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(15)</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2,017</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2,078</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(357)</w:t>
            </w: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(43)</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(9)</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(34)</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(543)</w:t>
            </w: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28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Equity in net income (losses) of affiliates, net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84"/>
              </w:rPr>
              <w:t>1,089</w:t>
            </w: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84"/>
              </w:rPr>
              <w:t>1,114</w:t>
            </w: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748</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w w:val="84"/>
              </w:rPr>
              <w:t>1,147</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(26)</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(4,098)</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(35)</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10"/>
        </w:trPr>
        <w:tc>
          <w:tcPr>
            <w:tcW w:w="20" w:type="dxa"/>
            <w:vAlign w:val="bottom"/>
          </w:tcPr>
          <w:p>
            <w:pPr>
              <w:spacing w:after="0"/>
              <w:rPr>
                <w:sz w:val="18"/>
                <w:szCs w:val="18"/>
                <w:color w:val="auto"/>
              </w:rPr>
            </w:pPr>
          </w:p>
        </w:tc>
        <w:tc>
          <w:tcPr>
            <w:tcW w:w="408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698</w:t>
            </w:r>
          </w:p>
        </w:tc>
        <w:tc>
          <w:tcPr>
            <w:tcW w:w="3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w w:val="84"/>
              </w:rPr>
              <w:t>1,014</w:t>
            </w:r>
          </w:p>
        </w:tc>
        <w:tc>
          <w:tcPr>
            <w:tcW w:w="4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705</w:t>
            </w: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w w:val="84"/>
              </w:rPr>
              <w:t>1,139</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(62)</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(4,098)</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(604)</w:t>
            </w: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774</w:t>
            </w:r>
          </w:p>
        </w:tc>
        <w:tc>
          <w:tcPr>
            <w:tcW w:w="3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w w:val="84"/>
              </w:rPr>
              <w:t>1,014</w:t>
            </w:r>
          </w:p>
        </w:tc>
        <w:tc>
          <w:tcPr>
            <w:tcW w:w="40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705</w:t>
            </w:r>
          </w:p>
        </w:tc>
        <w:tc>
          <w:tcPr>
            <w:tcW w:w="30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1,124</w:t>
            </w:r>
          </w:p>
        </w:tc>
        <w:tc>
          <w:tcPr>
            <w:tcW w:w="3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1,955</w:t>
            </w:r>
          </w:p>
        </w:tc>
        <w:tc>
          <w:tcPr>
            <w:tcW w:w="40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(4,098)</w:t>
            </w:r>
          </w:p>
        </w:tc>
        <w:tc>
          <w:tcPr>
            <w:tcW w:w="3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1,474</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110</w:t>
            </w:r>
          </w:p>
        </w:tc>
        <w:tc>
          <w:tcPr>
            <w:tcW w:w="3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35</w:t>
            </w:r>
          </w:p>
        </w:tc>
        <w:tc>
          <w:tcPr>
            <w:tcW w:w="4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(756)</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(588)</w:t>
            </w: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Net income (loss) from consolidated operations</w:t>
            </w:r>
          </w:p>
        </w:tc>
        <w:tc>
          <w:tcPr>
            <w:tcW w:w="28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884</w:t>
            </w:r>
          </w:p>
        </w:tc>
        <w:tc>
          <w:tcPr>
            <w:tcW w:w="3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w w:val="84"/>
              </w:rPr>
              <w:t>1,049</w:t>
            </w:r>
          </w:p>
        </w:tc>
        <w:tc>
          <w:tcPr>
            <w:tcW w:w="40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720</w:t>
            </w:r>
          </w:p>
        </w:tc>
        <w:tc>
          <w:tcPr>
            <w:tcW w:w="30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1,132</w:t>
            </w:r>
          </w:p>
        </w:tc>
        <w:tc>
          <w:tcPr>
            <w:tcW w:w="3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1,199</w:t>
            </w:r>
          </w:p>
        </w:tc>
        <w:tc>
          <w:tcPr>
            <w:tcW w:w="40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(4,098)</w:t>
            </w:r>
          </w:p>
        </w:tc>
        <w:tc>
          <w:tcPr>
            <w:tcW w:w="3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886</w:t>
            </w:r>
          </w:p>
        </w:tc>
      </w:tr>
      <w:tr>
        <w:trPr>
          <w:trHeight w:val="208"/>
        </w:trPr>
        <w:tc>
          <w:tcPr>
            <w:tcW w:w="20" w:type="dxa"/>
            <w:vAlign w:val="bottom"/>
          </w:tcPr>
          <w:p>
            <w:pPr>
              <w:spacing w:after="0"/>
              <w:rPr>
                <w:sz w:val="18"/>
                <w:szCs w:val="18"/>
                <w:color w:val="auto"/>
              </w:rPr>
            </w:pPr>
          </w:p>
        </w:tc>
        <w:tc>
          <w:tcPr>
            <w:tcW w:w="408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interests</w:t>
            </w:r>
          </w:p>
        </w:tc>
        <w:tc>
          <w:tcPr>
            <w:tcW w:w="280" w:type="dxa"/>
            <w:vAlign w:val="bottom"/>
            <w:tcBorders>
              <w:bottom w:val="single" w:sz="8" w:color="auto"/>
            </w:tcBorders>
            <w:shd w:val="clear" w:color="auto" w:fill="E5E5E5"/>
          </w:tcPr>
          <w:p>
            <w:pPr>
              <w:spacing w:after="0"/>
              <w:rPr>
                <w:sz w:val="19"/>
                <w:szCs w:val="19"/>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9"/>
                <w:szCs w:val="19"/>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9"/>
                <w:szCs w:val="19"/>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9"/>
                <w:szCs w:val="19"/>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auto"/>
            </w:tcBorders>
            <w:shd w:val="clear" w:color="auto" w:fill="E5E5E5"/>
          </w:tcPr>
          <w:p>
            <w:pPr>
              <w:spacing w:after="0"/>
              <w:rPr>
                <w:sz w:val="19"/>
                <w:szCs w:val="19"/>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20" w:type="dxa"/>
            <w:vAlign w:val="bottom"/>
          </w:tcPr>
          <w:p>
            <w:pPr>
              <w:spacing w:after="0"/>
              <w:rPr>
                <w:sz w:val="17"/>
                <w:szCs w:val="17"/>
                <w:color w:val="auto"/>
              </w:rPr>
            </w:pPr>
          </w:p>
        </w:tc>
        <w:tc>
          <w:tcPr>
            <w:tcW w:w="4080" w:type="dxa"/>
            <w:vAlign w:val="bottom"/>
          </w:tcPr>
          <w:p>
            <w:pPr>
              <w:spacing w:after="0" w:line="196" w:lineRule="exact"/>
              <w:rPr>
                <w:sz w:val="20"/>
                <w:szCs w:val="20"/>
                <w:color w:val="auto"/>
              </w:rPr>
            </w:pPr>
            <w:r>
              <w:rPr>
                <w:rFonts w:ascii="Arial" w:cs="Arial" w:eastAsia="Arial" w:hAnsi="Arial"/>
                <w:sz w:val="18"/>
                <w:szCs w:val="18"/>
                <w:b w:val="1"/>
                <w:bCs w:val="1"/>
                <w:color w:val="auto"/>
              </w:rPr>
              <w:t>Net income (loss) attributable to Comcast</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0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884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4"/>
              </w:rPr>
              <w:t>1,049</w:t>
            </w: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720</w:t>
            </w:r>
          </w:p>
        </w:tc>
        <w:tc>
          <w:tcPr>
            <w:tcW w:w="3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84"/>
              </w:rPr>
              <w:t>1,132</w:t>
            </w:r>
          </w:p>
        </w:tc>
        <w:tc>
          <w:tcPr>
            <w:tcW w:w="3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1,197</w:t>
            </w:r>
          </w:p>
        </w:tc>
        <w:tc>
          <w:tcPr>
            <w:tcW w:w="40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(4,098)</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884</w:t>
            </w:r>
          </w:p>
        </w:tc>
      </w:tr>
      <w:tr>
        <w:trPr>
          <w:trHeight w:val="363"/>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2009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Combined</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73"/>
              <w:spacing w:after="0" w:line="149" w:lineRule="exact"/>
              <w:rPr>
                <w:sz w:val="20"/>
                <w:szCs w:val="20"/>
                <w:color w:val="auto"/>
              </w:rPr>
            </w:pPr>
            <w:r>
              <w:rPr>
                <w:rFonts w:ascii="Arial" w:cs="Arial" w:eastAsia="Arial" w:hAnsi="Arial"/>
                <w:sz w:val="14"/>
                <w:szCs w:val="14"/>
                <w:color w:val="auto"/>
                <w:w w:val="98"/>
              </w:rPr>
              <w:t>Non-</w:t>
            </w:r>
          </w:p>
        </w:tc>
        <w:tc>
          <w:tcPr>
            <w:tcW w:w="400" w:type="dxa"/>
            <w:vAlign w:val="bottom"/>
          </w:tcPr>
          <w:p>
            <w:pPr>
              <w:spacing w:after="0"/>
              <w:rPr>
                <w:sz w:val="12"/>
                <w:szCs w:val="12"/>
                <w:color w:val="auto"/>
              </w:rPr>
            </w:pPr>
          </w:p>
        </w:tc>
        <w:tc>
          <w:tcPr>
            <w:tcW w:w="840" w:type="dxa"/>
            <w:vAlign w:val="bottom"/>
          </w:tcPr>
          <w:p>
            <w:pPr>
              <w:jc w:val="center"/>
              <w:ind w:right="353"/>
              <w:spacing w:after="0" w:line="149" w:lineRule="exact"/>
              <w:rPr>
                <w:sz w:val="20"/>
                <w:szCs w:val="20"/>
                <w:color w:val="auto"/>
              </w:rPr>
            </w:pPr>
            <w:r>
              <w:rPr>
                <w:rFonts w:ascii="Arial" w:cs="Arial" w:eastAsia="Arial" w:hAnsi="Arial"/>
                <w:sz w:val="14"/>
                <w:szCs w:val="14"/>
                <w:color w:val="auto"/>
                <w:w w:val="85"/>
              </w:rPr>
              <w:t>and</w:t>
            </w:r>
          </w:p>
        </w:tc>
        <w:tc>
          <w:tcPr>
            <w:tcW w:w="104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96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CCCL</w:t>
            </w:r>
          </w:p>
        </w:tc>
        <w:tc>
          <w:tcPr>
            <w:tcW w:w="104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CCHMO</w:t>
            </w:r>
          </w:p>
        </w:tc>
        <w:tc>
          <w:tcPr>
            <w:tcW w:w="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Comcast</w:t>
            </w:r>
          </w:p>
        </w:tc>
        <w:tc>
          <w:tcPr>
            <w:tcW w:w="1120" w:type="dxa"/>
            <w:vAlign w:val="bottom"/>
            <w:gridSpan w:val="2"/>
          </w:tcPr>
          <w:p>
            <w:pPr>
              <w:jc w:val="right"/>
              <w:ind w:right="233"/>
              <w:spacing w:after="0" w:line="149" w:lineRule="exact"/>
              <w:rPr>
                <w:sz w:val="20"/>
                <w:szCs w:val="20"/>
                <w:color w:val="auto"/>
              </w:rPr>
            </w:pPr>
            <w:r>
              <w:rPr>
                <w:rFonts w:ascii="Arial" w:cs="Arial" w:eastAsia="Arial" w:hAnsi="Arial"/>
                <w:sz w:val="14"/>
                <w:szCs w:val="14"/>
                <w:color w:val="auto"/>
              </w:rPr>
              <w:t>Guarantor</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3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1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940" w:type="dxa"/>
            <w:vAlign w:val="bottom"/>
            <w:gridSpan w:val="2"/>
          </w:tcPr>
          <w:p>
            <w:pPr>
              <w:jc w:val="right"/>
              <w:ind w:right="252"/>
              <w:spacing w:after="0"/>
              <w:rPr>
                <w:sz w:val="20"/>
                <w:szCs w:val="20"/>
                <w:color w:val="auto"/>
              </w:rPr>
            </w:pPr>
            <w:r>
              <w:rPr>
                <w:rFonts w:ascii="Arial" w:cs="Arial" w:eastAsia="Arial" w:hAnsi="Arial"/>
                <w:sz w:val="14"/>
                <w:szCs w:val="14"/>
                <w:color w:val="auto"/>
              </w:rPr>
              <w:t>Parent</w:t>
            </w:r>
          </w:p>
        </w:tc>
        <w:tc>
          <w:tcPr>
            <w:tcW w:w="960" w:type="dxa"/>
            <w:vAlign w:val="bottom"/>
            <w:gridSpan w:val="2"/>
          </w:tcPr>
          <w:p>
            <w:pPr>
              <w:jc w:val="right"/>
              <w:ind w:right="252"/>
              <w:spacing w:after="0"/>
              <w:rPr>
                <w:sz w:val="20"/>
                <w:szCs w:val="20"/>
                <w:color w:val="auto"/>
              </w:rPr>
            </w:pPr>
            <w:r>
              <w:rPr>
                <w:rFonts w:ascii="Arial" w:cs="Arial" w:eastAsia="Arial" w:hAnsi="Arial"/>
                <w:sz w:val="14"/>
                <w:szCs w:val="14"/>
                <w:color w:val="auto"/>
              </w:rPr>
              <w:t>Parent</w:t>
            </w:r>
          </w:p>
        </w:tc>
        <w:tc>
          <w:tcPr>
            <w:tcW w:w="1040" w:type="dxa"/>
            <w:vAlign w:val="bottom"/>
            <w:gridSpan w:val="2"/>
          </w:tcPr>
          <w:p>
            <w:pPr>
              <w:jc w:val="right"/>
              <w:ind w:right="272"/>
              <w:spacing w:after="0"/>
              <w:rPr>
                <w:sz w:val="20"/>
                <w:szCs w:val="20"/>
                <w:color w:val="auto"/>
              </w:rPr>
            </w:pPr>
            <w:r>
              <w:rPr>
                <w:rFonts w:ascii="Arial" w:cs="Arial" w:eastAsia="Arial" w:hAnsi="Arial"/>
                <w:sz w:val="14"/>
                <w:szCs w:val="14"/>
                <w:color w:val="auto"/>
              </w:rPr>
              <w:t>Parents</w:t>
            </w:r>
          </w:p>
        </w:tc>
        <w:tc>
          <w:tcPr>
            <w:tcW w:w="980" w:type="dxa"/>
            <w:vAlign w:val="bottom"/>
            <w:gridSpan w:val="2"/>
          </w:tcPr>
          <w:p>
            <w:pPr>
              <w:ind w:left="200"/>
              <w:spacing w:after="0"/>
              <w:rPr>
                <w:sz w:val="20"/>
                <w:szCs w:val="20"/>
                <w:color w:val="auto"/>
              </w:rPr>
            </w:pPr>
            <w:r>
              <w:rPr>
                <w:rFonts w:ascii="Arial" w:cs="Arial" w:eastAsia="Arial" w:hAnsi="Arial"/>
                <w:sz w:val="14"/>
                <w:szCs w:val="14"/>
                <w:color w:val="auto"/>
              </w:rPr>
              <w:t>Holdings</w:t>
            </w:r>
          </w:p>
        </w:tc>
        <w:tc>
          <w:tcPr>
            <w:tcW w:w="1120" w:type="dxa"/>
            <w:vAlign w:val="bottom"/>
            <w:gridSpan w:val="2"/>
          </w:tcPr>
          <w:p>
            <w:pPr>
              <w:ind w:left="200"/>
              <w:spacing w:after="0"/>
              <w:rPr>
                <w:sz w:val="20"/>
                <w:szCs w:val="20"/>
                <w:color w:val="auto"/>
              </w:rPr>
            </w:pPr>
            <w:r>
              <w:rPr>
                <w:rFonts w:ascii="Arial" w:cs="Arial" w:eastAsia="Arial" w:hAnsi="Arial"/>
                <w:sz w:val="14"/>
                <w:szCs w:val="14"/>
                <w:color w:val="auto"/>
              </w:rPr>
              <w:t>Subsidiaries</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4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0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8,978</w:t>
            </w:r>
          </w:p>
        </w:tc>
        <w:tc>
          <w:tcPr>
            <w:tcW w:w="40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8,978</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193</w:t>
            </w:r>
          </w:p>
        </w:tc>
        <w:tc>
          <w:tcPr>
            <w:tcW w:w="3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169</w:t>
            </w:r>
          </w:p>
        </w:tc>
        <w:tc>
          <w:tcPr>
            <w:tcW w:w="4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108</w:t>
            </w: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(470)</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193</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169</w:t>
            </w: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108</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8,978</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(470)</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8,978</w:t>
            </w:r>
          </w:p>
        </w:tc>
      </w:tr>
      <w:tr>
        <w:trPr>
          <w:trHeight w:val="210"/>
        </w:trPr>
        <w:tc>
          <w:tcPr>
            <w:tcW w:w="20" w:type="dxa"/>
            <w:vAlign w:val="bottom"/>
          </w:tcPr>
          <w:p>
            <w:pPr>
              <w:spacing w:after="0"/>
              <w:rPr>
                <w:sz w:val="18"/>
                <w:szCs w:val="18"/>
                <w:color w:val="auto"/>
              </w:rPr>
            </w:pPr>
          </w:p>
        </w:tc>
        <w:tc>
          <w:tcPr>
            <w:tcW w:w="408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w w:val="93"/>
              </w:rPr>
              <w:t>Operating (excluding depreciation and amortization)</w:t>
            </w:r>
          </w:p>
        </w:tc>
        <w:tc>
          <w:tcPr>
            <w:tcW w:w="28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3,581</w:t>
            </w:r>
          </w:p>
        </w:tc>
        <w:tc>
          <w:tcPr>
            <w:tcW w:w="40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3,581</w:t>
            </w:r>
          </w:p>
        </w:tc>
      </w:tr>
      <w:tr>
        <w:trPr>
          <w:trHeight w:val="216"/>
        </w:trPr>
        <w:tc>
          <w:tcPr>
            <w:tcW w:w="20" w:type="dxa"/>
            <w:vAlign w:val="bottom"/>
          </w:tcPr>
          <w:p>
            <w:pPr>
              <w:spacing w:after="0"/>
              <w:rPr>
                <w:sz w:val="18"/>
                <w:szCs w:val="18"/>
                <w:color w:val="auto"/>
              </w:rPr>
            </w:pPr>
          </w:p>
        </w:tc>
        <w:tc>
          <w:tcPr>
            <w:tcW w:w="40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82</w:t>
            </w: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169</w:t>
            </w: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108</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14</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1,959</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(470)</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1,862</w:t>
            </w: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1,399</w:t>
            </w:r>
          </w:p>
        </w:tc>
        <w:tc>
          <w:tcPr>
            <w:tcW w:w="40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1,406</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254</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254</w:t>
            </w:r>
          </w:p>
        </w:tc>
      </w:tr>
      <w:tr>
        <w:trPr>
          <w:trHeight w:val="210"/>
        </w:trPr>
        <w:tc>
          <w:tcPr>
            <w:tcW w:w="20" w:type="dxa"/>
            <w:vAlign w:val="bottom"/>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89</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169</w:t>
            </w: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108</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14</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7,193</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(470)</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7,103</w:t>
            </w:r>
          </w:p>
        </w:tc>
      </w:tr>
      <w:tr>
        <w:trPr>
          <w:trHeight w:val="210"/>
        </w:trPr>
        <w:tc>
          <w:tcPr>
            <w:tcW w:w="20" w:type="dxa"/>
            <w:vAlign w:val="bottom"/>
          </w:tcPr>
          <w:p>
            <w:pPr>
              <w:spacing w:after="0"/>
              <w:rPr>
                <w:sz w:val="18"/>
                <w:szCs w:val="18"/>
                <w:color w:val="auto"/>
              </w:rPr>
            </w:pPr>
          </w:p>
        </w:tc>
        <w:tc>
          <w:tcPr>
            <w:tcW w:w="40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(14)</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1,785</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1,875</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(315)</w:t>
            </w: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(140)</w:t>
            </w: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(50)</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(8)</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(38)</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(551)</w:t>
            </w: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28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40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Equity in net income (losses) of affiliates, net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84"/>
              </w:rPr>
              <w:t>1,104</w:t>
            </w: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84"/>
              </w:rPr>
              <w:t>1,246</w:t>
            </w: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839</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w w:val="84"/>
              </w:rPr>
              <w:t>1,201</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(59)</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(4,344)</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12</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w:t>
            </w:r>
          </w:p>
        </w:tc>
      </w:tr>
      <w:tr>
        <w:trPr>
          <w:trHeight w:val="210"/>
        </w:trPr>
        <w:tc>
          <w:tcPr>
            <w:tcW w:w="20" w:type="dxa"/>
            <w:vAlign w:val="bottom"/>
          </w:tcPr>
          <w:p>
            <w:pPr>
              <w:spacing w:after="0"/>
              <w:rPr>
                <w:sz w:val="18"/>
                <w:szCs w:val="18"/>
                <w:color w:val="auto"/>
              </w:rPr>
            </w:pPr>
          </w:p>
        </w:tc>
        <w:tc>
          <w:tcPr>
            <w:tcW w:w="408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789</w:t>
            </w:r>
          </w:p>
        </w:tc>
        <w:tc>
          <w:tcPr>
            <w:tcW w:w="3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w w:val="84"/>
              </w:rPr>
              <w:t>1,106</w:t>
            </w:r>
          </w:p>
        </w:tc>
        <w:tc>
          <w:tcPr>
            <w:tcW w:w="4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789</w:t>
            </w: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w w:val="84"/>
              </w:rPr>
              <w:t>1,189</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(24)</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(4,344)</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(495)</w:t>
            </w: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893</w:t>
            </w:r>
          </w:p>
        </w:tc>
        <w:tc>
          <w:tcPr>
            <w:tcW w:w="3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w w:val="84"/>
              </w:rPr>
              <w:t>1,106</w:t>
            </w:r>
          </w:p>
        </w:tc>
        <w:tc>
          <w:tcPr>
            <w:tcW w:w="40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789</w:t>
            </w:r>
          </w:p>
        </w:tc>
        <w:tc>
          <w:tcPr>
            <w:tcW w:w="30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1,175</w:t>
            </w:r>
          </w:p>
        </w:tc>
        <w:tc>
          <w:tcPr>
            <w:tcW w:w="3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1,761</w:t>
            </w:r>
          </w:p>
        </w:tc>
        <w:tc>
          <w:tcPr>
            <w:tcW w:w="40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(4,344)</w:t>
            </w:r>
          </w:p>
        </w:tc>
        <w:tc>
          <w:tcPr>
            <w:tcW w:w="3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1,380</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74</w:t>
            </w:r>
          </w:p>
        </w:tc>
        <w:tc>
          <w:tcPr>
            <w:tcW w:w="3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49</w:t>
            </w:r>
          </w:p>
        </w:tc>
        <w:tc>
          <w:tcPr>
            <w:tcW w:w="4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(574)</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(424)</w:t>
            </w: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Net income (loss) from consolidated operations</w:t>
            </w:r>
          </w:p>
        </w:tc>
        <w:tc>
          <w:tcPr>
            <w:tcW w:w="28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967</w:t>
            </w:r>
          </w:p>
        </w:tc>
        <w:tc>
          <w:tcPr>
            <w:tcW w:w="3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w w:val="84"/>
              </w:rPr>
              <w:t>1,155</w:t>
            </w:r>
          </w:p>
        </w:tc>
        <w:tc>
          <w:tcPr>
            <w:tcW w:w="40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806</w:t>
            </w:r>
          </w:p>
        </w:tc>
        <w:tc>
          <w:tcPr>
            <w:tcW w:w="30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1,185</w:t>
            </w:r>
          </w:p>
        </w:tc>
        <w:tc>
          <w:tcPr>
            <w:tcW w:w="3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1,187</w:t>
            </w:r>
          </w:p>
        </w:tc>
        <w:tc>
          <w:tcPr>
            <w:tcW w:w="40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(4,344)</w:t>
            </w:r>
          </w:p>
        </w:tc>
        <w:tc>
          <w:tcPr>
            <w:tcW w:w="3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956</w:t>
            </w:r>
          </w:p>
        </w:tc>
      </w:tr>
      <w:tr>
        <w:trPr>
          <w:trHeight w:val="208"/>
        </w:trPr>
        <w:tc>
          <w:tcPr>
            <w:tcW w:w="20" w:type="dxa"/>
            <w:vAlign w:val="bottom"/>
          </w:tcPr>
          <w:p>
            <w:pPr>
              <w:spacing w:after="0"/>
              <w:rPr>
                <w:sz w:val="18"/>
                <w:szCs w:val="18"/>
                <w:color w:val="auto"/>
              </w:rPr>
            </w:pPr>
          </w:p>
        </w:tc>
        <w:tc>
          <w:tcPr>
            <w:tcW w:w="408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interests</w:t>
            </w:r>
          </w:p>
        </w:tc>
        <w:tc>
          <w:tcPr>
            <w:tcW w:w="280" w:type="dxa"/>
            <w:vAlign w:val="bottom"/>
            <w:tcBorders>
              <w:bottom w:val="single" w:sz="8" w:color="auto"/>
            </w:tcBorders>
            <w:shd w:val="clear" w:color="auto" w:fill="E5E5E5"/>
          </w:tcPr>
          <w:p>
            <w:pPr>
              <w:spacing w:after="0"/>
              <w:rPr>
                <w:sz w:val="19"/>
                <w:szCs w:val="19"/>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9"/>
                <w:szCs w:val="19"/>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9"/>
                <w:szCs w:val="19"/>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9"/>
                <w:szCs w:val="19"/>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11</w:t>
            </w:r>
          </w:p>
        </w:tc>
        <w:tc>
          <w:tcPr>
            <w:tcW w:w="400" w:type="dxa"/>
            <w:vAlign w:val="bottom"/>
            <w:tcBorders>
              <w:bottom w:val="single" w:sz="8" w:color="auto"/>
            </w:tcBorders>
            <w:shd w:val="clear" w:color="auto" w:fill="E5E5E5"/>
          </w:tcPr>
          <w:p>
            <w:pPr>
              <w:spacing w:after="0"/>
              <w:rPr>
                <w:sz w:val="19"/>
                <w:szCs w:val="19"/>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11</w:t>
            </w:r>
          </w:p>
        </w:tc>
      </w:tr>
      <w:tr>
        <w:trPr>
          <w:trHeight w:val="196"/>
        </w:trPr>
        <w:tc>
          <w:tcPr>
            <w:tcW w:w="20" w:type="dxa"/>
            <w:vAlign w:val="bottom"/>
          </w:tcPr>
          <w:p>
            <w:pPr>
              <w:spacing w:after="0"/>
              <w:rPr>
                <w:sz w:val="17"/>
                <w:szCs w:val="17"/>
                <w:color w:val="auto"/>
              </w:rPr>
            </w:pPr>
          </w:p>
        </w:tc>
        <w:tc>
          <w:tcPr>
            <w:tcW w:w="4080" w:type="dxa"/>
            <w:vAlign w:val="bottom"/>
          </w:tcPr>
          <w:p>
            <w:pPr>
              <w:spacing w:after="0" w:line="196" w:lineRule="exact"/>
              <w:rPr>
                <w:sz w:val="20"/>
                <w:szCs w:val="20"/>
                <w:color w:val="auto"/>
              </w:rPr>
            </w:pPr>
            <w:r>
              <w:rPr>
                <w:rFonts w:ascii="Arial" w:cs="Arial" w:eastAsia="Arial" w:hAnsi="Arial"/>
                <w:sz w:val="18"/>
                <w:szCs w:val="18"/>
                <w:b w:val="1"/>
                <w:bCs w:val="1"/>
                <w:color w:val="auto"/>
              </w:rPr>
              <w:t>Net income (loss) attributable to Comcast</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0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967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4"/>
              </w:rPr>
              <w:t>1,155</w:t>
            </w: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806</w:t>
            </w:r>
          </w:p>
        </w:tc>
        <w:tc>
          <w:tcPr>
            <w:tcW w:w="3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84"/>
              </w:rPr>
              <w:t>1,185</w:t>
            </w:r>
          </w:p>
        </w:tc>
        <w:tc>
          <w:tcPr>
            <w:tcW w:w="3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1,198</w:t>
            </w:r>
          </w:p>
        </w:tc>
        <w:tc>
          <w:tcPr>
            <w:tcW w:w="40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(4,344)</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967</w:t>
            </w:r>
          </w:p>
        </w:tc>
      </w:tr>
      <w:tr>
        <w:trPr>
          <w:trHeight w:val="363"/>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Combined</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320" w:type="dxa"/>
            <w:vAlign w:val="bottom"/>
          </w:tcPr>
          <w:p>
            <w:pPr>
              <w:spacing w:after="0"/>
              <w:rPr>
                <w:sz w:val="12"/>
                <w:szCs w:val="12"/>
                <w:color w:val="auto"/>
              </w:rPr>
            </w:pPr>
          </w:p>
        </w:tc>
        <w:tc>
          <w:tcPr>
            <w:tcW w:w="780" w:type="dxa"/>
            <w:vAlign w:val="bottom"/>
          </w:tcPr>
          <w:p>
            <w:pPr>
              <w:jc w:val="center"/>
              <w:ind w:right="29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2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Comcast</w:t>
            </w:r>
          </w:p>
        </w:tc>
        <w:tc>
          <w:tcPr>
            <w:tcW w:w="80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CCCL</w:t>
            </w:r>
          </w:p>
        </w:tc>
        <w:tc>
          <w:tcPr>
            <w:tcW w:w="88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CCHMO</w:t>
            </w:r>
          </w:p>
        </w:tc>
        <w:tc>
          <w:tcPr>
            <w:tcW w:w="8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Comcast</w:t>
            </w:r>
          </w:p>
        </w:tc>
        <w:tc>
          <w:tcPr>
            <w:tcW w:w="960" w:type="dxa"/>
            <w:vAlign w:val="bottom"/>
            <w:gridSpan w:val="2"/>
          </w:tcPr>
          <w:p>
            <w:pPr>
              <w:jc w:val="right"/>
              <w:ind w:right="153"/>
              <w:spacing w:after="0" w:line="149" w:lineRule="exact"/>
              <w:rPr>
                <w:sz w:val="20"/>
                <w:szCs w:val="20"/>
                <w:color w:val="auto"/>
              </w:rPr>
            </w:pPr>
            <w:r>
              <w:rPr>
                <w:rFonts w:ascii="Arial" w:cs="Arial" w:eastAsia="Arial" w:hAnsi="Arial"/>
                <w:sz w:val="14"/>
                <w:szCs w:val="14"/>
                <w:color w:val="auto"/>
              </w:rPr>
              <w:t>Guarantor</w:t>
            </w: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6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260" w:type="dxa"/>
            <w:vAlign w:val="bottom"/>
            <w:gridSpan w:val="2"/>
          </w:tcPr>
          <w:p>
            <w:pPr>
              <w:jc w:val="right"/>
              <w:ind w:right="172"/>
              <w:spacing w:after="0"/>
              <w:rPr>
                <w:sz w:val="20"/>
                <w:szCs w:val="20"/>
                <w:color w:val="auto"/>
              </w:rPr>
            </w:pPr>
            <w:r>
              <w:rPr>
                <w:rFonts w:ascii="Arial" w:cs="Arial" w:eastAsia="Arial" w:hAnsi="Arial"/>
                <w:sz w:val="14"/>
                <w:szCs w:val="14"/>
                <w:color w:val="auto"/>
              </w:rPr>
              <w:t>Parent</w:t>
            </w:r>
          </w:p>
        </w:tc>
        <w:tc>
          <w:tcPr>
            <w:tcW w:w="800" w:type="dxa"/>
            <w:vAlign w:val="bottom"/>
            <w:gridSpan w:val="2"/>
          </w:tcPr>
          <w:p>
            <w:pPr>
              <w:jc w:val="right"/>
              <w:ind w:right="172"/>
              <w:spacing w:after="0"/>
              <w:rPr>
                <w:sz w:val="20"/>
                <w:szCs w:val="20"/>
                <w:color w:val="auto"/>
              </w:rPr>
            </w:pPr>
            <w:r>
              <w:rPr>
                <w:rFonts w:ascii="Arial" w:cs="Arial" w:eastAsia="Arial" w:hAnsi="Arial"/>
                <w:sz w:val="14"/>
                <w:szCs w:val="14"/>
                <w:color w:val="auto"/>
              </w:rPr>
              <w:t>Parent</w:t>
            </w:r>
          </w:p>
        </w:tc>
        <w:tc>
          <w:tcPr>
            <w:tcW w:w="880" w:type="dxa"/>
            <w:vAlign w:val="bottom"/>
            <w:gridSpan w:val="2"/>
          </w:tcPr>
          <w:p>
            <w:pPr>
              <w:jc w:val="right"/>
              <w:ind w:right="172"/>
              <w:spacing w:after="0"/>
              <w:rPr>
                <w:sz w:val="20"/>
                <w:szCs w:val="20"/>
                <w:color w:val="auto"/>
              </w:rPr>
            </w:pPr>
            <w:r>
              <w:rPr>
                <w:rFonts w:ascii="Arial" w:cs="Arial" w:eastAsia="Arial" w:hAnsi="Arial"/>
                <w:sz w:val="14"/>
                <w:szCs w:val="14"/>
                <w:color w:val="auto"/>
              </w:rPr>
              <w:t>Parents</w:t>
            </w:r>
          </w:p>
        </w:tc>
        <w:tc>
          <w:tcPr>
            <w:tcW w:w="820" w:type="dxa"/>
            <w:vAlign w:val="bottom"/>
            <w:gridSpan w:val="2"/>
          </w:tcPr>
          <w:p>
            <w:pPr>
              <w:ind w:left="140"/>
              <w:spacing w:after="0"/>
              <w:rPr>
                <w:sz w:val="20"/>
                <w:szCs w:val="20"/>
                <w:color w:val="auto"/>
              </w:rPr>
            </w:pPr>
            <w:r>
              <w:rPr>
                <w:rFonts w:ascii="Arial" w:cs="Arial" w:eastAsia="Arial" w:hAnsi="Arial"/>
                <w:sz w:val="14"/>
                <w:szCs w:val="14"/>
                <w:color w:val="auto"/>
              </w:rPr>
              <w:t>Holdings</w:t>
            </w: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Subsidiaries</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6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68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680" w:type="dxa"/>
            <w:vAlign w:val="bottom"/>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90"/>
              </w:rPr>
              <w:t>18,727</w:t>
            </w:r>
          </w:p>
        </w:tc>
        <w:tc>
          <w:tcPr>
            <w:tcW w:w="32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18,727</w:t>
            </w:r>
          </w:p>
        </w:tc>
      </w:tr>
      <w:tr>
        <w:trPr>
          <w:trHeight w:val="216"/>
        </w:trPr>
        <w:tc>
          <w:tcPr>
            <w:tcW w:w="20" w:type="dxa"/>
            <w:vAlign w:val="bottom"/>
          </w:tcPr>
          <w:p>
            <w:pPr>
              <w:spacing w:after="0"/>
              <w:rPr>
                <w:sz w:val="18"/>
                <w:szCs w:val="18"/>
                <w:color w:val="auto"/>
              </w:rPr>
            </w:pPr>
          </w:p>
        </w:tc>
        <w:tc>
          <w:tcPr>
            <w:tcW w:w="4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6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398</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357</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222</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(977)</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398</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357</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222</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0"/>
              </w:rPr>
              <w:t>18,727</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(977)</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18,727</w:t>
            </w:r>
          </w:p>
        </w:tc>
      </w:tr>
      <w:tr>
        <w:trPr>
          <w:trHeight w:val="210"/>
        </w:trPr>
        <w:tc>
          <w:tcPr>
            <w:tcW w:w="20" w:type="dxa"/>
            <w:vAlign w:val="bottom"/>
          </w:tcPr>
          <w:p>
            <w:pPr>
              <w:spacing w:after="0"/>
              <w:rPr>
                <w:sz w:val="18"/>
                <w:szCs w:val="18"/>
                <w:color w:val="auto"/>
              </w:rPr>
            </w:pPr>
          </w:p>
        </w:tc>
        <w:tc>
          <w:tcPr>
            <w:tcW w:w="464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Operating (excluding depreciation and amortization)</w:t>
            </w:r>
          </w:p>
        </w:tc>
        <w:tc>
          <w:tcPr>
            <w:tcW w:w="6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7,559</w:t>
            </w:r>
          </w:p>
        </w:tc>
        <w:tc>
          <w:tcPr>
            <w:tcW w:w="32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7,559</w:t>
            </w:r>
          </w:p>
        </w:tc>
      </w:tr>
      <w:tr>
        <w:trPr>
          <w:trHeight w:val="216"/>
        </w:trPr>
        <w:tc>
          <w:tcPr>
            <w:tcW w:w="20" w:type="dxa"/>
            <w:vAlign w:val="bottom"/>
          </w:tcPr>
          <w:p>
            <w:pPr>
              <w:spacing w:after="0"/>
              <w:rPr>
                <w:sz w:val="18"/>
                <w:szCs w:val="18"/>
                <w:color w:val="auto"/>
              </w:rPr>
            </w:pPr>
          </w:p>
        </w:tc>
        <w:tc>
          <w:tcPr>
            <w:tcW w:w="4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231</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357</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29</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4,004</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(977)</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3,866</w:t>
            </w: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6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2,776</w:t>
            </w:r>
          </w:p>
        </w:tc>
        <w:tc>
          <w:tcPr>
            <w:tcW w:w="32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2,790</w:t>
            </w:r>
          </w:p>
        </w:tc>
      </w:tr>
      <w:tr>
        <w:trPr>
          <w:trHeight w:val="216"/>
        </w:trPr>
        <w:tc>
          <w:tcPr>
            <w:tcW w:w="20" w:type="dxa"/>
            <w:vAlign w:val="bottom"/>
          </w:tcPr>
          <w:p>
            <w:pPr>
              <w:spacing w:after="0"/>
              <w:rPr>
                <w:sz w:val="18"/>
                <w:szCs w:val="18"/>
                <w:color w:val="auto"/>
              </w:rPr>
            </w:pPr>
          </w:p>
        </w:tc>
        <w:tc>
          <w:tcPr>
            <w:tcW w:w="4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6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499</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499</w:t>
            </w:r>
          </w:p>
        </w:tc>
      </w:tr>
      <w:tr>
        <w:trPr>
          <w:trHeight w:val="210"/>
        </w:trPr>
        <w:tc>
          <w:tcPr>
            <w:tcW w:w="20" w:type="dxa"/>
            <w:vAlign w:val="bottom"/>
          </w:tcPr>
          <w:p>
            <w:pPr>
              <w:spacing w:after="0"/>
              <w:rPr>
                <w:sz w:val="18"/>
                <w:szCs w:val="18"/>
                <w:color w:val="auto"/>
              </w:rPr>
            </w:pPr>
          </w:p>
        </w:tc>
        <w:tc>
          <w:tcPr>
            <w:tcW w:w="4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245</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357</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222</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0"/>
              </w:rPr>
              <w:t>14,838</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(977)</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14,714</w:t>
            </w:r>
          </w:p>
        </w:tc>
      </w:tr>
      <w:tr>
        <w:trPr>
          <w:trHeight w:val="210"/>
        </w:trPr>
        <w:tc>
          <w:tcPr>
            <w:tcW w:w="20" w:type="dxa"/>
            <w:vAlign w:val="bottom"/>
          </w:tcPr>
          <w:p>
            <w:pPr>
              <w:spacing w:after="0"/>
              <w:rPr>
                <w:sz w:val="18"/>
                <w:szCs w:val="18"/>
                <w:color w:val="auto"/>
              </w:rPr>
            </w:pPr>
          </w:p>
        </w:tc>
        <w:tc>
          <w:tcPr>
            <w:tcW w:w="46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(29)</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3,889</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4,013</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(692)</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(202)</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(86)</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(17)</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(70)</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(1,067)</w:t>
            </w: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6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101</w:t>
            </w:r>
          </w:p>
        </w:tc>
      </w:tr>
      <w:tr>
        <w:trPr>
          <w:trHeight w:val="216"/>
        </w:trPr>
        <w:tc>
          <w:tcPr>
            <w:tcW w:w="20" w:type="dxa"/>
            <w:vAlign w:val="bottom"/>
          </w:tcPr>
          <w:p>
            <w:pPr>
              <w:spacing w:after="0"/>
              <w:rPr>
                <w:sz w:val="18"/>
                <w:szCs w:val="18"/>
                <w:color w:val="auto"/>
              </w:rPr>
            </w:pPr>
          </w:p>
        </w:tc>
        <w:tc>
          <w:tcPr>
            <w:tcW w:w="4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Equity in net income (losses) of affiliates, net</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2,130</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2,284</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1,430</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8"/>
              </w:rPr>
              <w:t>2,302</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(58)</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(8,146)</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4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w:t>
            </w:r>
          </w:p>
        </w:tc>
        <w:tc>
          <w:tcPr>
            <w:tcW w:w="6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10"/>
        </w:trPr>
        <w:tc>
          <w:tcPr>
            <w:tcW w:w="20" w:type="dxa"/>
            <w:vAlign w:val="bottom"/>
          </w:tcPr>
          <w:p>
            <w:pPr>
              <w:spacing w:after="0"/>
              <w:rPr>
                <w:sz w:val="18"/>
                <w:szCs w:val="18"/>
                <w:color w:val="auto"/>
              </w:rPr>
            </w:pPr>
          </w:p>
        </w:tc>
        <w:tc>
          <w:tcPr>
            <w:tcW w:w="46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84"/>
              </w:rPr>
              <w:t>1,393</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84"/>
              </w:rPr>
              <w:t>2,082</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93"/>
              </w:rPr>
              <w:t>1,344</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88"/>
              </w:rPr>
              <w:t>2,287</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(29)</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(8,146)</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(1,069)</w:t>
            </w: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6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1,546</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2,082</w:t>
            </w:r>
          </w:p>
        </w:tc>
        <w:tc>
          <w:tcPr>
            <w:tcW w:w="26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1,344</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2,258</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3,860</w:t>
            </w:r>
          </w:p>
        </w:tc>
        <w:tc>
          <w:tcPr>
            <w:tcW w:w="32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(8,146)</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2,944</w:t>
            </w:r>
          </w:p>
        </w:tc>
      </w:tr>
      <w:tr>
        <w:trPr>
          <w:trHeight w:val="216"/>
        </w:trPr>
        <w:tc>
          <w:tcPr>
            <w:tcW w:w="20" w:type="dxa"/>
            <w:vAlign w:val="bottom"/>
          </w:tcPr>
          <w:p>
            <w:pPr>
              <w:spacing w:after="0"/>
              <w:rPr>
                <w:sz w:val="18"/>
                <w:szCs w:val="18"/>
                <w:color w:val="auto"/>
              </w:rPr>
            </w:pPr>
          </w:p>
        </w:tc>
        <w:tc>
          <w:tcPr>
            <w:tcW w:w="4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6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204</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70</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8"/>
              </w:rPr>
              <w:t>(1,498)</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(1,179)</w:t>
            </w: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Net income (loss) from consolidated operations</w:t>
            </w:r>
          </w:p>
        </w:tc>
        <w:tc>
          <w:tcPr>
            <w:tcW w:w="6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1,750</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2,152</w:t>
            </w:r>
          </w:p>
        </w:tc>
        <w:tc>
          <w:tcPr>
            <w:tcW w:w="26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1,374</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2,273</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2,362</w:t>
            </w:r>
          </w:p>
        </w:tc>
        <w:tc>
          <w:tcPr>
            <w:tcW w:w="32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(8,146)</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1,765</w:t>
            </w:r>
          </w:p>
        </w:tc>
      </w:tr>
      <w:tr>
        <w:trPr>
          <w:trHeight w:val="216"/>
        </w:trPr>
        <w:tc>
          <w:tcPr>
            <w:tcW w:w="20" w:type="dxa"/>
            <w:vAlign w:val="bottom"/>
          </w:tcPr>
          <w:p>
            <w:pPr>
              <w:spacing w:after="0"/>
              <w:rPr>
                <w:sz w:val="18"/>
                <w:szCs w:val="18"/>
                <w:color w:val="auto"/>
              </w:rPr>
            </w:pPr>
          </w:p>
        </w:tc>
        <w:tc>
          <w:tcPr>
            <w:tcW w:w="4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6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(15)</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w:t>
            </w:r>
          </w:p>
        </w:tc>
      </w:tr>
      <w:tr>
        <w:trPr>
          <w:trHeight w:val="217"/>
        </w:trPr>
        <w:tc>
          <w:tcPr>
            <w:tcW w:w="20" w:type="dxa"/>
            <w:vAlign w:val="bottom"/>
          </w:tcPr>
          <w:p>
            <w:pPr>
              <w:spacing w:after="0"/>
              <w:rPr>
                <w:sz w:val="18"/>
                <w:szCs w:val="18"/>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Net income (loss) attributable to Comcast Corporation</w:t>
            </w:r>
          </w:p>
        </w:tc>
        <w:tc>
          <w:tcPr>
            <w:tcW w:w="6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1,750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2,152</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3"/>
              </w:rPr>
              <w:t>1,374</w:t>
            </w:r>
          </w:p>
        </w:tc>
        <w:tc>
          <w:tcPr>
            <w:tcW w:w="22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8"/>
              </w:rPr>
              <w:t>2,273</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2,347</w:t>
            </w:r>
          </w:p>
        </w:tc>
        <w:tc>
          <w:tcPr>
            <w:tcW w:w="32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(8,146)</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1,750</w:t>
            </w:r>
          </w:p>
        </w:tc>
      </w:tr>
      <w:tr>
        <w:trPr>
          <w:trHeight w:val="363"/>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2009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Combined</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320" w:type="dxa"/>
            <w:vAlign w:val="bottom"/>
          </w:tcPr>
          <w:p>
            <w:pPr>
              <w:spacing w:after="0"/>
              <w:rPr>
                <w:sz w:val="12"/>
                <w:szCs w:val="12"/>
                <w:color w:val="auto"/>
              </w:rPr>
            </w:pPr>
          </w:p>
        </w:tc>
        <w:tc>
          <w:tcPr>
            <w:tcW w:w="780" w:type="dxa"/>
            <w:vAlign w:val="bottom"/>
          </w:tcPr>
          <w:p>
            <w:pPr>
              <w:jc w:val="center"/>
              <w:ind w:right="29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2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Comcast</w:t>
            </w:r>
          </w:p>
        </w:tc>
        <w:tc>
          <w:tcPr>
            <w:tcW w:w="80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CCCL</w:t>
            </w:r>
          </w:p>
        </w:tc>
        <w:tc>
          <w:tcPr>
            <w:tcW w:w="88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CCHMO</w:t>
            </w:r>
          </w:p>
        </w:tc>
        <w:tc>
          <w:tcPr>
            <w:tcW w:w="8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Comcast</w:t>
            </w:r>
          </w:p>
        </w:tc>
        <w:tc>
          <w:tcPr>
            <w:tcW w:w="960" w:type="dxa"/>
            <w:vAlign w:val="bottom"/>
            <w:gridSpan w:val="2"/>
          </w:tcPr>
          <w:p>
            <w:pPr>
              <w:jc w:val="right"/>
              <w:ind w:right="153"/>
              <w:spacing w:after="0" w:line="149" w:lineRule="exact"/>
              <w:rPr>
                <w:sz w:val="20"/>
                <w:szCs w:val="20"/>
                <w:color w:val="auto"/>
              </w:rPr>
            </w:pPr>
            <w:r>
              <w:rPr>
                <w:rFonts w:ascii="Arial" w:cs="Arial" w:eastAsia="Arial" w:hAnsi="Arial"/>
                <w:sz w:val="14"/>
                <w:szCs w:val="14"/>
                <w:color w:val="auto"/>
              </w:rPr>
              <w:t>Guarantor</w:t>
            </w: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6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260" w:type="dxa"/>
            <w:vAlign w:val="bottom"/>
            <w:gridSpan w:val="2"/>
          </w:tcPr>
          <w:p>
            <w:pPr>
              <w:jc w:val="right"/>
              <w:ind w:right="172"/>
              <w:spacing w:after="0"/>
              <w:rPr>
                <w:sz w:val="20"/>
                <w:szCs w:val="20"/>
                <w:color w:val="auto"/>
              </w:rPr>
            </w:pPr>
            <w:r>
              <w:rPr>
                <w:rFonts w:ascii="Arial" w:cs="Arial" w:eastAsia="Arial" w:hAnsi="Arial"/>
                <w:sz w:val="14"/>
                <w:szCs w:val="14"/>
                <w:color w:val="auto"/>
              </w:rPr>
              <w:t>Parent</w:t>
            </w:r>
          </w:p>
        </w:tc>
        <w:tc>
          <w:tcPr>
            <w:tcW w:w="800" w:type="dxa"/>
            <w:vAlign w:val="bottom"/>
            <w:gridSpan w:val="2"/>
          </w:tcPr>
          <w:p>
            <w:pPr>
              <w:jc w:val="right"/>
              <w:ind w:right="172"/>
              <w:spacing w:after="0"/>
              <w:rPr>
                <w:sz w:val="20"/>
                <w:szCs w:val="20"/>
                <w:color w:val="auto"/>
              </w:rPr>
            </w:pPr>
            <w:r>
              <w:rPr>
                <w:rFonts w:ascii="Arial" w:cs="Arial" w:eastAsia="Arial" w:hAnsi="Arial"/>
                <w:sz w:val="14"/>
                <w:szCs w:val="14"/>
                <w:color w:val="auto"/>
              </w:rPr>
              <w:t>Parent</w:t>
            </w:r>
          </w:p>
        </w:tc>
        <w:tc>
          <w:tcPr>
            <w:tcW w:w="880" w:type="dxa"/>
            <w:vAlign w:val="bottom"/>
            <w:gridSpan w:val="2"/>
          </w:tcPr>
          <w:p>
            <w:pPr>
              <w:jc w:val="right"/>
              <w:ind w:right="172"/>
              <w:spacing w:after="0"/>
              <w:rPr>
                <w:sz w:val="20"/>
                <w:szCs w:val="20"/>
                <w:color w:val="auto"/>
              </w:rPr>
            </w:pPr>
            <w:r>
              <w:rPr>
                <w:rFonts w:ascii="Arial" w:cs="Arial" w:eastAsia="Arial" w:hAnsi="Arial"/>
                <w:sz w:val="14"/>
                <w:szCs w:val="14"/>
                <w:color w:val="auto"/>
              </w:rPr>
              <w:t>Parents</w:t>
            </w:r>
          </w:p>
        </w:tc>
        <w:tc>
          <w:tcPr>
            <w:tcW w:w="820" w:type="dxa"/>
            <w:vAlign w:val="bottom"/>
            <w:gridSpan w:val="2"/>
          </w:tcPr>
          <w:p>
            <w:pPr>
              <w:ind w:left="140"/>
              <w:spacing w:after="0"/>
              <w:rPr>
                <w:sz w:val="20"/>
                <w:szCs w:val="20"/>
                <w:color w:val="auto"/>
              </w:rPr>
            </w:pPr>
            <w:r>
              <w:rPr>
                <w:rFonts w:ascii="Arial" w:cs="Arial" w:eastAsia="Arial" w:hAnsi="Arial"/>
                <w:sz w:val="14"/>
                <w:szCs w:val="14"/>
                <w:color w:val="auto"/>
              </w:rPr>
              <w:t>Holdings</w:t>
            </w: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Subsidiaries</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6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68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680" w:type="dxa"/>
            <w:vAlign w:val="bottom"/>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90"/>
              </w:rPr>
              <w:t>17,844</w:t>
            </w:r>
          </w:p>
        </w:tc>
        <w:tc>
          <w:tcPr>
            <w:tcW w:w="32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17,844</w:t>
            </w:r>
          </w:p>
        </w:tc>
      </w:tr>
      <w:tr>
        <w:trPr>
          <w:trHeight w:val="216"/>
        </w:trPr>
        <w:tc>
          <w:tcPr>
            <w:tcW w:w="20" w:type="dxa"/>
            <w:vAlign w:val="bottom"/>
          </w:tcPr>
          <w:p>
            <w:pPr>
              <w:spacing w:after="0"/>
              <w:rPr>
                <w:sz w:val="18"/>
                <w:szCs w:val="18"/>
                <w:color w:val="auto"/>
              </w:rPr>
            </w:pPr>
          </w:p>
        </w:tc>
        <w:tc>
          <w:tcPr>
            <w:tcW w:w="4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6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384</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336</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215</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(935)</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384</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336</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215</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0"/>
              </w:rPr>
              <w:t>17,844</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(935)</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17,844</w:t>
            </w:r>
          </w:p>
        </w:tc>
      </w:tr>
      <w:tr>
        <w:trPr>
          <w:trHeight w:val="210"/>
        </w:trPr>
        <w:tc>
          <w:tcPr>
            <w:tcW w:w="20" w:type="dxa"/>
            <w:vAlign w:val="bottom"/>
          </w:tcPr>
          <w:p>
            <w:pPr>
              <w:spacing w:after="0"/>
              <w:rPr>
                <w:sz w:val="18"/>
                <w:szCs w:val="18"/>
                <w:color w:val="auto"/>
              </w:rPr>
            </w:pPr>
          </w:p>
        </w:tc>
        <w:tc>
          <w:tcPr>
            <w:tcW w:w="464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Operating (excluding depreciation and amortization)</w:t>
            </w:r>
          </w:p>
        </w:tc>
        <w:tc>
          <w:tcPr>
            <w:tcW w:w="6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7,173</w:t>
            </w:r>
          </w:p>
        </w:tc>
        <w:tc>
          <w:tcPr>
            <w:tcW w:w="32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7,173</w:t>
            </w:r>
          </w:p>
        </w:tc>
      </w:tr>
      <w:tr>
        <w:trPr>
          <w:trHeight w:val="216"/>
        </w:trPr>
        <w:tc>
          <w:tcPr>
            <w:tcW w:w="20" w:type="dxa"/>
            <w:vAlign w:val="bottom"/>
          </w:tcPr>
          <w:p>
            <w:pPr>
              <w:spacing w:after="0"/>
              <w:rPr>
                <w:sz w:val="18"/>
                <w:szCs w:val="18"/>
                <w:color w:val="auto"/>
              </w:rPr>
            </w:pPr>
          </w:p>
        </w:tc>
        <w:tc>
          <w:tcPr>
            <w:tcW w:w="4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336</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28</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3,888</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(935)</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3,692</w:t>
            </w: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6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2,772</w:t>
            </w:r>
          </w:p>
        </w:tc>
        <w:tc>
          <w:tcPr>
            <w:tcW w:w="32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2,786</w:t>
            </w:r>
          </w:p>
        </w:tc>
      </w:tr>
      <w:tr>
        <w:trPr>
          <w:trHeight w:val="216"/>
        </w:trPr>
        <w:tc>
          <w:tcPr>
            <w:tcW w:w="20" w:type="dxa"/>
            <w:vAlign w:val="bottom"/>
          </w:tcPr>
          <w:p>
            <w:pPr>
              <w:spacing w:after="0"/>
              <w:rPr>
                <w:sz w:val="18"/>
                <w:szCs w:val="18"/>
                <w:color w:val="auto"/>
              </w:rPr>
            </w:pPr>
          </w:p>
        </w:tc>
        <w:tc>
          <w:tcPr>
            <w:tcW w:w="4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6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507</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507</w:t>
            </w:r>
          </w:p>
        </w:tc>
      </w:tr>
      <w:tr>
        <w:trPr>
          <w:trHeight w:val="210"/>
        </w:trPr>
        <w:tc>
          <w:tcPr>
            <w:tcW w:w="20" w:type="dxa"/>
            <w:vAlign w:val="bottom"/>
          </w:tcPr>
          <w:p>
            <w:pPr>
              <w:spacing w:after="0"/>
              <w:rPr>
                <w:sz w:val="18"/>
                <w:szCs w:val="18"/>
                <w:color w:val="auto"/>
              </w:rPr>
            </w:pPr>
          </w:p>
        </w:tc>
        <w:tc>
          <w:tcPr>
            <w:tcW w:w="4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174</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336</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215</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28</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0"/>
              </w:rPr>
              <w:t>14,340</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(935)</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14,158</w:t>
            </w:r>
          </w:p>
        </w:tc>
      </w:tr>
      <w:tr>
        <w:trPr>
          <w:trHeight w:val="210"/>
        </w:trPr>
        <w:tc>
          <w:tcPr>
            <w:tcW w:w="20" w:type="dxa"/>
            <w:vAlign w:val="bottom"/>
          </w:tcPr>
          <w:p>
            <w:pPr>
              <w:spacing w:after="0"/>
              <w:rPr>
                <w:sz w:val="18"/>
                <w:szCs w:val="18"/>
                <w:color w:val="auto"/>
              </w:rPr>
            </w:pPr>
          </w:p>
        </w:tc>
        <w:tc>
          <w:tcPr>
            <w:tcW w:w="46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(28)</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3,504</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3,686</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(634)</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(308)</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(10)</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(69)</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(1,121)</w:t>
            </w: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68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70</w:t>
            </w:r>
          </w:p>
        </w:tc>
      </w:tr>
      <w:tr>
        <w:trPr>
          <w:trHeight w:val="216"/>
        </w:trPr>
        <w:tc>
          <w:tcPr>
            <w:tcW w:w="20" w:type="dxa"/>
            <w:vAlign w:val="bottom"/>
          </w:tcPr>
          <w:p>
            <w:pPr>
              <w:spacing w:after="0"/>
              <w:rPr>
                <w:sz w:val="18"/>
                <w:szCs w:val="18"/>
                <w:color w:val="auto"/>
              </w:rPr>
            </w:pPr>
          </w:p>
        </w:tc>
        <w:tc>
          <w:tcPr>
            <w:tcW w:w="4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Equity in net income (losses) of affiliates, net</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2,019</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2,325</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1,583</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8"/>
              </w:rPr>
              <w:t>2,193</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(95)</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(8,052)</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4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w:t>
            </w:r>
          </w:p>
        </w:tc>
        <w:tc>
          <w:tcPr>
            <w:tcW w:w="6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w:t>
            </w:r>
          </w:p>
        </w:tc>
      </w:tr>
      <w:tr>
        <w:trPr>
          <w:trHeight w:val="210"/>
        </w:trPr>
        <w:tc>
          <w:tcPr>
            <w:tcW w:w="20" w:type="dxa"/>
            <w:vAlign w:val="bottom"/>
          </w:tcPr>
          <w:p>
            <w:pPr>
              <w:spacing w:after="0"/>
              <w:rPr>
                <w:sz w:val="18"/>
                <w:szCs w:val="18"/>
                <w:color w:val="auto"/>
              </w:rPr>
            </w:pPr>
          </w:p>
        </w:tc>
        <w:tc>
          <w:tcPr>
            <w:tcW w:w="46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84"/>
              </w:rPr>
              <w:t>1,378</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84"/>
              </w:rPr>
              <w:t>2,017</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93"/>
              </w:rPr>
              <w:t>1,483</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88"/>
              </w:rPr>
              <w:t>2,188</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(81)</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(8,052)</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(1,067)</w:t>
            </w: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6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1,588</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2,017</w:t>
            </w:r>
          </w:p>
        </w:tc>
        <w:tc>
          <w:tcPr>
            <w:tcW w:w="26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1,483</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2,160</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3,423</w:t>
            </w:r>
          </w:p>
        </w:tc>
        <w:tc>
          <w:tcPr>
            <w:tcW w:w="32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(8,052)</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2,619</w:t>
            </w:r>
          </w:p>
        </w:tc>
      </w:tr>
      <w:tr>
        <w:trPr>
          <w:trHeight w:val="216"/>
        </w:trPr>
        <w:tc>
          <w:tcPr>
            <w:tcW w:w="20" w:type="dxa"/>
            <w:vAlign w:val="bottom"/>
          </w:tcPr>
          <w:p>
            <w:pPr>
              <w:spacing w:after="0"/>
              <w:rPr>
                <w:sz w:val="18"/>
                <w:szCs w:val="18"/>
                <w:color w:val="auto"/>
              </w:rPr>
            </w:pPr>
          </w:p>
        </w:tc>
        <w:tc>
          <w:tcPr>
            <w:tcW w:w="4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6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151</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108</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8"/>
              </w:rPr>
              <w:t>(1,191)</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(885)</w:t>
            </w: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Net income (loss) from consolidated operations</w:t>
            </w:r>
          </w:p>
        </w:tc>
        <w:tc>
          <w:tcPr>
            <w:tcW w:w="6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1,739</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2,125</w:t>
            </w:r>
          </w:p>
        </w:tc>
        <w:tc>
          <w:tcPr>
            <w:tcW w:w="26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1,518</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2,172</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2,232</w:t>
            </w:r>
          </w:p>
        </w:tc>
        <w:tc>
          <w:tcPr>
            <w:tcW w:w="32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(8,052)</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1,734</w:t>
            </w:r>
          </w:p>
        </w:tc>
      </w:tr>
      <w:tr>
        <w:trPr>
          <w:trHeight w:val="216"/>
        </w:trPr>
        <w:tc>
          <w:tcPr>
            <w:tcW w:w="20" w:type="dxa"/>
            <w:vAlign w:val="bottom"/>
          </w:tcPr>
          <w:p>
            <w:pPr>
              <w:spacing w:after="0"/>
              <w:rPr>
                <w:sz w:val="18"/>
                <w:szCs w:val="18"/>
                <w:color w:val="auto"/>
              </w:rPr>
            </w:pPr>
          </w:p>
        </w:tc>
        <w:tc>
          <w:tcPr>
            <w:tcW w:w="4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6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w:t>
            </w:r>
          </w:p>
        </w:tc>
      </w:tr>
      <w:tr>
        <w:trPr>
          <w:trHeight w:val="217"/>
        </w:trPr>
        <w:tc>
          <w:tcPr>
            <w:tcW w:w="20" w:type="dxa"/>
            <w:vAlign w:val="bottom"/>
          </w:tcPr>
          <w:p>
            <w:pPr>
              <w:spacing w:after="0"/>
              <w:rPr>
                <w:sz w:val="18"/>
                <w:szCs w:val="18"/>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Net income (loss) attributable to Comcast Corporation</w:t>
            </w:r>
          </w:p>
        </w:tc>
        <w:tc>
          <w:tcPr>
            <w:tcW w:w="6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1,739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2,125</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3"/>
              </w:rPr>
              <w:t>1,518</w:t>
            </w:r>
          </w:p>
        </w:tc>
        <w:tc>
          <w:tcPr>
            <w:tcW w:w="22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8"/>
              </w:rPr>
              <w:t>2,172</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2,237</w:t>
            </w:r>
          </w:p>
        </w:tc>
        <w:tc>
          <w:tcPr>
            <w:tcW w:w="32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(8,052)</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1,739</w:t>
            </w:r>
          </w:p>
        </w:tc>
      </w:tr>
      <w:tr>
        <w:trPr>
          <w:trHeight w:val="363"/>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Combined</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53"/>
              <w:spacing w:after="0" w:line="149" w:lineRule="exact"/>
              <w:rPr>
                <w:sz w:val="20"/>
                <w:szCs w:val="20"/>
                <w:color w:val="auto"/>
              </w:rPr>
            </w:pPr>
            <w:r>
              <w:rPr>
                <w:rFonts w:ascii="Arial" w:cs="Arial" w:eastAsia="Arial" w:hAnsi="Arial"/>
                <w:sz w:val="14"/>
                <w:szCs w:val="14"/>
                <w:color w:val="auto"/>
              </w:rPr>
              <w:t>Non-</w:t>
            </w:r>
          </w:p>
        </w:tc>
        <w:tc>
          <w:tcPr>
            <w:tcW w:w="380" w:type="dxa"/>
            <w:vAlign w:val="bottom"/>
          </w:tcPr>
          <w:p>
            <w:pPr>
              <w:spacing w:after="0"/>
              <w:rPr>
                <w:sz w:val="12"/>
                <w:szCs w:val="12"/>
                <w:color w:val="auto"/>
              </w:rPr>
            </w:pPr>
          </w:p>
        </w:tc>
        <w:tc>
          <w:tcPr>
            <w:tcW w:w="780" w:type="dxa"/>
            <w:vAlign w:val="bottom"/>
          </w:tcPr>
          <w:p>
            <w:pPr>
              <w:jc w:val="center"/>
              <w:ind w:right="293"/>
              <w:spacing w:after="0" w:line="149" w:lineRule="exact"/>
              <w:rPr>
                <w:sz w:val="20"/>
                <w:szCs w:val="20"/>
                <w:color w:val="auto"/>
              </w:rPr>
            </w:pPr>
            <w:r>
              <w:rPr>
                <w:rFonts w:ascii="Arial" w:cs="Arial" w:eastAsia="Arial" w:hAnsi="Arial"/>
                <w:sz w:val="14"/>
                <w:szCs w:val="14"/>
                <w:color w:val="auto"/>
                <w:w w:val="85"/>
              </w:rPr>
              <w:t>and</w:t>
            </w:r>
          </w:p>
        </w:tc>
        <w:tc>
          <w:tcPr>
            <w:tcW w:w="100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0" w:type="dxa"/>
            <w:vAlign w:val="bottom"/>
            <w:gridSpan w:val="2"/>
          </w:tcPr>
          <w:p>
            <w:pPr>
              <w:jc w:val="right"/>
              <w:ind w:right="213"/>
              <w:spacing w:after="0" w:line="149" w:lineRule="exact"/>
              <w:rPr>
                <w:sz w:val="20"/>
                <w:szCs w:val="20"/>
                <w:color w:val="auto"/>
              </w:rPr>
            </w:pPr>
            <w:r>
              <w:rPr>
                <w:rFonts w:ascii="Arial" w:cs="Arial" w:eastAsia="Arial" w:hAnsi="Arial"/>
                <w:sz w:val="14"/>
                <w:szCs w:val="14"/>
                <w:color w:val="auto"/>
              </w:rPr>
              <w:t>Comcast</w:t>
            </w:r>
          </w:p>
        </w:tc>
        <w:tc>
          <w:tcPr>
            <w:tcW w:w="8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CCCL</w:t>
            </w:r>
          </w:p>
        </w:tc>
        <w:tc>
          <w:tcPr>
            <w:tcW w:w="102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CCHMO</w:t>
            </w:r>
          </w:p>
        </w:tc>
        <w:tc>
          <w:tcPr>
            <w:tcW w:w="9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Comcast</w:t>
            </w:r>
          </w:p>
        </w:tc>
        <w:tc>
          <w:tcPr>
            <w:tcW w:w="1120" w:type="dxa"/>
            <w:vAlign w:val="bottom"/>
            <w:gridSpan w:val="2"/>
          </w:tcPr>
          <w:p>
            <w:pPr>
              <w:jc w:val="right"/>
              <w:ind w:right="233"/>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Consolidation</w:t>
            </w:r>
          </w:p>
        </w:tc>
        <w:tc>
          <w:tcPr>
            <w:tcW w:w="28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1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80" w:type="dxa"/>
            <w:vAlign w:val="bottom"/>
          </w:tcPr>
          <w:p>
            <w:pPr>
              <w:spacing w:after="0"/>
              <w:rPr>
                <w:sz w:val="15"/>
                <w:szCs w:val="15"/>
                <w:color w:val="auto"/>
              </w:rPr>
            </w:pPr>
          </w:p>
        </w:tc>
        <w:tc>
          <w:tcPr>
            <w:tcW w:w="720" w:type="dxa"/>
            <w:vAlign w:val="bottom"/>
          </w:tcPr>
          <w:p>
            <w:pPr>
              <w:jc w:val="right"/>
              <w:ind w:right="293"/>
              <w:spacing w:after="0"/>
              <w:rPr>
                <w:sz w:val="20"/>
                <w:szCs w:val="20"/>
                <w:color w:val="auto"/>
              </w:rPr>
            </w:pPr>
            <w:r>
              <w:rPr>
                <w:rFonts w:ascii="Arial" w:cs="Arial" w:eastAsia="Arial" w:hAnsi="Arial"/>
                <w:sz w:val="14"/>
                <w:szCs w:val="14"/>
                <w:color w:val="auto"/>
                <w:w w:val="77"/>
              </w:rPr>
              <w:t>Parent</w:t>
            </w:r>
          </w:p>
        </w:tc>
        <w:tc>
          <w:tcPr>
            <w:tcW w:w="820" w:type="dxa"/>
            <w:vAlign w:val="bottom"/>
            <w:gridSpan w:val="2"/>
          </w:tcPr>
          <w:p>
            <w:pPr>
              <w:ind w:left="200"/>
              <w:spacing w:after="0"/>
              <w:rPr>
                <w:sz w:val="20"/>
                <w:szCs w:val="20"/>
                <w:color w:val="auto"/>
              </w:rPr>
            </w:pPr>
            <w:r>
              <w:rPr>
                <w:rFonts w:ascii="Arial" w:cs="Arial" w:eastAsia="Arial" w:hAnsi="Arial"/>
                <w:sz w:val="14"/>
                <w:szCs w:val="14"/>
                <w:color w:val="auto"/>
              </w:rPr>
              <w:t>Parent</w:t>
            </w:r>
          </w:p>
        </w:tc>
        <w:tc>
          <w:tcPr>
            <w:tcW w:w="1020" w:type="dxa"/>
            <w:vAlign w:val="bottom"/>
            <w:gridSpan w:val="2"/>
          </w:tcPr>
          <w:p>
            <w:pPr>
              <w:jc w:val="right"/>
              <w:ind w:right="252"/>
              <w:spacing w:after="0"/>
              <w:rPr>
                <w:sz w:val="20"/>
                <w:szCs w:val="20"/>
                <w:color w:val="auto"/>
              </w:rPr>
            </w:pPr>
            <w:r>
              <w:rPr>
                <w:rFonts w:ascii="Arial" w:cs="Arial" w:eastAsia="Arial" w:hAnsi="Arial"/>
                <w:sz w:val="14"/>
                <w:szCs w:val="14"/>
                <w:color w:val="auto"/>
              </w:rPr>
              <w:t>Parents</w:t>
            </w:r>
          </w:p>
        </w:tc>
        <w:tc>
          <w:tcPr>
            <w:tcW w:w="960" w:type="dxa"/>
            <w:vAlign w:val="bottom"/>
            <w:gridSpan w:val="2"/>
          </w:tcPr>
          <w:p>
            <w:pPr>
              <w:ind w:left="200"/>
              <w:spacing w:after="0"/>
              <w:rPr>
                <w:sz w:val="20"/>
                <w:szCs w:val="20"/>
                <w:color w:val="auto"/>
              </w:rPr>
            </w:pPr>
            <w:r>
              <w:rPr>
                <w:rFonts w:ascii="Arial" w:cs="Arial" w:eastAsia="Arial" w:hAnsi="Arial"/>
                <w:sz w:val="14"/>
                <w:szCs w:val="14"/>
                <w:color w:val="auto"/>
              </w:rPr>
              <w:t>Holdings</w:t>
            </w:r>
          </w:p>
        </w:tc>
        <w:tc>
          <w:tcPr>
            <w:tcW w:w="1120" w:type="dxa"/>
            <w:vAlign w:val="bottom"/>
            <w:gridSpan w:val="2"/>
          </w:tcPr>
          <w:p>
            <w:pPr>
              <w:ind w:left="200"/>
              <w:spacing w:after="0"/>
              <w:rPr>
                <w:sz w:val="20"/>
                <w:szCs w:val="20"/>
                <w:color w:val="auto"/>
              </w:rPr>
            </w:pPr>
            <w:r>
              <w:rPr>
                <w:rFonts w:ascii="Arial" w:cs="Arial" w:eastAsia="Arial" w:hAnsi="Arial"/>
                <w:sz w:val="14"/>
                <w:szCs w:val="14"/>
                <w:color w:val="auto"/>
              </w:rPr>
              <w:t>Subsidiaries</w:t>
            </w: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0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120" w:type="dxa"/>
            <w:vAlign w:val="bottom"/>
            <w:tcBorders>
              <w:top w:val="single" w:sz="8" w:color="auto"/>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97"/>
              </w:rPr>
              <w:t>Net cash provided by (used in) operating activities</w:t>
            </w:r>
          </w:p>
        </w:tc>
        <w:tc>
          <w:tcPr>
            <w:tcW w:w="4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w w:val="87"/>
              </w:rPr>
              <w:t>(1,153)</w:t>
            </w:r>
          </w:p>
        </w:tc>
        <w:tc>
          <w:tcPr>
            <w:tcW w:w="300" w:type="dxa"/>
            <w:vAlign w:val="bottom"/>
            <w:tcBorders>
              <w:top w:val="single" w:sz="8" w:color="auto"/>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16</w:t>
            </w:r>
          </w:p>
        </w:tc>
        <w:tc>
          <w:tcPr>
            <w:tcW w:w="400" w:type="dxa"/>
            <w:vAlign w:val="bottom"/>
            <w:tcBorders>
              <w:top w:val="single" w:sz="8" w:color="auto"/>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(66)</w:t>
            </w:r>
          </w:p>
        </w:tc>
        <w:tc>
          <w:tcPr>
            <w:tcW w:w="340" w:type="dxa"/>
            <w:vAlign w:val="bottom"/>
            <w:tcBorders>
              <w:top w:val="single" w:sz="8" w:color="auto"/>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95"/>
              </w:rPr>
              <w:t>(204)</w:t>
            </w:r>
          </w:p>
        </w:tc>
        <w:tc>
          <w:tcPr>
            <w:tcW w:w="340" w:type="dxa"/>
            <w:vAlign w:val="bottom"/>
            <w:tcBorders>
              <w:top w:val="single" w:sz="8" w:color="auto"/>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6,739</w:t>
            </w:r>
          </w:p>
        </w:tc>
        <w:tc>
          <w:tcPr>
            <w:tcW w:w="380" w:type="dxa"/>
            <w:vAlign w:val="bottom"/>
            <w:tcBorders>
              <w:top w:val="single" w:sz="8" w:color="auto"/>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5,332</w:t>
            </w: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Investing Activities:</w:t>
            </w: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4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545</w:t>
            </w:r>
          </w:p>
        </w:tc>
        <w:tc>
          <w:tcPr>
            <w:tcW w:w="3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3"/>
              </w:rPr>
              <w:t>(16)</w:t>
            </w:r>
          </w:p>
        </w:tc>
        <w:tc>
          <w:tcPr>
            <w:tcW w:w="4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66</w:t>
            </w:r>
          </w:p>
        </w:tc>
        <w:tc>
          <w:tcPr>
            <w:tcW w:w="3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217</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(812)</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48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5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w w:val="98"/>
              </w:rPr>
              <w:t>(2,062)</w:t>
            </w:r>
          </w:p>
        </w:tc>
        <w:tc>
          <w:tcPr>
            <w:tcW w:w="38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(2,063)</w:t>
            </w:r>
          </w:p>
        </w:tc>
      </w:tr>
      <w:tr>
        <w:trPr>
          <w:trHeight w:val="216"/>
        </w:trPr>
        <w:tc>
          <w:tcPr>
            <w:tcW w:w="20" w:type="dxa"/>
            <w:vAlign w:val="bottom"/>
          </w:tcPr>
          <w:p>
            <w:pPr>
              <w:spacing w:after="0"/>
              <w:rPr>
                <w:sz w:val="18"/>
                <w:szCs w:val="18"/>
                <w:color w:val="auto"/>
              </w:rPr>
            </w:pPr>
          </w:p>
        </w:tc>
        <w:tc>
          <w:tcPr>
            <w:tcW w:w="41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4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(237)</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(237)</w:t>
            </w: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480" w:type="dxa"/>
            <w:vAlign w:val="bottom"/>
          </w:tcPr>
          <w:p>
            <w:pPr>
              <w:spacing w:after="0"/>
              <w:rPr>
                <w:sz w:val="18"/>
                <w:szCs w:val="18"/>
                <w:color w:val="auto"/>
              </w:rPr>
            </w:pPr>
          </w:p>
        </w:tc>
        <w:tc>
          <w:tcPr>
            <w:tcW w:w="7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(183)</w:t>
            </w:r>
          </w:p>
        </w:tc>
        <w:tc>
          <w:tcPr>
            <w:tcW w:w="38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20" w:type="dxa"/>
            <w:vAlign w:val="bottom"/>
          </w:tcPr>
          <w:p>
            <w:pPr>
              <w:spacing w:after="0"/>
              <w:rPr>
                <w:sz w:val="18"/>
                <w:szCs w:val="18"/>
                <w:color w:val="auto"/>
              </w:rPr>
            </w:pPr>
          </w:p>
        </w:tc>
        <w:tc>
          <w:tcPr>
            <w:tcW w:w="41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sales of investments</w:t>
            </w:r>
          </w:p>
        </w:tc>
        <w:tc>
          <w:tcPr>
            <w:tcW w:w="4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15</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480" w:type="dxa"/>
            <w:vAlign w:val="bottom"/>
          </w:tcPr>
          <w:p>
            <w:pPr>
              <w:spacing w:after="0"/>
              <w:rPr>
                <w:sz w:val="18"/>
                <w:szCs w:val="18"/>
                <w:color w:val="auto"/>
              </w:rPr>
            </w:pPr>
          </w:p>
        </w:tc>
        <w:tc>
          <w:tcPr>
            <w:tcW w:w="7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41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(55)</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(55)</w:t>
            </w:r>
          </w:p>
        </w:tc>
      </w:tr>
      <w:tr>
        <w:trPr>
          <w:trHeight w:val="210"/>
        </w:trPr>
        <w:tc>
          <w:tcPr>
            <w:tcW w:w="20" w:type="dxa"/>
            <w:vAlign w:val="bottom"/>
          </w:tcPr>
          <w:p>
            <w:pPr>
              <w:spacing w:after="0"/>
              <w:rPr>
                <w:sz w:val="18"/>
                <w:szCs w:val="18"/>
                <w:color w:val="auto"/>
              </w:rPr>
            </w:pPr>
          </w:p>
        </w:tc>
        <w:tc>
          <w:tcPr>
            <w:tcW w:w="41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8"/>
              </w:rPr>
              <w:t>Net cash provided by (used in) investing activities</w:t>
            </w: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544</w:t>
            </w: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3"/>
              </w:rPr>
              <w:t>(16)</w:t>
            </w: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66</w:t>
            </w: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217</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8"/>
              </w:rPr>
              <w:t>(3,366)</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w:t>
            </w:r>
          </w:p>
        </w:tc>
      </w:tr>
      <w:tr>
        <w:trPr>
          <w:trHeight w:val="210"/>
        </w:trPr>
        <w:tc>
          <w:tcPr>
            <w:tcW w:w="20" w:type="dxa"/>
            <w:vAlign w:val="bottom"/>
          </w:tcPr>
          <w:p>
            <w:pPr>
              <w:spacing w:after="0"/>
              <w:rPr>
                <w:sz w:val="18"/>
                <w:szCs w:val="18"/>
                <w:color w:val="auto"/>
              </w:rPr>
            </w:pPr>
          </w:p>
        </w:tc>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Financing Activities:</w:t>
            </w:r>
          </w:p>
        </w:tc>
        <w:tc>
          <w:tcPr>
            <w:tcW w:w="4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480" w:type="dxa"/>
            <w:vAlign w:val="bottom"/>
          </w:tcPr>
          <w:p>
            <w:pPr>
              <w:spacing w:after="0"/>
              <w:rPr>
                <w:sz w:val="18"/>
                <w:szCs w:val="18"/>
                <w:color w:val="auto"/>
              </w:rPr>
            </w:pPr>
          </w:p>
        </w:tc>
        <w:tc>
          <w:tcPr>
            <w:tcW w:w="720" w:type="dxa"/>
            <w:vAlign w:val="bottom"/>
          </w:tcPr>
          <w:p>
            <w:pPr>
              <w:jc w:val="right"/>
              <w:ind w:right="173"/>
              <w:spacing w:after="0"/>
              <w:rPr>
                <w:sz w:val="20"/>
                <w:szCs w:val="20"/>
                <w:color w:val="auto"/>
              </w:rPr>
            </w:pPr>
            <w:r>
              <w:rPr>
                <w:rFonts w:ascii="Arial" w:cs="Arial" w:eastAsia="Arial" w:hAnsi="Arial"/>
                <w:sz w:val="18"/>
                <w:szCs w:val="18"/>
                <w:color w:val="auto"/>
                <w:w w:val="97"/>
              </w:rPr>
              <w:t>2,394</w:t>
            </w:r>
          </w:p>
        </w:tc>
        <w:tc>
          <w:tcPr>
            <w:tcW w:w="300" w:type="dxa"/>
            <w:vAlign w:val="bottom"/>
          </w:tcPr>
          <w:p>
            <w:pPr>
              <w:spacing w:after="0"/>
              <w:rPr>
                <w:sz w:val="18"/>
                <w:szCs w:val="18"/>
                <w:color w:val="auto"/>
              </w:rPr>
            </w:pPr>
          </w:p>
        </w:tc>
        <w:tc>
          <w:tcPr>
            <w:tcW w:w="5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2,421</w:t>
            </w:r>
          </w:p>
        </w:tc>
      </w:tr>
      <w:tr>
        <w:trPr>
          <w:trHeight w:val="216"/>
        </w:trPr>
        <w:tc>
          <w:tcPr>
            <w:tcW w:w="20" w:type="dxa"/>
            <w:vAlign w:val="bottom"/>
          </w:tcPr>
          <w:p>
            <w:pPr>
              <w:spacing w:after="0"/>
              <w:rPr>
                <w:sz w:val="18"/>
                <w:szCs w:val="18"/>
                <w:color w:val="auto"/>
              </w:rPr>
            </w:pPr>
          </w:p>
        </w:tc>
        <w:tc>
          <w:tcPr>
            <w:tcW w:w="41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Repurchases and repayments of debt</w:t>
            </w:r>
          </w:p>
        </w:tc>
        <w:tc>
          <w:tcPr>
            <w:tcW w:w="4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(600)</w:t>
            </w:r>
          </w:p>
        </w:tc>
        <w:tc>
          <w:tcPr>
            <w:tcW w:w="3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(13)</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(25)</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(638)</w:t>
            </w: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48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(600)</w:t>
            </w:r>
          </w:p>
        </w:tc>
        <w:tc>
          <w:tcPr>
            <w:tcW w:w="300" w:type="dxa"/>
            <w:vAlign w:val="bottom"/>
          </w:tcPr>
          <w:p>
            <w:pPr>
              <w:spacing w:after="0"/>
              <w:rPr>
                <w:sz w:val="18"/>
                <w:szCs w:val="18"/>
                <w:color w:val="auto"/>
              </w:rPr>
            </w:pPr>
          </w:p>
        </w:tc>
        <w:tc>
          <w:tcPr>
            <w:tcW w:w="5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20" w:type="dxa"/>
            <w:vAlign w:val="bottom"/>
          </w:tcPr>
          <w:p>
            <w:pPr>
              <w:spacing w:after="0"/>
              <w:rPr>
                <w:sz w:val="18"/>
                <w:szCs w:val="18"/>
                <w:color w:val="auto"/>
              </w:rPr>
            </w:pPr>
          </w:p>
        </w:tc>
        <w:tc>
          <w:tcPr>
            <w:tcW w:w="41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Dividends paid</w:t>
            </w:r>
          </w:p>
        </w:tc>
        <w:tc>
          <w:tcPr>
            <w:tcW w:w="4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(535)</w:t>
            </w:r>
          </w:p>
        </w:tc>
        <w:tc>
          <w:tcPr>
            <w:tcW w:w="3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(535)</w:t>
            </w:r>
          </w:p>
        </w:tc>
      </w:tr>
      <w:tr>
        <w:trPr>
          <w:trHeight w:val="216"/>
        </w:trPr>
        <w:tc>
          <w:tcPr>
            <w:tcW w:w="20" w:type="dxa"/>
            <w:vAlign w:val="bottom"/>
          </w:tcPr>
          <w:p>
            <w:pPr>
              <w:spacing w:after="0"/>
              <w:rPr>
                <w:sz w:val="18"/>
                <w:szCs w:val="18"/>
                <w:color w:val="auto"/>
              </w:rPr>
            </w:pPr>
          </w:p>
        </w:tc>
        <w:tc>
          <w:tcPr>
            <w:tcW w:w="41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(50)</w:t>
            </w: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(18)</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10"/>
        </w:trPr>
        <w:tc>
          <w:tcPr>
            <w:tcW w:w="20" w:type="dxa"/>
            <w:vAlign w:val="bottom"/>
          </w:tcPr>
          <w:p>
            <w:pPr>
              <w:spacing w:after="0"/>
              <w:rPr>
                <w:sz w:val="18"/>
                <w:szCs w:val="18"/>
                <w:color w:val="auto"/>
              </w:rPr>
            </w:pPr>
          </w:p>
        </w:tc>
        <w:tc>
          <w:tcPr>
            <w:tcW w:w="41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98"/>
              </w:rPr>
              <w:t>Net cash provided by (used in) financing activities</w:t>
            </w:r>
          </w:p>
        </w:tc>
        <w:tc>
          <w:tcPr>
            <w:tcW w:w="4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609</w:t>
            </w:r>
          </w:p>
        </w:tc>
        <w:tc>
          <w:tcPr>
            <w:tcW w:w="3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(13)</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(16)</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580</w:t>
            </w: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480" w:type="dxa"/>
            <w:vAlign w:val="bottom"/>
          </w:tcPr>
          <w:p>
            <w:pPr>
              <w:spacing w:after="0"/>
              <w:rPr>
                <w:sz w:val="18"/>
                <w:szCs w:val="18"/>
                <w:color w:val="auto"/>
              </w:rPr>
            </w:pPr>
          </w:p>
        </w:tc>
        <w:tc>
          <w:tcPr>
            <w:tcW w:w="7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3,357</w:t>
            </w:r>
          </w:p>
        </w:tc>
        <w:tc>
          <w:tcPr>
            <w:tcW w:w="38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3,357</w:t>
            </w:r>
          </w:p>
        </w:tc>
      </w:tr>
      <w:tr>
        <w:trPr>
          <w:trHeight w:val="216"/>
        </w:trPr>
        <w:tc>
          <w:tcPr>
            <w:tcW w:w="20" w:type="dxa"/>
            <w:vAlign w:val="bottom"/>
          </w:tcPr>
          <w:p>
            <w:pPr>
              <w:spacing w:after="0"/>
              <w:rPr>
                <w:sz w:val="18"/>
                <w:szCs w:val="18"/>
                <w:color w:val="auto"/>
              </w:rPr>
            </w:pPr>
          </w:p>
        </w:tc>
        <w:tc>
          <w:tcPr>
            <w:tcW w:w="41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4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671</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671</w:t>
            </w:r>
          </w:p>
        </w:tc>
      </w:tr>
      <w:tr>
        <w:trPr>
          <w:trHeight w:val="217"/>
        </w:trPr>
        <w:tc>
          <w:tcPr>
            <w:tcW w:w="20" w:type="dxa"/>
            <w:vAlign w:val="bottom"/>
          </w:tcPr>
          <w:p>
            <w:pPr>
              <w:spacing w:after="0"/>
              <w:rPr>
                <w:sz w:val="18"/>
                <w:szCs w:val="18"/>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4,028</w:t>
            </w:r>
          </w:p>
        </w:tc>
        <w:tc>
          <w:tcPr>
            <w:tcW w:w="38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4,028</w:t>
            </w:r>
          </w:p>
        </w:tc>
      </w:tr>
      <w:tr>
        <w:trPr>
          <w:trHeight w:val="363"/>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gridSpan w:val="2"/>
          </w:tcPr>
          <w:p>
            <w:pPr>
              <w:jc w:val="right"/>
              <w:ind w:right="252"/>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2009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jc w:val="right"/>
              <w:ind w:right="413"/>
              <w:spacing w:after="0" w:line="149" w:lineRule="exact"/>
              <w:rPr>
                <w:sz w:val="20"/>
                <w:szCs w:val="20"/>
                <w:color w:val="auto"/>
              </w:rPr>
            </w:pPr>
            <w:r>
              <w:rPr>
                <w:rFonts w:ascii="Arial" w:cs="Arial" w:eastAsia="Arial" w:hAnsi="Arial"/>
                <w:sz w:val="14"/>
                <w:szCs w:val="14"/>
                <w:color w:val="auto"/>
                <w:w w:val="98"/>
              </w:rPr>
              <w:t>Non-</w:t>
            </w:r>
          </w:p>
        </w:tc>
        <w:tc>
          <w:tcPr>
            <w:tcW w:w="420" w:type="dxa"/>
            <w:vAlign w:val="bottom"/>
          </w:tcPr>
          <w:p>
            <w:pPr>
              <w:spacing w:after="0"/>
              <w:rPr>
                <w:sz w:val="12"/>
                <w:szCs w:val="12"/>
                <w:color w:val="auto"/>
              </w:rPr>
            </w:pPr>
          </w:p>
        </w:tc>
        <w:tc>
          <w:tcPr>
            <w:tcW w:w="780" w:type="dxa"/>
            <w:vAlign w:val="bottom"/>
          </w:tcPr>
          <w:p>
            <w:pPr>
              <w:jc w:val="center"/>
              <w:ind w:right="293"/>
              <w:spacing w:after="0" w:line="149" w:lineRule="exact"/>
              <w:rPr>
                <w:sz w:val="20"/>
                <w:szCs w:val="20"/>
                <w:color w:val="auto"/>
              </w:rPr>
            </w:pPr>
            <w:r>
              <w:rPr>
                <w:rFonts w:ascii="Arial" w:cs="Arial" w:eastAsia="Arial" w:hAnsi="Arial"/>
                <w:sz w:val="14"/>
                <w:szCs w:val="14"/>
                <w:color w:val="auto"/>
                <w:w w:val="85"/>
              </w:rPr>
              <w:t>and</w:t>
            </w:r>
          </w:p>
        </w:tc>
        <w:tc>
          <w:tcPr>
            <w:tcW w:w="104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140" w:type="dxa"/>
            <w:vAlign w:val="bottom"/>
            <w:gridSpan w:val="2"/>
          </w:tcPr>
          <w:p>
            <w:pPr>
              <w:jc w:val="right"/>
              <w:ind w:right="253"/>
              <w:spacing w:after="0" w:line="149" w:lineRule="exact"/>
              <w:rPr>
                <w:sz w:val="20"/>
                <w:szCs w:val="20"/>
                <w:color w:val="auto"/>
              </w:rPr>
            </w:pPr>
            <w:r>
              <w:rPr>
                <w:rFonts w:ascii="Arial" w:cs="Arial" w:eastAsia="Arial" w:hAnsi="Arial"/>
                <w:sz w:val="14"/>
                <w:szCs w:val="14"/>
                <w:color w:val="auto"/>
              </w:rPr>
              <w:t>Comcast</w:t>
            </w:r>
          </w:p>
        </w:tc>
        <w:tc>
          <w:tcPr>
            <w:tcW w:w="320" w:type="dxa"/>
            <w:vAlign w:val="bottom"/>
          </w:tcPr>
          <w:p>
            <w:pPr>
              <w:spacing w:after="0"/>
              <w:rPr>
                <w:sz w:val="12"/>
                <w:szCs w:val="12"/>
                <w:color w:val="auto"/>
              </w:rPr>
            </w:pPr>
          </w:p>
        </w:tc>
        <w:tc>
          <w:tcPr>
            <w:tcW w:w="800" w:type="dxa"/>
            <w:vAlign w:val="bottom"/>
          </w:tcPr>
          <w:p>
            <w:pPr>
              <w:jc w:val="right"/>
              <w:ind w:right="354"/>
              <w:spacing w:after="0" w:line="149" w:lineRule="exact"/>
              <w:rPr>
                <w:sz w:val="20"/>
                <w:szCs w:val="20"/>
                <w:color w:val="auto"/>
              </w:rPr>
            </w:pPr>
            <w:r>
              <w:rPr>
                <w:rFonts w:ascii="Arial" w:cs="Arial" w:eastAsia="Arial" w:hAnsi="Arial"/>
                <w:sz w:val="14"/>
                <w:szCs w:val="14"/>
                <w:color w:val="auto"/>
                <w:w w:val="89"/>
              </w:rPr>
              <w:t>CCCL</w:t>
            </w:r>
          </w:p>
        </w:tc>
        <w:tc>
          <w:tcPr>
            <w:tcW w:w="102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CCHMO</w:t>
            </w:r>
          </w:p>
        </w:tc>
        <w:tc>
          <w:tcPr>
            <w:tcW w:w="10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Comcast</w:t>
            </w:r>
          </w:p>
        </w:tc>
        <w:tc>
          <w:tcPr>
            <w:tcW w:w="1180" w:type="dxa"/>
            <w:vAlign w:val="bottom"/>
            <w:gridSpan w:val="2"/>
          </w:tcPr>
          <w:p>
            <w:pPr>
              <w:jc w:val="right"/>
              <w:ind w:right="273"/>
              <w:spacing w:after="0" w:line="149" w:lineRule="exact"/>
              <w:rPr>
                <w:sz w:val="20"/>
                <w:szCs w:val="20"/>
                <w:color w:val="auto"/>
              </w:rPr>
            </w:pPr>
            <w:r>
              <w:rPr>
                <w:rFonts w:ascii="Arial" w:cs="Arial" w:eastAsia="Arial" w:hAnsi="Arial"/>
                <w:sz w:val="14"/>
                <w:szCs w:val="14"/>
                <w:color w:val="auto"/>
              </w:rPr>
              <w:t>Guarantor</w:t>
            </w:r>
          </w:p>
        </w:tc>
        <w:tc>
          <w:tcPr>
            <w:tcW w:w="120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Consolidation</w:t>
            </w:r>
          </w:p>
        </w:tc>
        <w:tc>
          <w:tcPr>
            <w:tcW w:w="3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37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5"/>
                <w:szCs w:val="15"/>
                <w:color w:val="auto"/>
              </w:rPr>
            </w:pPr>
          </w:p>
        </w:tc>
        <w:tc>
          <w:tcPr>
            <w:tcW w:w="760" w:type="dxa"/>
            <w:vAlign w:val="bottom"/>
          </w:tcPr>
          <w:p>
            <w:pPr>
              <w:jc w:val="right"/>
              <w:ind w:right="313"/>
              <w:spacing w:after="0"/>
              <w:rPr>
                <w:sz w:val="20"/>
                <w:szCs w:val="20"/>
                <w:color w:val="auto"/>
              </w:rPr>
            </w:pPr>
            <w:r>
              <w:rPr>
                <w:rFonts w:ascii="Arial" w:cs="Arial" w:eastAsia="Arial" w:hAnsi="Arial"/>
                <w:sz w:val="14"/>
                <w:szCs w:val="14"/>
                <w:color w:val="auto"/>
                <w:w w:val="82"/>
              </w:rPr>
              <w:t>Parent</w:t>
            </w:r>
          </w:p>
        </w:tc>
        <w:tc>
          <w:tcPr>
            <w:tcW w:w="320" w:type="dxa"/>
            <w:vAlign w:val="bottom"/>
          </w:tcPr>
          <w:p>
            <w:pPr>
              <w:spacing w:after="0"/>
              <w:rPr>
                <w:sz w:val="15"/>
                <w:szCs w:val="15"/>
                <w:color w:val="auto"/>
              </w:rPr>
            </w:pPr>
          </w:p>
        </w:tc>
        <w:tc>
          <w:tcPr>
            <w:tcW w:w="800" w:type="dxa"/>
            <w:vAlign w:val="bottom"/>
          </w:tcPr>
          <w:p>
            <w:pPr>
              <w:jc w:val="right"/>
              <w:ind w:right="374"/>
              <w:spacing w:after="0"/>
              <w:rPr>
                <w:sz w:val="20"/>
                <w:szCs w:val="20"/>
                <w:color w:val="auto"/>
              </w:rPr>
            </w:pPr>
            <w:r>
              <w:rPr>
                <w:rFonts w:ascii="Arial" w:cs="Arial" w:eastAsia="Arial" w:hAnsi="Arial"/>
                <w:sz w:val="14"/>
                <w:szCs w:val="14"/>
                <w:color w:val="auto"/>
                <w:w w:val="77"/>
              </w:rPr>
              <w:t>Parent</w:t>
            </w:r>
          </w:p>
        </w:tc>
        <w:tc>
          <w:tcPr>
            <w:tcW w:w="1020" w:type="dxa"/>
            <w:vAlign w:val="bottom"/>
            <w:gridSpan w:val="2"/>
          </w:tcPr>
          <w:p>
            <w:pPr>
              <w:jc w:val="right"/>
              <w:ind w:right="292"/>
              <w:spacing w:after="0"/>
              <w:rPr>
                <w:sz w:val="20"/>
                <w:szCs w:val="20"/>
                <w:color w:val="auto"/>
              </w:rPr>
            </w:pPr>
            <w:r>
              <w:rPr>
                <w:rFonts w:ascii="Arial" w:cs="Arial" w:eastAsia="Arial" w:hAnsi="Arial"/>
                <w:sz w:val="14"/>
                <w:szCs w:val="14"/>
                <w:color w:val="auto"/>
              </w:rPr>
              <w:t>Parents</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Holdings</w:t>
            </w:r>
          </w:p>
        </w:tc>
        <w:tc>
          <w:tcPr>
            <w:tcW w:w="1180" w:type="dxa"/>
            <w:vAlign w:val="bottom"/>
            <w:gridSpan w:val="2"/>
          </w:tcPr>
          <w:p>
            <w:pPr>
              <w:ind w:left="220"/>
              <w:spacing w:after="0"/>
              <w:rPr>
                <w:sz w:val="20"/>
                <w:szCs w:val="20"/>
                <w:color w:val="auto"/>
              </w:rPr>
            </w:pPr>
            <w:r>
              <w:rPr>
                <w:rFonts w:ascii="Arial" w:cs="Arial" w:eastAsia="Arial" w:hAnsi="Arial"/>
                <w:sz w:val="14"/>
                <w:szCs w:val="14"/>
                <w:color w:val="auto"/>
              </w:rPr>
              <w:t>Subsidiaries</w:t>
            </w: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4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01"/>
        </w:trPr>
        <w:tc>
          <w:tcPr>
            <w:tcW w:w="20" w:type="dxa"/>
            <w:vAlign w:val="bottom"/>
          </w:tcPr>
          <w:p>
            <w:pPr>
              <w:spacing w:after="0"/>
              <w:rPr>
                <w:sz w:val="17"/>
                <w:szCs w:val="17"/>
                <w:color w:val="auto"/>
              </w:rPr>
            </w:pPr>
          </w:p>
        </w:tc>
        <w:tc>
          <w:tcPr>
            <w:tcW w:w="3680" w:type="dxa"/>
            <w:vAlign w:val="bottom"/>
            <w:tcBorders>
              <w:top w:val="single" w:sz="8" w:color="auto"/>
            </w:tcBorders>
            <w:shd w:val="clear" w:color="auto" w:fill="E5E5E5"/>
          </w:tcPr>
          <w:p>
            <w:pPr>
              <w:ind w:left="200"/>
              <w:spacing w:after="0" w:line="201" w:lineRule="exact"/>
              <w:rPr>
                <w:sz w:val="20"/>
                <w:szCs w:val="20"/>
                <w:color w:val="auto"/>
              </w:rPr>
            </w:pPr>
            <w:r>
              <w:rPr>
                <w:rFonts w:ascii="Arial" w:cs="Arial" w:eastAsia="Arial" w:hAnsi="Arial"/>
                <w:sz w:val="18"/>
                <w:szCs w:val="18"/>
                <w:color w:val="auto"/>
              </w:rPr>
              <w:t>Net cash provided by (used in) operating</w:t>
            </w:r>
          </w:p>
        </w:tc>
        <w:tc>
          <w:tcPr>
            <w:tcW w:w="380" w:type="dxa"/>
            <w:vAlign w:val="bottom"/>
            <w:tcBorders>
              <w:top w:val="single" w:sz="8" w:color="auto"/>
            </w:tcBorders>
            <w:shd w:val="clear" w:color="auto" w:fill="E5E5E5"/>
          </w:tcPr>
          <w:p>
            <w:pPr>
              <w:spacing w:after="0"/>
              <w:rPr>
                <w:sz w:val="17"/>
                <w:szCs w:val="17"/>
                <w:color w:val="auto"/>
              </w:rPr>
            </w:pPr>
          </w:p>
        </w:tc>
        <w:tc>
          <w:tcPr>
            <w:tcW w:w="760" w:type="dxa"/>
            <w:vAlign w:val="bottom"/>
            <w:tcBorders>
              <w:top w:val="single" w:sz="8" w:color="auto"/>
            </w:tcBorders>
            <w:shd w:val="clear" w:color="auto" w:fill="E5E5E5"/>
          </w:tcPr>
          <w:p>
            <w:pPr>
              <w:spacing w:after="0"/>
              <w:rPr>
                <w:sz w:val="17"/>
                <w:szCs w:val="17"/>
                <w:color w:val="auto"/>
              </w:rPr>
            </w:pPr>
          </w:p>
        </w:tc>
        <w:tc>
          <w:tcPr>
            <w:tcW w:w="320" w:type="dxa"/>
            <w:vAlign w:val="bottom"/>
            <w:tcBorders>
              <w:top w:val="single" w:sz="8" w:color="auto"/>
            </w:tcBorders>
            <w:shd w:val="clear" w:color="auto" w:fill="E5E5E5"/>
          </w:tcPr>
          <w:p>
            <w:pPr>
              <w:spacing w:after="0"/>
              <w:rPr>
                <w:sz w:val="17"/>
                <w:szCs w:val="17"/>
                <w:color w:val="auto"/>
              </w:rPr>
            </w:pPr>
          </w:p>
        </w:tc>
        <w:tc>
          <w:tcPr>
            <w:tcW w:w="800" w:type="dxa"/>
            <w:vAlign w:val="bottom"/>
            <w:tcBorders>
              <w:top w:val="single" w:sz="8" w:color="auto"/>
            </w:tcBorders>
            <w:shd w:val="clear" w:color="auto" w:fill="E5E5E5"/>
          </w:tcPr>
          <w:p>
            <w:pPr>
              <w:spacing w:after="0"/>
              <w:rPr>
                <w:sz w:val="17"/>
                <w:szCs w:val="17"/>
                <w:color w:val="auto"/>
              </w:rPr>
            </w:pPr>
          </w:p>
        </w:tc>
        <w:tc>
          <w:tcPr>
            <w:tcW w:w="380" w:type="dxa"/>
            <w:vAlign w:val="bottom"/>
            <w:tcBorders>
              <w:top w:val="single" w:sz="8" w:color="auto"/>
            </w:tcBorders>
            <w:shd w:val="clear" w:color="auto" w:fill="E5E5E5"/>
          </w:tcPr>
          <w:p>
            <w:pPr>
              <w:spacing w:after="0"/>
              <w:rPr>
                <w:sz w:val="17"/>
                <w:szCs w:val="17"/>
                <w:color w:val="auto"/>
              </w:rPr>
            </w:pPr>
          </w:p>
        </w:tc>
        <w:tc>
          <w:tcPr>
            <w:tcW w:w="640" w:type="dxa"/>
            <w:vAlign w:val="bottom"/>
            <w:tcBorders>
              <w:top w:val="single" w:sz="8" w:color="auto"/>
            </w:tcBorders>
            <w:shd w:val="clear" w:color="auto" w:fill="E5E5E5"/>
          </w:tcPr>
          <w:p>
            <w:pPr>
              <w:spacing w:after="0"/>
              <w:rPr>
                <w:sz w:val="17"/>
                <w:szCs w:val="17"/>
                <w:color w:val="auto"/>
              </w:rPr>
            </w:pPr>
          </w:p>
        </w:tc>
        <w:tc>
          <w:tcPr>
            <w:tcW w:w="360" w:type="dxa"/>
            <w:vAlign w:val="bottom"/>
            <w:tcBorders>
              <w:top w:val="single" w:sz="8" w:color="auto"/>
            </w:tcBorders>
            <w:shd w:val="clear" w:color="auto" w:fill="E5E5E5"/>
          </w:tcPr>
          <w:p>
            <w:pPr>
              <w:spacing w:after="0"/>
              <w:rPr>
                <w:sz w:val="17"/>
                <w:szCs w:val="17"/>
                <w:color w:val="auto"/>
              </w:rPr>
            </w:pPr>
          </w:p>
        </w:tc>
        <w:tc>
          <w:tcPr>
            <w:tcW w:w="660" w:type="dxa"/>
            <w:vAlign w:val="bottom"/>
            <w:tcBorders>
              <w:top w:val="single" w:sz="8" w:color="auto"/>
            </w:tcBorders>
            <w:shd w:val="clear" w:color="auto" w:fill="E5E5E5"/>
          </w:tcPr>
          <w:p>
            <w:pPr>
              <w:spacing w:after="0"/>
              <w:rPr>
                <w:sz w:val="17"/>
                <w:szCs w:val="17"/>
                <w:color w:val="auto"/>
              </w:rPr>
            </w:pPr>
          </w:p>
        </w:tc>
        <w:tc>
          <w:tcPr>
            <w:tcW w:w="360" w:type="dxa"/>
            <w:vAlign w:val="bottom"/>
            <w:tcBorders>
              <w:top w:val="single" w:sz="8" w:color="auto"/>
            </w:tcBorders>
            <w:shd w:val="clear" w:color="auto" w:fill="E5E5E5"/>
          </w:tcPr>
          <w:p>
            <w:pPr>
              <w:spacing w:after="0"/>
              <w:rPr>
                <w:sz w:val="17"/>
                <w:szCs w:val="17"/>
                <w:color w:val="auto"/>
              </w:rPr>
            </w:pPr>
          </w:p>
        </w:tc>
        <w:tc>
          <w:tcPr>
            <w:tcW w:w="820" w:type="dxa"/>
            <w:vAlign w:val="bottom"/>
            <w:tcBorders>
              <w:top w:val="single" w:sz="8" w:color="auto"/>
            </w:tcBorders>
            <w:shd w:val="clear" w:color="auto" w:fill="E5E5E5"/>
          </w:tcPr>
          <w:p>
            <w:pPr>
              <w:spacing w:after="0"/>
              <w:rPr>
                <w:sz w:val="17"/>
                <w:szCs w:val="17"/>
                <w:color w:val="auto"/>
              </w:rPr>
            </w:pPr>
          </w:p>
        </w:tc>
        <w:tc>
          <w:tcPr>
            <w:tcW w:w="420" w:type="dxa"/>
            <w:vAlign w:val="bottom"/>
            <w:tcBorders>
              <w:top w:val="single" w:sz="8" w:color="auto"/>
            </w:tcBorders>
            <w:shd w:val="clear" w:color="auto" w:fill="E5E5E5"/>
          </w:tcPr>
          <w:p>
            <w:pPr>
              <w:spacing w:after="0"/>
              <w:rPr>
                <w:sz w:val="17"/>
                <w:szCs w:val="17"/>
                <w:color w:val="auto"/>
              </w:rPr>
            </w:pPr>
          </w:p>
        </w:tc>
        <w:tc>
          <w:tcPr>
            <w:tcW w:w="780" w:type="dxa"/>
            <w:vAlign w:val="bottom"/>
            <w:tcBorders>
              <w:top w:val="single" w:sz="8" w:color="auto"/>
            </w:tcBorders>
            <w:shd w:val="clear" w:color="auto" w:fill="E5E5E5"/>
          </w:tcPr>
          <w:p>
            <w:pPr>
              <w:spacing w:after="0"/>
              <w:rPr>
                <w:sz w:val="17"/>
                <w:szCs w:val="17"/>
                <w:color w:val="auto"/>
              </w:rPr>
            </w:pPr>
          </w:p>
        </w:tc>
        <w:tc>
          <w:tcPr>
            <w:tcW w:w="320" w:type="dxa"/>
            <w:vAlign w:val="bottom"/>
            <w:tcBorders>
              <w:top w:val="single" w:sz="8" w:color="auto"/>
            </w:tcBorders>
            <w:shd w:val="clear" w:color="auto" w:fill="E5E5E5"/>
          </w:tcPr>
          <w:p>
            <w:pPr>
              <w:spacing w:after="0"/>
              <w:rPr>
                <w:sz w:val="17"/>
                <w:szCs w:val="17"/>
                <w:color w:val="auto"/>
              </w:rPr>
            </w:pPr>
          </w:p>
        </w:tc>
        <w:tc>
          <w:tcPr>
            <w:tcW w:w="720" w:type="dxa"/>
            <w:vAlign w:val="bottom"/>
            <w:tcBorders>
              <w:top w:val="single" w:sz="8" w:color="auto"/>
            </w:tcBorders>
            <w:shd w:val="clear" w:color="auto" w:fill="E5E5E5"/>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activities</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155</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(85)</w:t>
            </w:r>
          </w:p>
        </w:tc>
        <w:tc>
          <w:tcPr>
            <w:tcW w:w="3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(72)</w:t>
            </w:r>
          </w:p>
        </w:tc>
        <w:tc>
          <w:tcPr>
            <w:tcW w:w="3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28</w:t>
            </w:r>
          </w:p>
        </w:tc>
        <w:tc>
          <w:tcPr>
            <w:tcW w:w="3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5,087</w:t>
            </w:r>
          </w:p>
        </w:tc>
        <w:tc>
          <w:tcPr>
            <w:tcW w:w="42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5,113</w:t>
            </w: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Investing Activities:</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87"/>
              </w:rPr>
              <w:t>(2,100)</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w w:val="97"/>
              </w:rPr>
              <w:t>1,537</w:t>
            </w:r>
          </w:p>
        </w:tc>
        <w:tc>
          <w:tcPr>
            <w:tcW w:w="3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72</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234</w:t>
            </w: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257</w:t>
            </w:r>
          </w:p>
        </w:tc>
        <w:tc>
          <w:tcPr>
            <w:tcW w:w="4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38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80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w w:val="98"/>
              </w:rPr>
              <w:t>(2,259)</w:t>
            </w:r>
          </w:p>
        </w:tc>
        <w:tc>
          <w:tcPr>
            <w:tcW w:w="42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(2,281)</w:t>
            </w:r>
          </w:p>
        </w:tc>
      </w:tr>
      <w:tr>
        <w:trPr>
          <w:trHeight w:val="216"/>
        </w:trPr>
        <w:tc>
          <w:tcPr>
            <w:tcW w:w="20" w:type="dxa"/>
            <w:vAlign w:val="bottom"/>
          </w:tcPr>
          <w:p>
            <w:pPr>
              <w:spacing w:after="0"/>
              <w:rPr>
                <w:sz w:val="18"/>
                <w:szCs w:val="18"/>
                <w:color w:val="auto"/>
              </w:rPr>
            </w:pPr>
          </w:p>
        </w:tc>
        <w:tc>
          <w:tcPr>
            <w:tcW w:w="36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(241)</w:t>
            </w:r>
          </w:p>
        </w:tc>
        <w:tc>
          <w:tcPr>
            <w:tcW w:w="4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(241)</w:t>
            </w: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380" w:type="dxa"/>
            <w:vAlign w:val="bottom"/>
          </w:tcPr>
          <w:p>
            <w:pPr>
              <w:spacing w:after="0"/>
              <w:rPr>
                <w:sz w:val="18"/>
                <w:szCs w:val="18"/>
                <w:color w:val="auto"/>
              </w:rPr>
            </w:pPr>
          </w:p>
        </w:tc>
        <w:tc>
          <w:tcPr>
            <w:tcW w:w="76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36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sales of investments</w:t>
            </w: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16</w:t>
            </w:r>
          </w:p>
        </w:tc>
        <w:tc>
          <w:tcPr>
            <w:tcW w:w="4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380" w:type="dxa"/>
            <w:vAlign w:val="bottom"/>
          </w:tcPr>
          <w:p>
            <w:pPr>
              <w:spacing w:after="0"/>
              <w:rPr>
                <w:sz w:val="18"/>
                <w:szCs w:val="18"/>
                <w:color w:val="auto"/>
              </w:rPr>
            </w:pPr>
          </w:p>
        </w:tc>
        <w:tc>
          <w:tcPr>
            <w:tcW w:w="76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(67)</w:t>
            </w:r>
          </w:p>
        </w:tc>
        <w:tc>
          <w:tcPr>
            <w:tcW w:w="42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0" w:type="dxa"/>
            <w:vAlign w:val="bottom"/>
          </w:tcPr>
          <w:p>
            <w:pPr>
              <w:spacing w:after="0"/>
              <w:rPr>
                <w:sz w:val="18"/>
                <w:szCs w:val="18"/>
                <w:color w:val="auto"/>
              </w:rPr>
            </w:pPr>
          </w:p>
        </w:tc>
        <w:tc>
          <w:tcPr>
            <w:tcW w:w="36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30</w:t>
            </w:r>
          </w:p>
        </w:tc>
        <w:tc>
          <w:tcPr>
            <w:tcW w:w="4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30</w:t>
            </w:r>
          </w:p>
        </w:tc>
      </w:tr>
      <w:tr>
        <w:trPr>
          <w:trHeight w:val="201"/>
        </w:trPr>
        <w:tc>
          <w:tcPr>
            <w:tcW w:w="20" w:type="dxa"/>
            <w:vAlign w:val="bottom"/>
          </w:tcPr>
          <w:p>
            <w:pPr>
              <w:spacing w:after="0"/>
              <w:rPr>
                <w:sz w:val="17"/>
                <w:szCs w:val="17"/>
                <w:color w:val="auto"/>
              </w:rPr>
            </w:pPr>
          </w:p>
        </w:tc>
        <w:tc>
          <w:tcPr>
            <w:tcW w:w="3680" w:type="dxa"/>
            <w:vAlign w:val="bottom"/>
          </w:tcPr>
          <w:p>
            <w:pPr>
              <w:ind w:left="200"/>
              <w:spacing w:after="0" w:line="201" w:lineRule="exact"/>
              <w:rPr>
                <w:sz w:val="20"/>
                <w:szCs w:val="20"/>
                <w:color w:val="auto"/>
              </w:rPr>
            </w:pPr>
            <w:r>
              <w:rPr>
                <w:rFonts w:ascii="Arial" w:cs="Arial" w:eastAsia="Arial" w:hAnsi="Arial"/>
                <w:sz w:val="18"/>
                <w:szCs w:val="18"/>
                <w:color w:val="auto"/>
              </w:rPr>
              <w:t>Net cash provided by (used in) investing</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activities</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87"/>
              </w:rPr>
              <w:t>(2,122)</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w w:val="97"/>
              </w:rPr>
              <w:t>1,537</w:t>
            </w: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72</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234</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98"/>
              </w:rPr>
              <w:t>(2,291)</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w:t>
            </w:r>
          </w:p>
        </w:tc>
      </w:tr>
      <w:tr>
        <w:trPr>
          <w:trHeight w:val="211"/>
        </w:trPr>
        <w:tc>
          <w:tcPr>
            <w:tcW w:w="20" w:type="dxa"/>
            <w:vAlign w:val="bottom"/>
          </w:tcPr>
          <w:p>
            <w:pPr>
              <w:spacing w:after="0"/>
              <w:rPr>
                <w:sz w:val="18"/>
                <w:szCs w:val="18"/>
                <w:color w:val="auto"/>
              </w:rPr>
            </w:pPr>
          </w:p>
        </w:tc>
        <w:tc>
          <w:tcPr>
            <w:tcW w:w="3680" w:type="dxa"/>
            <w:vAlign w:val="bottom"/>
            <w:shd w:val="clear" w:color="auto" w:fill="E5E5E5"/>
          </w:tcPr>
          <w:p>
            <w:pPr>
              <w:spacing w:after="0"/>
              <w:rPr>
                <w:sz w:val="20"/>
                <w:szCs w:val="20"/>
                <w:color w:val="auto"/>
              </w:rPr>
            </w:pPr>
            <w:r>
              <w:rPr>
                <w:rFonts w:ascii="Arial" w:cs="Arial" w:eastAsia="Arial" w:hAnsi="Arial"/>
                <w:sz w:val="18"/>
                <w:szCs w:val="18"/>
                <w:color w:val="auto"/>
              </w:rPr>
              <w:t>Financing Activities:</w:t>
            </w: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380" w:type="dxa"/>
            <w:vAlign w:val="bottom"/>
          </w:tcPr>
          <w:p>
            <w:pPr>
              <w:spacing w:after="0"/>
              <w:rPr>
                <w:sz w:val="18"/>
                <w:szCs w:val="18"/>
                <w:color w:val="auto"/>
              </w:rPr>
            </w:pPr>
          </w:p>
        </w:tc>
        <w:tc>
          <w:tcPr>
            <w:tcW w:w="760" w:type="dxa"/>
            <w:vAlign w:val="bottom"/>
          </w:tcPr>
          <w:p>
            <w:pPr>
              <w:jc w:val="right"/>
              <w:ind w:right="213"/>
              <w:spacing w:after="0"/>
              <w:rPr>
                <w:sz w:val="20"/>
                <w:szCs w:val="20"/>
                <w:color w:val="auto"/>
              </w:rPr>
            </w:pPr>
            <w:r>
              <w:rPr>
                <w:rFonts w:ascii="Arial" w:cs="Arial" w:eastAsia="Arial" w:hAnsi="Arial"/>
                <w:sz w:val="18"/>
                <w:szCs w:val="18"/>
                <w:color w:val="auto"/>
                <w:w w:val="97"/>
              </w:rPr>
              <w:t>2,492</w:t>
            </w:r>
          </w:p>
        </w:tc>
        <w:tc>
          <w:tcPr>
            <w:tcW w:w="320" w:type="dxa"/>
            <w:vAlign w:val="bottom"/>
          </w:tcPr>
          <w:p>
            <w:pPr>
              <w:spacing w:after="0"/>
              <w:rPr>
                <w:sz w:val="18"/>
                <w:szCs w:val="18"/>
                <w:color w:val="auto"/>
              </w:rPr>
            </w:pPr>
          </w:p>
        </w:tc>
        <w:tc>
          <w:tcPr>
            <w:tcW w:w="80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2,522</w:t>
            </w:r>
          </w:p>
        </w:tc>
      </w:tr>
      <w:tr>
        <w:trPr>
          <w:trHeight w:val="216"/>
        </w:trPr>
        <w:tc>
          <w:tcPr>
            <w:tcW w:w="20" w:type="dxa"/>
            <w:vAlign w:val="bottom"/>
          </w:tcPr>
          <w:p>
            <w:pPr>
              <w:spacing w:after="0"/>
              <w:rPr>
                <w:sz w:val="18"/>
                <w:szCs w:val="18"/>
                <w:color w:val="auto"/>
              </w:rPr>
            </w:pPr>
          </w:p>
        </w:tc>
        <w:tc>
          <w:tcPr>
            <w:tcW w:w="36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Repurchases and repayments of debt</w:t>
            </w: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(33)</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w w:val="87"/>
              </w:rPr>
              <w:t>(1,448)</w:t>
            </w:r>
          </w:p>
        </w:tc>
        <w:tc>
          <w:tcPr>
            <w:tcW w:w="3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95"/>
              </w:rPr>
              <w:t>(262)</w:t>
            </w: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(24)</w:t>
            </w:r>
          </w:p>
        </w:tc>
        <w:tc>
          <w:tcPr>
            <w:tcW w:w="4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(1,767)</w:t>
            </w: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38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8"/>
                <w:szCs w:val="18"/>
                <w:color w:val="auto"/>
              </w:rPr>
            </w:pPr>
          </w:p>
        </w:tc>
        <w:tc>
          <w:tcPr>
            <w:tcW w:w="80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20" w:type="dxa"/>
            <w:vAlign w:val="bottom"/>
          </w:tcPr>
          <w:p>
            <w:pPr>
              <w:spacing w:after="0"/>
              <w:rPr>
                <w:sz w:val="18"/>
                <w:szCs w:val="18"/>
                <w:color w:val="auto"/>
              </w:rPr>
            </w:pPr>
          </w:p>
        </w:tc>
        <w:tc>
          <w:tcPr>
            <w:tcW w:w="36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Dividends paid</w:t>
            </w: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(375)</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(375)</w:t>
            </w:r>
          </w:p>
        </w:tc>
      </w:tr>
      <w:tr>
        <w:trPr>
          <w:trHeight w:val="216"/>
        </w:trPr>
        <w:tc>
          <w:tcPr>
            <w:tcW w:w="20" w:type="dxa"/>
            <w:vAlign w:val="bottom"/>
          </w:tcPr>
          <w:p>
            <w:pPr>
              <w:spacing w:after="0"/>
              <w:rPr>
                <w:sz w:val="18"/>
                <w:szCs w:val="18"/>
                <w:color w:val="auto"/>
              </w:rPr>
            </w:pPr>
          </w:p>
        </w:tc>
        <w:tc>
          <w:tcPr>
            <w:tcW w:w="36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(9)</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01"/>
        </w:trPr>
        <w:tc>
          <w:tcPr>
            <w:tcW w:w="20" w:type="dxa"/>
            <w:vAlign w:val="bottom"/>
          </w:tcPr>
          <w:p>
            <w:pPr>
              <w:spacing w:after="0"/>
              <w:rPr>
                <w:sz w:val="17"/>
                <w:szCs w:val="17"/>
                <w:color w:val="auto"/>
              </w:rPr>
            </w:pPr>
          </w:p>
        </w:tc>
        <w:tc>
          <w:tcPr>
            <w:tcW w:w="3680" w:type="dxa"/>
            <w:vAlign w:val="bottom"/>
            <w:shd w:val="clear" w:color="auto" w:fill="E5E5E5"/>
          </w:tcPr>
          <w:p>
            <w:pPr>
              <w:ind w:left="200"/>
              <w:spacing w:after="0" w:line="201" w:lineRule="exact"/>
              <w:rPr>
                <w:sz w:val="20"/>
                <w:szCs w:val="20"/>
                <w:color w:val="auto"/>
              </w:rPr>
            </w:pPr>
            <w:r>
              <w:rPr>
                <w:rFonts w:ascii="Arial" w:cs="Arial" w:eastAsia="Arial" w:hAnsi="Arial"/>
                <w:sz w:val="18"/>
                <w:szCs w:val="18"/>
                <w:color w:val="auto"/>
              </w:rPr>
              <w:t>Net cash provided by (used in) financing</w:t>
            </w:r>
          </w:p>
        </w:tc>
        <w:tc>
          <w:tcPr>
            <w:tcW w:w="3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activities</w:t>
            </w:r>
          </w:p>
        </w:tc>
        <w:tc>
          <w:tcPr>
            <w:tcW w:w="380" w:type="dxa"/>
            <w:vAlign w:val="bottom"/>
            <w:tcBorders>
              <w:bottom w:val="single" w:sz="8" w:color="auto"/>
            </w:tcBorders>
            <w:shd w:val="clear" w:color="auto" w:fill="E5E5E5"/>
          </w:tcPr>
          <w:p>
            <w:pPr>
              <w:spacing w:after="0"/>
              <w:rPr>
                <w:sz w:val="19"/>
                <w:szCs w:val="19"/>
                <w:color w:val="auto"/>
              </w:rPr>
            </w:pPr>
          </w:p>
        </w:tc>
        <w:tc>
          <w:tcPr>
            <w:tcW w:w="76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w w:val="97"/>
              </w:rPr>
              <w:t>1,967</w:t>
            </w:r>
          </w:p>
        </w:tc>
        <w:tc>
          <w:tcPr>
            <w:tcW w:w="320" w:type="dxa"/>
            <w:vAlign w:val="bottom"/>
            <w:tcBorders>
              <w:bottom w:val="single" w:sz="8" w:color="auto"/>
            </w:tcBorders>
            <w:shd w:val="clear" w:color="auto" w:fill="E5E5E5"/>
          </w:tcPr>
          <w:p>
            <w:pPr>
              <w:spacing w:after="0"/>
              <w:rPr>
                <w:sz w:val="19"/>
                <w:szCs w:val="19"/>
                <w:color w:val="auto"/>
              </w:rPr>
            </w:pPr>
          </w:p>
        </w:tc>
        <w:tc>
          <w:tcPr>
            <w:tcW w:w="80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w w:val="87"/>
              </w:rPr>
              <w:t>(1,452)</w:t>
            </w:r>
          </w:p>
        </w:tc>
        <w:tc>
          <w:tcPr>
            <w:tcW w:w="380" w:type="dxa"/>
            <w:vAlign w:val="bottom"/>
            <w:tcBorders>
              <w:bottom w:val="single" w:sz="8" w:color="auto"/>
            </w:tcBorders>
            <w:shd w:val="clear" w:color="auto" w:fill="E5E5E5"/>
          </w:tcPr>
          <w:p>
            <w:pPr>
              <w:spacing w:after="0"/>
              <w:rPr>
                <w:sz w:val="19"/>
                <w:szCs w:val="19"/>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9"/>
                <w:szCs w:val="19"/>
                <w:color w:val="auto"/>
              </w:rPr>
            </w:pPr>
          </w:p>
        </w:tc>
        <w:tc>
          <w:tcPr>
            <w:tcW w:w="6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w w:val="95"/>
              </w:rPr>
              <w:t>(262)</w:t>
            </w:r>
          </w:p>
        </w:tc>
        <w:tc>
          <w:tcPr>
            <w:tcW w:w="360" w:type="dxa"/>
            <w:vAlign w:val="bottom"/>
            <w:tcBorders>
              <w:bottom w:val="single" w:sz="8" w:color="auto"/>
            </w:tcBorders>
            <w:shd w:val="clear" w:color="auto" w:fill="E5E5E5"/>
          </w:tcPr>
          <w:p>
            <w:pPr>
              <w:spacing w:after="0"/>
              <w:rPr>
                <w:sz w:val="19"/>
                <w:szCs w:val="19"/>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auto"/>
            </w:tcBorders>
            <w:shd w:val="clear" w:color="auto" w:fill="E5E5E5"/>
          </w:tcPr>
          <w:p>
            <w:pPr>
              <w:spacing w:after="0"/>
              <w:rPr>
                <w:sz w:val="19"/>
                <w:szCs w:val="19"/>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251</w:t>
            </w: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w w:val="92"/>
              </w:rPr>
              <w:t>Increase (decrease) in cash and cash equivalents</w:t>
            </w:r>
          </w:p>
        </w:tc>
        <w:tc>
          <w:tcPr>
            <w:tcW w:w="380" w:type="dxa"/>
            <w:vAlign w:val="bottom"/>
          </w:tcPr>
          <w:p>
            <w:pPr>
              <w:spacing w:after="0"/>
              <w:rPr>
                <w:sz w:val="18"/>
                <w:szCs w:val="18"/>
                <w:color w:val="auto"/>
              </w:rPr>
            </w:pPr>
          </w:p>
        </w:tc>
        <w:tc>
          <w:tcPr>
            <w:tcW w:w="76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Arial" w:cs="Arial" w:eastAsia="Arial" w:hAnsi="Arial"/>
                <w:sz w:val="18"/>
                <w:szCs w:val="18"/>
                <w:color w:val="auto"/>
              </w:rPr>
              <w:t>2,794</w:t>
            </w:r>
          </w:p>
        </w:tc>
        <w:tc>
          <w:tcPr>
            <w:tcW w:w="42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2,794</w:t>
            </w:r>
          </w:p>
        </w:tc>
      </w:tr>
      <w:tr>
        <w:trPr>
          <w:trHeight w:val="216"/>
        </w:trPr>
        <w:tc>
          <w:tcPr>
            <w:tcW w:w="20" w:type="dxa"/>
            <w:vAlign w:val="bottom"/>
          </w:tcPr>
          <w:p>
            <w:pPr>
              <w:spacing w:after="0"/>
              <w:rPr>
                <w:sz w:val="18"/>
                <w:szCs w:val="18"/>
                <w:color w:val="auto"/>
              </w:rPr>
            </w:pPr>
          </w:p>
        </w:tc>
        <w:tc>
          <w:tcPr>
            <w:tcW w:w="36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6"/>
              </w:rPr>
              <w:t>Cash and cash equivalents, beginning of period</w:t>
            </w:r>
          </w:p>
        </w:tc>
        <w:tc>
          <w:tcPr>
            <w:tcW w:w="3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1,195</w:t>
            </w:r>
          </w:p>
        </w:tc>
        <w:tc>
          <w:tcPr>
            <w:tcW w:w="4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1,195</w:t>
            </w:r>
          </w:p>
        </w:tc>
      </w:tr>
      <w:tr>
        <w:trPr>
          <w:trHeight w:val="217"/>
        </w:trPr>
        <w:tc>
          <w:tcPr>
            <w:tcW w:w="20" w:type="dxa"/>
            <w:vAlign w:val="bottom"/>
          </w:tcPr>
          <w:p>
            <w:pPr>
              <w:spacing w:after="0"/>
              <w:rPr>
                <w:sz w:val="18"/>
                <w:szCs w:val="18"/>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3,989</w:t>
            </w:r>
          </w:p>
        </w:tc>
        <w:tc>
          <w:tcPr>
            <w:tcW w:w="42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3,989</w:t>
            </w:r>
          </w:p>
        </w:tc>
      </w:tr>
      <w:tr>
        <w:trPr>
          <w:trHeight w:val="363"/>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 leading provider of video, high-speed Internet and phone services (“cable services”), offering a variety of entertainment, information and communications services to residential and commercial customers. As of June 30, 2010, our cable systems served approximately 23.2 million video customers, 16.4 million high-speed Internet customers and 8.1 million phone customers and passed over 51 million homes and businesses in 39 states and the District of Columbia. We report the results of these operations as our Cable segment, which generates approximately 94% of our consolidated revenue. Our Cable segment also includes the operations of our regional sports networks. Our Programming segment consists primarily of our consolidated national programming networks, E!, Golf Channel, VERSUS, G4 and Style. Revenue from our Programming segment is generated primarily from monthly per subscriber license fees paid by multichannel video providers, the sale of advertising and the licensing of our programming internationally.</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more significant developments in our businesses during the six months ended June 30, 2010:</w:t>
      </w:r>
    </w:p>
    <w:p>
      <w:pPr>
        <w:spacing w:after="0" w:line="77" w:lineRule="exact"/>
        <w:rPr>
          <w:sz w:val="20"/>
          <w:szCs w:val="20"/>
          <w:color w:val="auto"/>
        </w:rPr>
      </w:pPr>
    </w:p>
    <w:p>
      <w:pPr>
        <w:ind w:left="1020" w:right="1240" w:hanging="215"/>
        <w:spacing w:after="0" w:line="26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consolidated revenue of 4.9% to $18.7 billion and an increase in consolidated operating income of 8.9% to $4.0 billion</w:t>
      </w:r>
    </w:p>
    <w:p>
      <w:pPr>
        <w:spacing w:after="0" w:line="37"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Cable segment revenue of 4.3% to $17.6 billion and an increase in operating income before depreciation and amortization of 4.9% to $7.2 billion</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Programming segment revenue of 12.6% to $839 million and an increase in operating income before depreciation and amortization of 21.5% to $273 million</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addition of 517,000 high-speed Internet customers and 503,000 phone customers; a decrease of 347,000 video customers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reduction in Cable segment capital expenditures of 9.2% to $2.0 billion</w:t>
      </w:r>
    </w:p>
    <w:p>
      <w:pPr>
        <w:spacing w:after="0" w:line="76"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repurchase of 36.4 million shares of our Class A Special common stock under our share repurchase authorization for $600 million</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payment of $535 million in dividends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issuance of approximately $2.4 billion aggregate principal amount of notes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 Universal Transaction</w:t>
      </w:r>
    </w:p>
    <w:p>
      <w:pPr>
        <w:spacing w:after="0" w:line="8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entered into agreements with General Electric Company (“GE”) in December 2009 to form a new company of which we will own 51% and control, with the remaining 49% to be owned by GE. Under the terms of the transaction, GE will contribute NBC Universal’s businesses, including its cable and broadcast networks, filmed entertainment, televised entertainment, theme parks and unconsolidated investments, as well as other GE assets used primarily in NBC Universal’s business. NBC Universal borrowed $4 billion in April 2010 from third party lenders (“bond offering”) and plans to borrow an additional $5.1 billion from third party lenders prior to the closing of the transaction. We will contribute our national programming networks, our regional sports networks and certain of our Internet businesses, as well as other assets used primarily in those businesses, collectively valued at approximately $7.25 billion, and make a cash payment to GE of $7.1 billion, less certain adjustments primarily based on the free cash flow generated by NBC Universal between December 4, 2009 and the closing. The transaction is subject to various regulatory approvals and is expected to close by the end of 2010.</w:t>
      </w:r>
    </w:p>
    <w:p>
      <w:pPr>
        <w:spacing w:after="0" w:line="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 will be entitled to cause the new company to redeem half of GE’s interest 3.5 years after the closing and its remaining interest 7 years after the closing. If GE exercises its first redemption right, we have the right to purchase the remainder of GE’s interest. If GE does not exercise its first redemption right, we have the right to purchase half of GE’s interest 5 years after the closing. We also will have the right to purchase GE’s remaining interest, if any, 8 years after the closing. The redemption and purchase price will equal the ownership percentage being acquired multiplied by 120% of the fully distributed public market trading value of the new company, less half of the excess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25" w:lineRule="auto"/>
        <w:rPr>
          <w:sz w:val="20"/>
          <w:szCs w:val="20"/>
          <w:color w:val="auto"/>
        </w:rPr>
      </w:pPr>
      <w:r>
        <w:rPr>
          <w:rFonts w:ascii="Arial" w:cs="Arial" w:eastAsia="Arial" w:hAnsi="Arial"/>
          <w:sz w:val="16"/>
          <w:szCs w:val="16"/>
          <w:color w:val="auto"/>
        </w:rPr>
        <w:t>of 120% of that value over $28.15 billion. Subject to various limitations, we are committed to fund up to $2.875 billion in cash or common stock for each of the two redemptions (for an aggregate of up to $5.75 billion), with amounts not used in the first redemption to be available for the second redemption.</w:t>
      </w:r>
    </w:p>
    <w:p>
      <w:pPr>
        <w:spacing w:after="0" w:line="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incurred expenses related to legal, accounting and valuation services of $22 million and $36 million for the three and six months ended June 30, 2010, respectively, which are reflected in operating, selling, general and administrative expenses. We also incurred certain financing and other shared costs with GE associated with NBC Universal’s debt facilities entered into at the December 2009 agreement date and with NBC Universal’s April 2010 bond offering of $37 million and $52 million for the three and six months ended June 30, 2010, respectively, which are reflected in other income (expense) and interest expense.</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gridSpan w:val="3"/>
          </w:tcPr>
          <w:p>
            <w:pPr>
              <w:jc w:val="right"/>
              <w:ind w:right="334"/>
              <w:spacing w:after="0"/>
              <w:rPr>
                <w:sz w:val="20"/>
                <w:szCs w:val="20"/>
                <w:color w:val="auto"/>
              </w:rPr>
            </w:pPr>
            <w:r>
              <w:rPr>
                <w:rFonts w:ascii="Arial" w:cs="Arial" w:eastAsia="Arial" w:hAnsi="Arial"/>
                <w:sz w:val="14"/>
                <w:szCs w:val="14"/>
                <w:color w:val="auto"/>
                <w:w w:val="91"/>
              </w:rPr>
              <w:t>Three Months Ended</w:t>
            </w:r>
          </w:p>
        </w:tc>
        <w:tc>
          <w:tcPr>
            <w:tcW w:w="1180" w:type="dxa"/>
            <w:vAlign w:val="bottom"/>
          </w:tcPr>
          <w:p>
            <w:pPr>
              <w:jc w:val="right"/>
              <w:ind w:right="395"/>
              <w:spacing w:after="0"/>
              <w:rPr>
                <w:sz w:val="20"/>
                <w:szCs w:val="20"/>
                <w:color w:val="auto"/>
              </w:rPr>
            </w:pPr>
            <w:r>
              <w:rPr>
                <w:rFonts w:ascii="Arial" w:cs="Arial" w:eastAsia="Arial" w:hAnsi="Arial"/>
                <w:sz w:val="14"/>
                <w:szCs w:val="14"/>
                <w:color w:val="auto"/>
              </w:rPr>
              <w:t>Increase/</w:t>
            </w:r>
          </w:p>
        </w:tc>
        <w:tc>
          <w:tcPr>
            <w:tcW w:w="280" w:type="dxa"/>
            <w:vAlign w:val="bottom"/>
          </w:tcPr>
          <w:p>
            <w:pPr>
              <w:spacing w:after="0"/>
              <w:rPr>
                <w:sz w:val="14"/>
                <w:szCs w:val="14"/>
                <w:color w:val="auto"/>
              </w:rPr>
            </w:pPr>
          </w:p>
        </w:tc>
        <w:tc>
          <w:tcPr>
            <w:tcW w:w="1720" w:type="dxa"/>
            <w:vAlign w:val="bottom"/>
            <w:gridSpan w:val="3"/>
          </w:tcPr>
          <w:p>
            <w:pPr>
              <w:jc w:val="right"/>
              <w:ind w:right="434"/>
              <w:spacing w:after="0"/>
              <w:rPr>
                <w:sz w:val="20"/>
                <w:szCs w:val="20"/>
                <w:color w:val="auto"/>
              </w:rPr>
            </w:pPr>
            <w:r>
              <w:rPr>
                <w:rFonts w:ascii="Arial" w:cs="Arial" w:eastAsia="Arial" w:hAnsi="Arial"/>
                <w:sz w:val="14"/>
                <w:szCs w:val="14"/>
                <w:color w:val="auto"/>
              </w:rPr>
              <w:t>Six Months Ended</w:t>
            </w:r>
          </w:p>
        </w:tc>
        <w:tc>
          <w:tcPr>
            <w:tcW w:w="1000" w:type="dxa"/>
            <w:vAlign w:val="bottom"/>
          </w:tcPr>
          <w:p>
            <w:pPr>
              <w:jc w:val="right"/>
              <w:ind w:right="195"/>
              <w:spacing w:after="0"/>
              <w:rPr>
                <w:sz w:val="20"/>
                <w:szCs w:val="20"/>
                <w:color w:val="auto"/>
              </w:rPr>
            </w:pPr>
            <w:r>
              <w:rPr>
                <w:rFonts w:ascii="Arial" w:cs="Arial" w:eastAsia="Arial" w:hAnsi="Arial"/>
                <w:sz w:val="14"/>
                <w:szCs w:val="14"/>
                <w:color w:val="auto"/>
              </w:rPr>
              <w:t>Increase/</w:t>
            </w:r>
          </w:p>
        </w:tc>
      </w:tr>
      <w:tr>
        <w:trPr>
          <w:trHeight w:val="173"/>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color w:val="auto"/>
              </w:rPr>
              <w:t>(Decrease)</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(Decrease)</w:t>
            </w:r>
          </w:p>
        </w:tc>
      </w:tr>
      <w:tr>
        <w:trPr>
          <w:trHeight w:val="237"/>
        </w:trPr>
        <w:tc>
          <w:tcPr>
            <w:tcW w:w="52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840" w:type="dxa"/>
            <w:vAlign w:val="bottom"/>
          </w:tcPr>
          <w:p>
            <w:pPr>
              <w:jc w:val="right"/>
              <w:ind w:right="457"/>
              <w:spacing w:after="0"/>
              <w:rPr>
                <w:sz w:val="20"/>
                <w:szCs w:val="20"/>
                <w:color w:val="auto"/>
              </w:rPr>
            </w:pPr>
            <w:r>
              <w:rPr>
                <w:rFonts w:ascii="Arial" w:cs="Arial" w:eastAsia="Arial" w:hAnsi="Arial"/>
                <w:sz w:val="14"/>
                <w:szCs w:val="14"/>
                <w:color w:val="auto"/>
                <w:w w:val="89"/>
              </w:rPr>
              <w:t>2010</w:t>
            </w:r>
          </w:p>
        </w:tc>
        <w:tc>
          <w:tcPr>
            <w:tcW w:w="120" w:type="dxa"/>
            <w:vAlign w:val="bottom"/>
          </w:tcPr>
          <w:p>
            <w:pPr>
              <w:spacing w:after="0"/>
              <w:rPr>
                <w:sz w:val="20"/>
                <w:szCs w:val="20"/>
                <w:color w:val="auto"/>
              </w:rPr>
            </w:pPr>
          </w:p>
        </w:tc>
        <w:tc>
          <w:tcPr>
            <w:tcW w:w="680" w:type="dxa"/>
            <w:vAlign w:val="bottom"/>
          </w:tcPr>
          <w:p>
            <w:pPr>
              <w:jc w:val="right"/>
              <w:ind w:right="294"/>
              <w:spacing w:after="0"/>
              <w:rPr>
                <w:sz w:val="20"/>
                <w:szCs w:val="20"/>
                <w:color w:val="auto"/>
              </w:rPr>
            </w:pPr>
            <w:r>
              <w:rPr>
                <w:rFonts w:ascii="Arial" w:cs="Arial" w:eastAsia="Arial" w:hAnsi="Arial"/>
                <w:sz w:val="14"/>
                <w:szCs w:val="14"/>
                <w:color w:val="auto"/>
                <w:w w:val="89"/>
              </w:rPr>
              <w:t>2009</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497"/>
              <w:spacing w:after="0"/>
              <w:rPr>
                <w:sz w:val="20"/>
                <w:szCs w:val="20"/>
                <w:color w:val="auto"/>
              </w:rPr>
            </w:pPr>
            <w:r>
              <w:rPr>
                <w:rFonts w:ascii="Arial" w:cs="Arial" w:eastAsia="Arial" w:hAnsi="Arial"/>
                <w:sz w:val="14"/>
                <w:szCs w:val="14"/>
                <w:color w:val="auto"/>
                <w:w w:val="96"/>
              </w:rPr>
              <w:t>2010</w:t>
            </w:r>
          </w:p>
        </w:tc>
        <w:tc>
          <w:tcPr>
            <w:tcW w:w="80" w:type="dxa"/>
            <w:vAlign w:val="bottom"/>
          </w:tcPr>
          <w:p>
            <w:pPr>
              <w:spacing w:after="0"/>
              <w:rPr>
                <w:sz w:val="20"/>
                <w:szCs w:val="20"/>
                <w:color w:val="auto"/>
              </w:rPr>
            </w:pPr>
          </w:p>
        </w:tc>
        <w:tc>
          <w:tcPr>
            <w:tcW w:w="740" w:type="dxa"/>
            <w:vAlign w:val="bottom"/>
          </w:tcPr>
          <w:p>
            <w:pPr>
              <w:jc w:val="right"/>
              <w:ind w:right="314"/>
              <w:spacing w:after="0"/>
              <w:rPr>
                <w:sz w:val="20"/>
                <w:szCs w:val="20"/>
                <w:color w:val="auto"/>
              </w:rPr>
            </w:pPr>
            <w:r>
              <w:rPr>
                <w:rFonts w:ascii="Arial" w:cs="Arial" w:eastAsia="Arial" w:hAnsi="Arial"/>
                <w:sz w:val="14"/>
                <w:szCs w:val="14"/>
                <w:color w:val="auto"/>
              </w:rPr>
              <w:t>2009</w:t>
            </w:r>
          </w:p>
        </w:tc>
        <w:tc>
          <w:tcPr>
            <w:tcW w:w="10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r>
              <w:rPr>
                <w:rFonts w:ascii="Arial" w:cs="Arial" w:eastAsia="Arial" w:hAnsi="Arial"/>
                <w:sz w:val="11"/>
                <w:szCs w:val="11"/>
                <w:b w:val="1"/>
                <w:bCs w:val="1"/>
                <w:color w:val="auto"/>
              </w:rPr>
              <w:t>(a)</w:t>
            </w: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E5E5E5"/>
          </w:tcPr>
          <w:p>
            <w:pPr>
              <w:jc w:val="right"/>
              <w:ind w:right="317"/>
              <w:spacing w:after="0"/>
              <w:rPr>
                <w:sz w:val="20"/>
                <w:szCs w:val="20"/>
                <w:color w:val="auto"/>
              </w:rPr>
            </w:pPr>
            <w:r>
              <w:rPr>
                <w:rFonts w:ascii="Arial" w:cs="Arial" w:eastAsia="Arial" w:hAnsi="Arial"/>
                <w:sz w:val="18"/>
                <w:szCs w:val="18"/>
                <w:color w:val="auto"/>
                <w:w w:val="93"/>
              </w:rPr>
              <w:t>9,525</w:t>
            </w:r>
          </w:p>
        </w:tc>
        <w:tc>
          <w:tcPr>
            <w:tcW w:w="1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w w:val="93"/>
              </w:rPr>
              <w:t>8,978</w:t>
            </w:r>
          </w:p>
        </w:tc>
        <w:tc>
          <w:tcPr>
            <w:tcW w:w="1180" w:type="dxa"/>
            <w:vAlign w:val="bottom"/>
            <w:tcBorders>
              <w:top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6.1 %</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5E5E5"/>
          </w:tcPr>
          <w:p>
            <w:pPr>
              <w:jc w:val="right"/>
              <w:ind w:right="337"/>
              <w:spacing w:after="0"/>
              <w:rPr>
                <w:sz w:val="20"/>
                <w:szCs w:val="20"/>
                <w:color w:val="auto"/>
              </w:rPr>
            </w:pPr>
            <w:r>
              <w:rPr>
                <w:rFonts w:ascii="Arial" w:cs="Arial" w:eastAsia="Arial" w:hAnsi="Arial"/>
                <w:sz w:val="18"/>
                <w:szCs w:val="18"/>
                <w:color w:val="auto"/>
                <w:w w:val="83"/>
              </w:rPr>
              <w:t>18,727</w:t>
            </w:r>
          </w:p>
        </w:tc>
        <w:tc>
          <w:tcPr>
            <w:tcW w:w="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w w:val="87"/>
              </w:rPr>
              <w:t>17,844</w:t>
            </w:r>
          </w:p>
        </w:tc>
        <w:tc>
          <w:tcPr>
            <w:tcW w:w="10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Costs and expenses:</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180" w:type="dxa"/>
            <w:vAlign w:val="bottom"/>
            <w:shd w:val="clear" w:color="auto" w:fill="E5E5E5"/>
          </w:tcPr>
          <w:p>
            <w:pPr>
              <w:spacing w:after="0"/>
              <w:rPr>
                <w:sz w:val="20"/>
                <w:szCs w:val="20"/>
                <w:color w:val="auto"/>
              </w:rPr>
            </w:pPr>
            <w:r>
              <w:rPr>
                <w:rFonts w:ascii="Arial" w:cs="Arial" w:eastAsia="Arial" w:hAnsi="Arial"/>
                <w:sz w:val="18"/>
                <w:szCs w:val="18"/>
                <w:color w:val="auto"/>
                <w:w w:val="93"/>
              </w:rPr>
              <w:t>Operating, selling, general and administrative (excluding depreciation</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1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and amortization)</w:t>
            </w:r>
            <w:r>
              <w:rPr>
                <w:rFonts w:ascii="Arial" w:cs="Arial" w:eastAsia="Arial" w:hAnsi="Arial"/>
                <w:sz w:val="11"/>
                <w:szCs w:val="11"/>
                <w:color w:val="auto"/>
              </w:rPr>
              <w:t>(a)</w:t>
            </w:r>
          </w:p>
        </w:tc>
        <w:tc>
          <w:tcPr>
            <w:tcW w:w="40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317"/>
              <w:spacing w:after="0"/>
              <w:rPr>
                <w:sz w:val="20"/>
                <w:szCs w:val="20"/>
                <w:color w:val="auto"/>
              </w:rPr>
            </w:pPr>
            <w:r>
              <w:rPr>
                <w:rFonts w:ascii="Arial" w:cs="Arial" w:eastAsia="Arial" w:hAnsi="Arial"/>
                <w:sz w:val="18"/>
                <w:szCs w:val="18"/>
                <w:color w:val="auto"/>
                <w:w w:val="93"/>
              </w:rPr>
              <w:t>5,788</w:t>
            </w:r>
          </w:p>
        </w:tc>
        <w:tc>
          <w:tcPr>
            <w:tcW w:w="120" w:type="dxa"/>
            <w:vAlign w:val="bottom"/>
            <w:shd w:val="clear" w:color="auto" w:fill="E5E5E5"/>
          </w:tcPr>
          <w:p>
            <w:pPr>
              <w:spacing w:after="0"/>
              <w:rPr>
                <w:sz w:val="19"/>
                <w:szCs w:val="19"/>
                <w:color w:val="auto"/>
              </w:rPr>
            </w:pPr>
          </w:p>
        </w:tc>
        <w:tc>
          <w:tcPr>
            <w:tcW w:w="6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w w:val="93"/>
              </w:rPr>
              <w:t>5,443</w:t>
            </w:r>
          </w:p>
        </w:tc>
        <w:tc>
          <w:tcPr>
            <w:tcW w:w="118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6.4</w:t>
            </w:r>
          </w:p>
        </w:tc>
        <w:tc>
          <w:tcPr>
            <w:tcW w:w="28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w w:val="83"/>
              </w:rPr>
              <w:t>11,425</w:t>
            </w:r>
          </w:p>
        </w:tc>
        <w:tc>
          <w:tcPr>
            <w:tcW w:w="8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w w:val="87"/>
              </w:rPr>
              <w:t>10,865</w:t>
            </w:r>
          </w:p>
        </w:tc>
        <w:tc>
          <w:tcPr>
            <w:tcW w:w="10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5.2</w:t>
            </w: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18"/>
                <w:szCs w:val="18"/>
                <w:color w:val="auto"/>
              </w:rPr>
            </w:pPr>
          </w:p>
        </w:tc>
        <w:tc>
          <w:tcPr>
            <w:tcW w:w="840" w:type="dxa"/>
            <w:vAlign w:val="bottom"/>
          </w:tcPr>
          <w:p>
            <w:pPr>
              <w:jc w:val="right"/>
              <w:ind w:right="317"/>
              <w:spacing w:after="0"/>
              <w:rPr>
                <w:sz w:val="20"/>
                <w:szCs w:val="20"/>
                <w:color w:val="auto"/>
              </w:rPr>
            </w:pPr>
            <w:r>
              <w:rPr>
                <w:rFonts w:ascii="Arial" w:cs="Arial" w:eastAsia="Arial" w:hAnsi="Arial"/>
                <w:sz w:val="18"/>
                <w:szCs w:val="18"/>
                <w:color w:val="auto"/>
                <w:w w:val="93"/>
              </w:rPr>
              <w:t>1,411</w:t>
            </w:r>
          </w:p>
        </w:tc>
        <w:tc>
          <w:tcPr>
            <w:tcW w:w="120" w:type="dxa"/>
            <w:vAlign w:val="bottom"/>
          </w:tcPr>
          <w:p>
            <w:pPr>
              <w:spacing w:after="0"/>
              <w:rPr>
                <w:sz w:val="18"/>
                <w:szCs w:val="18"/>
                <w:color w:val="auto"/>
              </w:rPr>
            </w:pPr>
          </w:p>
        </w:tc>
        <w:tc>
          <w:tcPr>
            <w:tcW w:w="680" w:type="dxa"/>
            <w:vAlign w:val="bottom"/>
          </w:tcPr>
          <w:p>
            <w:pPr>
              <w:jc w:val="right"/>
              <w:ind w:right="154"/>
              <w:spacing w:after="0"/>
              <w:rPr>
                <w:sz w:val="20"/>
                <w:szCs w:val="20"/>
                <w:color w:val="auto"/>
              </w:rPr>
            </w:pPr>
            <w:r>
              <w:rPr>
                <w:rFonts w:ascii="Arial" w:cs="Arial" w:eastAsia="Arial" w:hAnsi="Arial"/>
                <w:sz w:val="18"/>
                <w:szCs w:val="18"/>
                <w:color w:val="auto"/>
                <w:w w:val="93"/>
              </w:rPr>
              <w:t>1,406</w:t>
            </w:r>
          </w:p>
        </w:tc>
        <w:tc>
          <w:tcPr>
            <w:tcW w:w="1180" w:type="dxa"/>
            <w:vAlign w:val="bottom"/>
          </w:tcPr>
          <w:p>
            <w:pPr>
              <w:jc w:val="right"/>
              <w:ind w:right="335"/>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900" w:type="dxa"/>
            <w:vAlign w:val="bottom"/>
          </w:tcPr>
          <w:p>
            <w:pPr>
              <w:jc w:val="right"/>
              <w:ind w:right="337"/>
              <w:spacing w:after="0"/>
              <w:rPr>
                <w:sz w:val="20"/>
                <w:szCs w:val="20"/>
                <w:color w:val="auto"/>
              </w:rPr>
            </w:pPr>
            <w:r>
              <w:rPr>
                <w:rFonts w:ascii="Arial" w:cs="Arial" w:eastAsia="Arial" w:hAnsi="Arial"/>
                <w:sz w:val="18"/>
                <w:szCs w:val="18"/>
                <w:color w:val="auto"/>
              </w:rPr>
              <w:t>2,790</w:t>
            </w:r>
          </w:p>
        </w:tc>
        <w:tc>
          <w:tcPr>
            <w:tcW w:w="8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2,786</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51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Amortization</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17"/>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254</w:t>
            </w:r>
          </w:p>
        </w:tc>
        <w:tc>
          <w:tcPr>
            <w:tcW w:w="118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337"/>
              <w:spacing w:after="0"/>
              <w:rPr>
                <w:sz w:val="20"/>
                <w:szCs w:val="20"/>
                <w:color w:val="auto"/>
              </w:rPr>
            </w:pPr>
            <w:r>
              <w:rPr>
                <w:rFonts w:ascii="Arial" w:cs="Arial" w:eastAsia="Arial" w:hAnsi="Arial"/>
                <w:sz w:val="18"/>
                <w:szCs w:val="18"/>
                <w:color w:val="auto"/>
              </w:rPr>
              <w:t>499</w:t>
            </w:r>
          </w:p>
        </w:tc>
        <w:tc>
          <w:tcPr>
            <w:tcW w:w="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507</w:t>
            </w:r>
          </w:p>
        </w:tc>
        <w:tc>
          <w:tcPr>
            <w:tcW w:w="100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(1.8)</w:t>
            </w:r>
          </w:p>
        </w:tc>
      </w:tr>
      <w:tr>
        <w:trPr>
          <w:trHeight w:val="210"/>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400" w:type="dxa"/>
            <w:vAlign w:val="bottom"/>
          </w:tcPr>
          <w:p>
            <w:pPr>
              <w:spacing w:after="0"/>
              <w:rPr>
                <w:sz w:val="18"/>
                <w:szCs w:val="18"/>
                <w:color w:val="auto"/>
              </w:rPr>
            </w:pPr>
          </w:p>
        </w:tc>
        <w:tc>
          <w:tcPr>
            <w:tcW w:w="840" w:type="dxa"/>
            <w:vAlign w:val="bottom"/>
          </w:tcPr>
          <w:p>
            <w:pPr>
              <w:jc w:val="right"/>
              <w:ind w:right="317"/>
              <w:spacing w:after="0"/>
              <w:rPr>
                <w:sz w:val="20"/>
                <w:szCs w:val="20"/>
                <w:color w:val="auto"/>
              </w:rPr>
            </w:pPr>
            <w:r>
              <w:rPr>
                <w:rFonts w:ascii="Arial" w:cs="Arial" w:eastAsia="Arial" w:hAnsi="Arial"/>
                <w:sz w:val="18"/>
                <w:szCs w:val="18"/>
                <w:color w:val="auto"/>
                <w:w w:val="93"/>
              </w:rPr>
              <w:t>2,078</w:t>
            </w:r>
          </w:p>
        </w:tc>
        <w:tc>
          <w:tcPr>
            <w:tcW w:w="120" w:type="dxa"/>
            <w:vAlign w:val="bottom"/>
          </w:tcPr>
          <w:p>
            <w:pPr>
              <w:spacing w:after="0"/>
              <w:rPr>
                <w:sz w:val="18"/>
                <w:szCs w:val="18"/>
                <w:color w:val="auto"/>
              </w:rPr>
            </w:pPr>
          </w:p>
        </w:tc>
        <w:tc>
          <w:tcPr>
            <w:tcW w:w="680" w:type="dxa"/>
            <w:vAlign w:val="bottom"/>
          </w:tcPr>
          <w:p>
            <w:pPr>
              <w:jc w:val="right"/>
              <w:ind w:right="154"/>
              <w:spacing w:after="0"/>
              <w:rPr>
                <w:sz w:val="20"/>
                <w:szCs w:val="20"/>
                <w:color w:val="auto"/>
              </w:rPr>
            </w:pPr>
            <w:r>
              <w:rPr>
                <w:rFonts w:ascii="Arial" w:cs="Arial" w:eastAsia="Arial" w:hAnsi="Arial"/>
                <w:sz w:val="18"/>
                <w:szCs w:val="18"/>
                <w:color w:val="auto"/>
                <w:w w:val="93"/>
              </w:rPr>
              <w:t>1,875</w:t>
            </w:r>
          </w:p>
        </w:tc>
        <w:tc>
          <w:tcPr>
            <w:tcW w:w="1180" w:type="dxa"/>
            <w:vAlign w:val="bottom"/>
          </w:tcPr>
          <w:p>
            <w:pPr>
              <w:jc w:val="right"/>
              <w:ind w:right="335"/>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8"/>
                <w:szCs w:val="18"/>
                <w:color w:val="auto"/>
              </w:rPr>
            </w:pPr>
          </w:p>
        </w:tc>
        <w:tc>
          <w:tcPr>
            <w:tcW w:w="900" w:type="dxa"/>
            <w:vAlign w:val="bottom"/>
          </w:tcPr>
          <w:p>
            <w:pPr>
              <w:jc w:val="right"/>
              <w:ind w:right="337"/>
              <w:spacing w:after="0"/>
              <w:rPr>
                <w:sz w:val="20"/>
                <w:szCs w:val="20"/>
                <w:color w:val="auto"/>
              </w:rPr>
            </w:pPr>
            <w:r>
              <w:rPr>
                <w:rFonts w:ascii="Arial" w:cs="Arial" w:eastAsia="Arial" w:hAnsi="Arial"/>
                <w:sz w:val="18"/>
                <w:szCs w:val="18"/>
                <w:color w:val="auto"/>
              </w:rPr>
              <w:t>4,013</w:t>
            </w:r>
          </w:p>
        </w:tc>
        <w:tc>
          <w:tcPr>
            <w:tcW w:w="8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3,686</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8.9</w:t>
            </w:r>
          </w:p>
        </w:tc>
      </w:tr>
      <w:tr>
        <w:trPr>
          <w:trHeight w:val="216"/>
        </w:trPr>
        <w:tc>
          <w:tcPr>
            <w:tcW w:w="20" w:type="dxa"/>
            <w:vAlign w:val="bottom"/>
          </w:tcPr>
          <w:p>
            <w:pPr>
              <w:spacing w:after="0"/>
              <w:rPr>
                <w:sz w:val="18"/>
                <w:szCs w:val="18"/>
                <w:color w:val="auto"/>
              </w:rPr>
            </w:pPr>
          </w:p>
        </w:tc>
        <w:tc>
          <w:tcPr>
            <w:tcW w:w="51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77"/>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(495)</w:t>
            </w:r>
          </w:p>
        </w:tc>
        <w:tc>
          <w:tcPr>
            <w:tcW w:w="118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22.5</w:t>
            </w:r>
          </w:p>
        </w:tc>
        <w:tc>
          <w:tcPr>
            <w:tcW w:w="2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77"/>
              <w:spacing w:after="0"/>
              <w:rPr>
                <w:sz w:val="20"/>
                <w:szCs w:val="20"/>
                <w:color w:val="auto"/>
              </w:rPr>
            </w:pPr>
            <w:r>
              <w:rPr>
                <w:rFonts w:ascii="Arial" w:cs="Arial" w:eastAsia="Arial" w:hAnsi="Arial"/>
                <w:sz w:val="18"/>
                <w:szCs w:val="18"/>
                <w:color w:val="auto"/>
                <w:w w:val="91"/>
              </w:rPr>
              <w:t>(1,069)</w:t>
            </w:r>
          </w:p>
        </w:tc>
        <w:tc>
          <w:tcPr>
            <w:tcW w:w="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94"/>
              </w:rPr>
              <w:t>(1,067)</w:t>
            </w:r>
          </w:p>
        </w:tc>
        <w:tc>
          <w:tcPr>
            <w:tcW w:w="10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0.3</w:t>
            </w:r>
          </w:p>
        </w:tc>
      </w:tr>
      <w:tr>
        <w:trPr>
          <w:trHeight w:val="210"/>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00" w:type="dxa"/>
            <w:vAlign w:val="bottom"/>
          </w:tcPr>
          <w:p>
            <w:pPr>
              <w:spacing w:after="0"/>
              <w:rPr>
                <w:sz w:val="18"/>
                <w:szCs w:val="18"/>
                <w:color w:val="auto"/>
              </w:rPr>
            </w:pPr>
          </w:p>
        </w:tc>
        <w:tc>
          <w:tcPr>
            <w:tcW w:w="840" w:type="dxa"/>
            <w:vAlign w:val="bottom"/>
          </w:tcPr>
          <w:p>
            <w:pPr>
              <w:jc w:val="right"/>
              <w:ind w:right="317"/>
              <w:spacing w:after="0"/>
              <w:rPr>
                <w:sz w:val="20"/>
                <w:szCs w:val="20"/>
                <w:color w:val="auto"/>
              </w:rPr>
            </w:pPr>
            <w:r>
              <w:rPr>
                <w:rFonts w:ascii="Arial" w:cs="Arial" w:eastAsia="Arial" w:hAnsi="Arial"/>
                <w:sz w:val="18"/>
                <w:szCs w:val="18"/>
                <w:color w:val="auto"/>
                <w:w w:val="93"/>
              </w:rPr>
              <w:t>1,474</w:t>
            </w:r>
          </w:p>
        </w:tc>
        <w:tc>
          <w:tcPr>
            <w:tcW w:w="120" w:type="dxa"/>
            <w:vAlign w:val="bottom"/>
          </w:tcPr>
          <w:p>
            <w:pPr>
              <w:spacing w:after="0"/>
              <w:rPr>
                <w:sz w:val="18"/>
                <w:szCs w:val="18"/>
                <w:color w:val="auto"/>
              </w:rPr>
            </w:pPr>
          </w:p>
        </w:tc>
        <w:tc>
          <w:tcPr>
            <w:tcW w:w="680" w:type="dxa"/>
            <w:vAlign w:val="bottom"/>
          </w:tcPr>
          <w:p>
            <w:pPr>
              <w:jc w:val="right"/>
              <w:ind w:right="154"/>
              <w:spacing w:after="0"/>
              <w:rPr>
                <w:sz w:val="20"/>
                <w:szCs w:val="20"/>
                <w:color w:val="auto"/>
              </w:rPr>
            </w:pPr>
            <w:r>
              <w:rPr>
                <w:rFonts w:ascii="Arial" w:cs="Arial" w:eastAsia="Arial" w:hAnsi="Arial"/>
                <w:sz w:val="18"/>
                <w:szCs w:val="18"/>
                <w:color w:val="auto"/>
                <w:w w:val="93"/>
              </w:rPr>
              <w:t>1,380</w:t>
            </w:r>
          </w:p>
        </w:tc>
        <w:tc>
          <w:tcPr>
            <w:tcW w:w="1180" w:type="dxa"/>
            <w:vAlign w:val="bottom"/>
          </w:tcPr>
          <w:p>
            <w:pPr>
              <w:jc w:val="right"/>
              <w:ind w:right="335"/>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8"/>
                <w:szCs w:val="18"/>
                <w:color w:val="auto"/>
              </w:rPr>
            </w:pPr>
          </w:p>
        </w:tc>
        <w:tc>
          <w:tcPr>
            <w:tcW w:w="900" w:type="dxa"/>
            <w:vAlign w:val="bottom"/>
          </w:tcPr>
          <w:p>
            <w:pPr>
              <w:jc w:val="right"/>
              <w:ind w:right="337"/>
              <w:spacing w:after="0"/>
              <w:rPr>
                <w:sz w:val="20"/>
                <w:szCs w:val="20"/>
                <w:color w:val="auto"/>
              </w:rPr>
            </w:pPr>
            <w:r>
              <w:rPr>
                <w:rFonts w:ascii="Arial" w:cs="Arial" w:eastAsia="Arial" w:hAnsi="Arial"/>
                <w:sz w:val="18"/>
                <w:szCs w:val="18"/>
                <w:color w:val="auto"/>
              </w:rPr>
              <w:t>2,944</w:t>
            </w:r>
          </w:p>
        </w:tc>
        <w:tc>
          <w:tcPr>
            <w:tcW w:w="8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2,619</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12.4</w:t>
            </w:r>
          </w:p>
        </w:tc>
      </w:tr>
      <w:tr>
        <w:trPr>
          <w:trHeight w:val="216"/>
        </w:trPr>
        <w:tc>
          <w:tcPr>
            <w:tcW w:w="20" w:type="dxa"/>
            <w:vAlign w:val="bottom"/>
          </w:tcPr>
          <w:p>
            <w:pPr>
              <w:spacing w:after="0"/>
              <w:rPr>
                <w:sz w:val="18"/>
                <w:szCs w:val="18"/>
                <w:color w:val="auto"/>
              </w:rPr>
            </w:pPr>
          </w:p>
        </w:tc>
        <w:tc>
          <w:tcPr>
            <w:tcW w:w="51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77"/>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(424)</w:t>
            </w:r>
          </w:p>
        </w:tc>
        <w:tc>
          <w:tcPr>
            <w:tcW w:w="118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38.4</w:t>
            </w:r>
          </w:p>
        </w:tc>
        <w:tc>
          <w:tcPr>
            <w:tcW w:w="2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77"/>
              <w:spacing w:after="0"/>
              <w:rPr>
                <w:sz w:val="20"/>
                <w:szCs w:val="20"/>
                <w:color w:val="auto"/>
              </w:rPr>
            </w:pPr>
            <w:r>
              <w:rPr>
                <w:rFonts w:ascii="Arial" w:cs="Arial" w:eastAsia="Arial" w:hAnsi="Arial"/>
                <w:sz w:val="18"/>
                <w:szCs w:val="18"/>
                <w:color w:val="auto"/>
                <w:w w:val="91"/>
              </w:rPr>
              <w:t>(1,179)</w:t>
            </w:r>
          </w:p>
        </w:tc>
        <w:tc>
          <w:tcPr>
            <w:tcW w:w="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(885)</w:t>
            </w:r>
          </w:p>
        </w:tc>
        <w:tc>
          <w:tcPr>
            <w:tcW w:w="10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33.1</w:t>
            </w:r>
          </w:p>
        </w:tc>
      </w:tr>
      <w:tr>
        <w:trPr>
          <w:trHeight w:val="210"/>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Net income from consolidated operations</w:t>
            </w:r>
          </w:p>
        </w:tc>
        <w:tc>
          <w:tcPr>
            <w:tcW w:w="400" w:type="dxa"/>
            <w:vAlign w:val="bottom"/>
          </w:tcPr>
          <w:p>
            <w:pPr>
              <w:spacing w:after="0"/>
              <w:rPr>
                <w:sz w:val="18"/>
                <w:szCs w:val="18"/>
                <w:color w:val="auto"/>
              </w:rPr>
            </w:pPr>
          </w:p>
        </w:tc>
        <w:tc>
          <w:tcPr>
            <w:tcW w:w="840" w:type="dxa"/>
            <w:vAlign w:val="bottom"/>
          </w:tcPr>
          <w:p>
            <w:pPr>
              <w:jc w:val="right"/>
              <w:ind w:right="317"/>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18"/>
                <w:szCs w:val="18"/>
                <w:color w:val="auto"/>
              </w:rPr>
            </w:pPr>
          </w:p>
        </w:tc>
        <w:tc>
          <w:tcPr>
            <w:tcW w:w="680" w:type="dxa"/>
            <w:vAlign w:val="bottom"/>
          </w:tcPr>
          <w:p>
            <w:pPr>
              <w:jc w:val="right"/>
              <w:ind w:right="154"/>
              <w:spacing w:after="0"/>
              <w:rPr>
                <w:sz w:val="20"/>
                <w:szCs w:val="20"/>
                <w:color w:val="auto"/>
              </w:rPr>
            </w:pPr>
            <w:r>
              <w:rPr>
                <w:rFonts w:ascii="Arial" w:cs="Arial" w:eastAsia="Arial" w:hAnsi="Arial"/>
                <w:sz w:val="18"/>
                <w:szCs w:val="18"/>
                <w:color w:val="auto"/>
              </w:rPr>
              <w:t>956</w:t>
            </w:r>
          </w:p>
        </w:tc>
        <w:tc>
          <w:tcPr>
            <w:tcW w:w="1180" w:type="dxa"/>
            <w:vAlign w:val="bottom"/>
          </w:tcPr>
          <w:p>
            <w:pPr>
              <w:jc w:val="right"/>
              <w:ind w:right="275"/>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8"/>
                <w:szCs w:val="18"/>
                <w:color w:val="auto"/>
              </w:rPr>
            </w:pPr>
          </w:p>
        </w:tc>
        <w:tc>
          <w:tcPr>
            <w:tcW w:w="900" w:type="dxa"/>
            <w:vAlign w:val="bottom"/>
          </w:tcPr>
          <w:p>
            <w:pPr>
              <w:jc w:val="right"/>
              <w:ind w:right="337"/>
              <w:spacing w:after="0"/>
              <w:rPr>
                <w:sz w:val="20"/>
                <w:szCs w:val="20"/>
                <w:color w:val="auto"/>
              </w:rPr>
            </w:pPr>
            <w:r>
              <w:rPr>
                <w:rFonts w:ascii="Arial" w:cs="Arial" w:eastAsia="Arial" w:hAnsi="Arial"/>
                <w:sz w:val="18"/>
                <w:szCs w:val="18"/>
                <w:color w:val="auto"/>
              </w:rPr>
              <w:t>1,765</w:t>
            </w:r>
          </w:p>
        </w:tc>
        <w:tc>
          <w:tcPr>
            <w:tcW w:w="8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1,734</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51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77"/>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11</w:t>
            </w:r>
          </w:p>
        </w:tc>
        <w:tc>
          <w:tcPr>
            <w:tcW w:w="118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(117.9)</w:t>
            </w:r>
          </w:p>
        </w:tc>
        <w:tc>
          <w:tcPr>
            <w:tcW w:w="2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77"/>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5</w:t>
            </w:r>
          </w:p>
        </w:tc>
        <w:tc>
          <w:tcPr>
            <w:tcW w:w="100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(403.8)</w:t>
            </w:r>
          </w:p>
        </w:tc>
      </w:tr>
      <w:tr>
        <w:trPr>
          <w:trHeight w:val="217"/>
        </w:trPr>
        <w:tc>
          <w:tcPr>
            <w:tcW w:w="20" w:type="dxa"/>
            <w:vAlign w:val="bottom"/>
            <w:tcBorders>
              <w:bottom w:val="single" w:sz="8" w:color="auto"/>
            </w:tcBorders>
          </w:tcPr>
          <w:p>
            <w:pPr>
              <w:spacing w:after="0"/>
              <w:rPr>
                <w:sz w:val="18"/>
                <w:szCs w:val="18"/>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8"/>
                <w:szCs w:val="18"/>
                <w:b w:val="1"/>
                <w:bCs w:val="1"/>
                <w:color w:val="auto"/>
              </w:rPr>
              <w:t>884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967</w:t>
            </w:r>
          </w:p>
        </w:tc>
        <w:tc>
          <w:tcPr>
            <w:tcW w:w="11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(8.6)%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8"/>
                <w:szCs w:val="18"/>
                <w:b w:val="1"/>
                <w:bCs w:val="1"/>
                <w:color w:val="auto"/>
              </w:rPr>
              <w:t>1,750</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1,739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(a) Reclassifications have been made to the prior year’s amounts to conform to classifications used in 2010.</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Cable and Programming segments accounted for substantially all of the increases in consolidated revenue for the three and six months ended June 30, 2010 compared to the same periods in 2009. The remaining changes related to our other business activities, primarily Comcast Interactive Media and Comcast Spectacor. Cable segment revenue and Programming segment revenue are discussed separately in “Segment Operating Results.”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Selling, General and Administrative Expenses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Cable and Programming segments accounted for substantially all of the increases in consolidated operating, selling, general and administrative expenses for the three and six months ended June 30, 2010 compared to the same periods in 2009. The remaining changes related to our other business activities, primarily Comcast Interactive Media and Comcast Spectacor, and costs associated with the NBC Universal transaction of $22 million and $36 million for the three and six months ended June 30, 2010, respectively. Cable segment and Programming segment operating, selling, general and administrative expenses are discussed separately in “Segment Operating Results.”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Depreciation and Amortization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and amortization expense remained relatively stable for three and six months ended June 30, 2010 compared to the same periods in 2009.</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To measure the performance of our operating segments, we use operating income (loss) before depreciation and amortization, excluding impairments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this metric to measure our segment profit or loss, we reconcile it to operating income (loss), the most directly comparable financial measure calculated and presented in accordance with generally accepted accounting principles in the United States (“GAAP”) in the business segment footnote to our condensed consolidated financial statements (see Note 13 to our condensed consolidated financial statements).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Segment Results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gridSpan w:val="3"/>
          </w:tcPr>
          <w:p>
            <w:pPr>
              <w:jc w:val="center"/>
              <w:ind w:right="214"/>
              <w:spacing w:after="0"/>
              <w:rPr>
                <w:sz w:val="20"/>
                <w:szCs w:val="20"/>
                <w:color w:val="auto"/>
              </w:rPr>
            </w:pPr>
            <w:r>
              <w:rPr>
                <w:rFonts w:ascii="Arial" w:cs="Arial" w:eastAsia="Arial" w:hAnsi="Arial"/>
                <w:sz w:val="14"/>
                <w:szCs w:val="14"/>
                <w:color w:val="auto"/>
                <w:w w:val="87"/>
              </w:rPr>
              <w:t>Three Months Ended</w:t>
            </w:r>
          </w:p>
        </w:tc>
        <w:tc>
          <w:tcPr>
            <w:tcW w:w="1140" w:type="dxa"/>
            <w:vAlign w:val="bottom"/>
          </w:tcPr>
          <w:p>
            <w:pPr>
              <w:jc w:val="center"/>
              <w:ind w:left="437"/>
              <w:spacing w:after="0"/>
              <w:rPr>
                <w:sz w:val="20"/>
                <w:szCs w:val="20"/>
                <w:color w:val="auto"/>
              </w:rPr>
            </w:pPr>
            <w:r>
              <w:rPr>
                <w:rFonts w:ascii="Arial" w:cs="Arial" w:eastAsia="Arial" w:hAnsi="Arial"/>
                <w:sz w:val="14"/>
                <w:szCs w:val="14"/>
                <w:color w:val="auto"/>
                <w:w w:val="86"/>
              </w:rPr>
              <w:t>Increase/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5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left="317"/>
              <w:spacing w:after="0" w:line="159" w:lineRule="exact"/>
              <w:rPr>
                <w:sz w:val="20"/>
                <w:szCs w:val="20"/>
                <w:color w:val="auto"/>
              </w:rPr>
            </w:pPr>
            <w:r>
              <w:rPr>
                <w:rFonts w:ascii="Arial" w:cs="Arial" w:eastAsia="Arial" w:hAnsi="Arial"/>
                <w:sz w:val="14"/>
                <w:szCs w:val="14"/>
                <w:color w:val="auto"/>
                <w:w w:val="84"/>
              </w:rPr>
              <w:t>June 30</w:t>
            </w:r>
          </w:p>
        </w:tc>
        <w:tc>
          <w:tcPr>
            <w:tcW w:w="7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left="437"/>
              <w:spacing w:after="0" w:line="159" w:lineRule="exact"/>
              <w:rPr>
                <w:sz w:val="20"/>
                <w:szCs w:val="20"/>
                <w:color w:val="auto"/>
              </w:rPr>
            </w:pPr>
            <w:r>
              <w:rPr>
                <w:rFonts w:ascii="Arial" w:cs="Arial" w:eastAsia="Arial" w:hAnsi="Arial"/>
                <w:sz w:val="14"/>
                <w:szCs w:val="14"/>
                <w:color w:val="auto"/>
                <w:w w:val="83"/>
              </w:rPr>
              <w:t>(Decrease)</w:t>
            </w: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5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right"/>
              <w:ind w:right="277"/>
              <w:spacing w:after="0" w:line="142" w:lineRule="exact"/>
              <w:rPr>
                <w:sz w:val="20"/>
                <w:szCs w:val="20"/>
                <w:color w:val="auto"/>
              </w:rPr>
            </w:pPr>
            <w:r>
              <w:rPr>
                <w:rFonts w:ascii="Arial" w:cs="Arial" w:eastAsia="Arial" w:hAnsi="Arial"/>
                <w:sz w:val="14"/>
                <w:szCs w:val="14"/>
                <w:color w:val="auto"/>
                <w:w w:val="96"/>
              </w:rPr>
              <w:t>2010</w:t>
            </w:r>
          </w:p>
        </w:tc>
        <w:tc>
          <w:tcPr>
            <w:tcW w:w="300" w:type="dxa"/>
            <w:vAlign w:val="bottom"/>
          </w:tcPr>
          <w:p>
            <w:pPr>
              <w:spacing w:after="0"/>
              <w:rPr>
                <w:sz w:val="12"/>
                <w:szCs w:val="12"/>
                <w:color w:val="auto"/>
              </w:rPr>
            </w:pPr>
          </w:p>
        </w:tc>
        <w:tc>
          <w:tcPr>
            <w:tcW w:w="700" w:type="dxa"/>
            <w:vAlign w:val="bottom"/>
          </w:tcPr>
          <w:p>
            <w:pPr>
              <w:jc w:val="right"/>
              <w:ind w:right="274"/>
              <w:spacing w:after="0" w:line="142" w:lineRule="exact"/>
              <w:rPr>
                <w:sz w:val="20"/>
                <w:szCs w:val="20"/>
                <w:color w:val="auto"/>
              </w:rPr>
            </w:pPr>
            <w:r>
              <w:rPr>
                <w:rFonts w:ascii="Arial" w:cs="Arial" w:eastAsia="Arial" w:hAnsi="Arial"/>
                <w:sz w:val="14"/>
                <w:szCs w:val="14"/>
                <w:color w:val="auto"/>
              </w:rPr>
              <w:t>2009</w:t>
            </w:r>
          </w:p>
        </w:tc>
        <w:tc>
          <w:tcPr>
            <w:tcW w:w="1140" w:type="dxa"/>
            <w:vAlign w:val="bottom"/>
          </w:tcPr>
          <w:p>
            <w:pPr>
              <w:jc w:val="right"/>
              <w:ind w:right="637"/>
              <w:spacing w:after="0" w:line="142"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31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Video</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4,917</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4,884</w:t>
            </w:r>
          </w:p>
        </w:tc>
        <w:tc>
          <w:tcPr>
            <w:tcW w:w="1140" w:type="dxa"/>
            <w:vAlign w:val="bottom"/>
            <w:tcBorders>
              <w:top w:val="single" w:sz="8" w:color="auto"/>
            </w:tcBorders>
            <w:shd w:val="clear" w:color="auto" w:fill="E5E5E5"/>
          </w:tcPr>
          <w:p>
            <w:pPr>
              <w:jc w:val="right"/>
              <w:ind w:right="497"/>
              <w:spacing w:after="0"/>
              <w:rPr>
                <w:sz w:val="20"/>
                <w:szCs w:val="20"/>
                <w:color w:val="auto"/>
              </w:rPr>
            </w:pPr>
            <w:r>
              <w:rPr>
                <w:rFonts w:ascii="Arial" w:cs="Arial" w:eastAsia="Arial" w:hAnsi="Arial"/>
                <w:sz w:val="18"/>
                <w:szCs w:val="18"/>
                <w:color w:val="auto"/>
              </w:rPr>
              <w:t>$ 33</w:t>
            </w:r>
          </w:p>
        </w:tc>
        <w:tc>
          <w:tcPr>
            <w:tcW w:w="580" w:type="dxa"/>
            <w:vAlign w:val="bottom"/>
            <w:tcBorders>
              <w:top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High-speed Internet</w:t>
            </w:r>
          </w:p>
        </w:tc>
        <w:tc>
          <w:tcPr>
            <w:tcW w:w="500" w:type="dxa"/>
            <w:vAlign w:val="bottom"/>
          </w:tcPr>
          <w:p>
            <w:pPr>
              <w:spacing w:after="0"/>
              <w:rPr>
                <w:sz w:val="18"/>
                <w:szCs w:val="18"/>
                <w:color w:val="auto"/>
              </w:rPr>
            </w:pPr>
          </w:p>
        </w:tc>
        <w:tc>
          <w:tcPr>
            <w:tcW w:w="680" w:type="dxa"/>
            <w:vAlign w:val="bottom"/>
          </w:tcPr>
          <w:p>
            <w:pPr>
              <w:jc w:val="right"/>
              <w:ind w:right="117"/>
              <w:spacing w:after="0"/>
              <w:rPr>
                <w:sz w:val="20"/>
                <w:szCs w:val="20"/>
                <w:color w:val="auto"/>
              </w:rPr>
            </w:pPr>
            <w:r>
              <w:rPr>
                <w:rFonts w:ascii="Arial" w:cs="Arial" w:eastAsia="Arial" w:hAnsi="Arial"/>
                <w:sz w:val="18"/>
                <w:szCs w:val="18"/>
                <w:color w:val="auto"/>
              </w:rPr>
              <w:t>2,129</w:t>
            </w:r>
          </w:p>
        </w:tc>
        <w:tc>
          <w:tcPr>
            <w:tcW w:w="30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1,929</w:t>
            </w:r>
          </w:p>
        </w:tc>
        <w:tc>
          <w:tcPr>
            <w:tcW w:w="1140" w:type="dxa"/>
            <w:vAlign w:val="bottom"/>
          </w:tcPr>
          <w:p>
            <w:pPr>
              <w:jc w:val="right"/>
              <w:ind w:right="497"/>
              <w:spacing w:after="0"/>
              <w:rPr>
                <w:sz w:val="20"/>
                <w:szCs w:val="20"/>
                <w:color w:val="auto"/>
              </w:rPr>
            </w:pPr>
            <w:r>
              <w:rPr>
                <w:rFonts w:ascii="Arial" w:cs="Arial" w:eastAsia="Arial" w:hAnsi="Arial"/>
                <w:sz w:val="18"/>
                <w:szCs w:val="18"/>
                <w:color w:val="auto"/>
              </w:rPr>
              <w:t>200</w:t>
            </w:r>
          </w:p>
        </w:tc>
        <w:tc>
          <w:tcPr>
            <w:tcW w:w="580" w:type="dxa"/>
            <w:vAlign w:val="bottom"/>
          </w:tcPr>
          <w:p>
            <w:pPr>
              <w:jc w:val="right"/>
              <w:ind w:right="174"/>
              <w:spacing w:after="0"/>
              <w:rPr>
                <w:sz w:val="20"/>
                <w:szCs w:val="20"/>
                <w:color w:val="auto"/>
              </w:rPr>
            </w:pPr>
            <w:r>
              <w:rPr>
                <w:rFonts w:ascii="Arial" w:cs="Arial" w:eastAsia="Arial" w:hAnsi="Arial"/>
                <w:sz w:val="18"/>
                <w:szCs w:val="18"/>
                <w:color w:val="auto"/>
                <w:w w:val="85"/>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5E5E5"/>
          </w:tcPr>
          <w:p>
            <w:pPr>
              <w:spacing w:after="0"/>
              <w:rPr>
                <w:sz w:val="20"/>
                <w:szCs w:val="20"/>
                <w:color w:val="auto"/>
              </w:rPr>
            </w:pPr>
            <w:r>
              <w:rPr>
                <w:rFonts w:ascii="Arial" w:cs="Arial" w:eastAsia="Arial" w:hAnsi="Arial"/>
                <w:sz w:val="18"/>
                <w:szCs w:val="18"/>
                <w:color w:val="auto"/>
              </w:rPr>
              <w:t>Phone</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916</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801</w:t>
            </w:r>
          </w:p>
        </w:tc>
        <w:tc>
          <w:tcPr>
            <w:tcW w:w="1140" w:type="dxa"/>
            <w:vAlign w:val="bottom"/>
            <w:shd w:val="clear" w:color="auto" w:fill="E5E5E5"/>
          </w:tcPr>
          <w:p>
            <w:pPr>
              <w:jc w:val="right"/>
              <w:ind w:right="497"/>
              <w:spacing w:after="0"/>
              <w:rPr>
                <w:sz w:val="20"/>
                <w:szCs w:val="20"/>
                <w:color w:val="auto"/>
              </w:rPr>
            </w:pPr>
            <w:r>
              <w:rPr>
                <w:rFonts w:ascii="Arial" w:cs="Arial" w:eastAsia="Arial" w:hAnsi="Arial"/>
                <w:sz w:val="18"/>
                <w:szCs w:val="18"/>
                <w:color w:val="auto"/>
              </w:rPr>
              <w:t>115</w:t>
            </w:r>
          </w:p>
        </w:tc>
        <w:tc>
          <w:tcPr>
            <w:tcW w:w="58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w w:val="85"/>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Advertising</w:t>
            </w:r>
            <w:r>
              <w:rPr>
                <w:rFonts w:ascii="Arial" w:cs="Arial" w:eastAsia="Arial" w:hAnsi="Arial"/>
                <w:sz w:val="11"/>
                <w:szCs w:val="11"/>
                <w:color w:val="auto"/>
              </w:rPr>
              <w:t>(a)</w:t>
            </w:r>
          </w:p>
        </w:tc>
        <w:tc>
          <w:tcPr>
            <w:tcW w:w="500" w:type="dxa"/>
            <w:vAlign w:val="bottom"/>
          </w:tcPr>
          <w:p>
            <w:pPr>
              <w:spacing w:after="0"/>
              <w:rPr>
                <w:sz w:val="18"/>
                <w:szCs w:val="18"/>
                <w:color w:val="auto"/>
              </w:rPr>
            </w:pPr>
          </w:p>
        </w:tc>
        <w:tc>
          <w:tcPr>
            <w:tcW w:w="680" w:type="dxa"/>
            <w:vAlign w:val="bottom"/>
          </w:tcPr>
          <w:p>
            <w:pPr>
              <w:jc w:val="right"/>
              <w:ind w:right="117"/>
              <w:spacing w:after="0"/>
              <w:rPr>
                <w:sz w:val="20"/>
                <w:szCs w:val="20"/>
                <w:color w:val="auto"/>
              </w:rPr>
            </w:pPr>
            <w:r>
              <w:rPr>
                <w:rFonts w:ascii="Arial" w:cs="Arial" w:eastAsia="Arial" w:hAnsi="Arial"/>
                <w:sz w:val="18"/>
                <w:szCs w:val="18"/>
                <w:color w:val="auto"/>
              </w:rPr>
              <w:t>446</w:t>
            </w:r>
          </w:p>
        </w:tc>
        <w:tc>
          <w:tcPr>
            <w:tcW w:w="30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363</w:t>
            </w:r>
          </w:p>
        </w:tc>
        <w:tc>
          <w:tcPr>
            <w:tcW w:w="1140" w:type="dxa"/>
            <w:vAlign w:val="bottom"/>
          </w:tcPr>
          <w:p>
            <w:pPr>
              <w:jc w:val="right"/>
              <w:ind w:right="497"/>
              <w:spacing w:after="0"/>
              <w:rPr>
                <w:sz w:val="20"/>
                <w:szCs w:val="20"/>
                <w:color w:val="auto"/>
              </w:rPr>
            </w:pPr>
            <w:r>
              <w:rPr>
                <w:rFonts w:ascii="Arial" w:cs="Arial" w:eastAsia="Arial" w:hAnsi="Arial"/>
                <w:sz w:val="18"/>
                <w:szCs w:val="18"/>
                <w:color w:val="auto"/>
              </w:rPr>
              <w:t>83</w:t>
            </w:r>
          </w:p>
        </w:tc>
        <w:tc>
          <w:tcPr>
            <w:tcW w:w="580" w:type="dxa"/>
            <w:vAlign w:val="bottom"/>
          </w:tcPr>
          <w:p>
            <w:pPr>
              <w:jc w:val="right"/>
              <w:ind w:right="174"/>
              <w:spacing w:after="0"/>
              <w:rPr>
                <w:sz w:val="20"/>
                <w:szCs w:val="20"/>
                <w:color w:val="auto"/>
              </w:rPr>
            </w:pPr>
            <w:r>
              <w:rPr>
                <w:rFonts w:ascii="Arial" w:cs="Arial" w:eastAsia="Arial" w:hAnsi="Arial"/>
                <w:sz w:val="18"/>
                <w:szCs w:val="18"/>
                <w:color w:val="auto"/>
                <w:w w:val="85"/>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5E5E5"/>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1"/>
                <w:szCs w:val="11"/>
                <w:color w:val="auto"/>
              </w:rPr>
              <w:t>(a)</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290</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303</w:t>
            </w:r>
          </w:p>
        </w:tc>
        <w:tc>
          <w:tcPr>
            <w:tcW w:w="1140" w:type="dxa"/>
            <w:vAlign w:val="bottom"/>
            <w:shd w:val="clear" w:color="auto" w:fill="E5E5E5"/>
          </w:tcPr>
          <w:p>
            <w:pPr>
              <w:jc w:val="right"/>
              <w:ind w:right="437"/>
              <w:spacing w:after="0"/>
              <w:rPr>
                <w:sz w:val="20"/>
                <w:szCs w:val="20"/>
                <w:color w:val="auto"/>
              </w:rPr>
            </w:pPr>
            <w:r>
              <w:rPr>
                <w:rFonts w:ascii="Arial" w:cs="Arial" w:eastAsia="Arial" w:hAnsi="Arial"/>
                <w:sz w:val="18"/>
                <w:szCs w:val="18"/>
                <w:color w:val="auto"/>
              </w:rPr>
              <w:t>(13)</w:t>
            </w:r>
          </w:p>
        </w:tc>
        <w:tc>
          <w:tcPr>
            <w:tcW w:w="5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w w:val="97"/>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Franchise fees</w:t>
            </w: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251</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238</w:t>
            </w: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8"/>
                <w:szCs w:val="18"/>
                <w:color w:val="auto"/>
              </w:rPr>
              <w:t>13</w:t>
            </w: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E5E5E5"/>
          </w:tcPr>
          <w:p>
            <w:pPr>
              <w:spacing w:after="0"/>
              <w:rPr>
                <w:sz w:val="20"/>
                <w:szCs w:val="20"/>
                <w:color w:val="auto"/>
              </w:rPr>
            </w:pPr>
            <w:r>
              <w:rPr>
                <w:rFonts w:ascii="Arial" w:cs="Arial" w:eastAsia="Arial" w:hAnsi="Arial"/>
                <w:sz w:val="18"/>
                <w:szCs w:val="18"/>
                <w:color w:val="auto"/>
              </w:rPr>
              <w:t>Revenue</w:t>
            </w:r>
            <w:r>
              <w:rPr>
                <w:rFonts w:ascii="Arial" w:cs="Arial" w:eastAsia="Arial" w:hAnsi="Arial"/>
                <w:sz w:val="11"/>
                <w:szCs w:val="11"/>
                <w:color w:val="auto"/>
              </w:rPr>
              <w:t>(a)</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8,949</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8,518</w:t>
            </w:r>
          </w:p>
        </w:tc>
        <w:tc>
          <w:tcPr>
            <w:tcW w:w="1140" w:type="dxa"/>
            <w:vAlign w:val="bottom"/>
            <w:shd w:val="clear" w:color="auto" w:fill="E5E5E5"/>
          </w:tcPr>
          <w:p>
            <w:pPr>
              <w:jc w:val="right"/>
              <w:ind w:right="497"/>
              <w:spacing w:after="0"/>
              <w:rPr>
                <w:sz w:val="20"/>
                <w:szCs w:val="20"/>
                <w:color w:val="auto"/>
              </w:rPr>
            </w:pPr>
            <w:r>
              <w:rPr>
                <w:rFonts w:ascii="Arial" w:cs="Arial" w:eastAsia="Arial" w:hAnsi="Arial"/>
                <w:sz w:val="18"/>
                <w:szCs w:val="18"/>
                <w:color w:val="auto"/>
              </w:rPr>
              <w:t>431</w:t>
            </w:r>
          </w:p>
        </w:tc>
        <w:tc>
          <w:tcPr>
            <w:tcW w:w="58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1"/>
                <w:szCs w:val="11"/>
                <w:color w:val="auto"/>
              </w:rPr>
              <w:t>(a)</w:t>
            </w:r>
          </w:p>
        </w:tc>
        <w:tc>
          <w:tcPr>
            <w:tcW w:w="500" w:type="dxa"/>
            <w:vAlign w:val="bottom"/>
          </w:tcPr>
          <w:p>
            <w:pPr>
              <w:spacing w:after="0"/>
              <w:rPr>
                <w:sz w:val="18"/>
                <w:szCs w:val="18"/>
                <w:color w:val="auto"/>
              </w:rPr>
            </w:pPr>
          </w:p>
        </w:tc>
        <w:tc>
          <w:tcPr>
            <w:tcW w:w="680" w:type="dxa"/>
            <w:vAlign w:val="bottom"/>
          </w:tcPr>
          <w:p>
            <w:pPr>
              <w:jc w:val="right"/>
              <w:ind w:right="117"/>
              <w:spacing w:after="0"/>
              <w:rPr>
                <w:sz w:val="20"/>
                <w:szCs w:val="20"/>
                <w:color w:val="auto"/>
              </w:rPr>
            </w:pPr>
            <w:r>
              <w:rPr>
                <w:rFonts w:ascii="Arial" w:cs="Arial" w:eastAsia="Arial" w:hAnsi="Arial"/>
                <w:sz w:val="18"/>
                <w:szCs w:val="18"/>
                <w:color w:val="auto"/>
              </w:rPr>
              <w:t>3,581</w:t>
            </w:r>
          </w:p>
        </w:tc>
        <w:tc>
          <w:tcPr>
            <w:tcW w:w="30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3,387</w:t>
            </w:r>
          </w:p>
        </w:tc>
        <w:tc>
          <w:tcPr>
            <w:tcW w:w="1140" w:type="dxa"/>
            <w:vAlign w:val="bottom"/>
          </w:tcPr>
          <w:p>
            <w:pPr>
              <w:jc w:val="right"/>
              <w:ind w:right="497"/>
              <w:spacing w:after="0"/>
              <w:rPr>
                <w:sz w:val="20"/>
                <w:szCs w:val="20"/>
                <w:color w:val="auto"/>
              </w:rPr>
            </w:pPr>
            <w:r>
              <w:rPr>
                <w:rFonts w:ascii="Arial" w:cs="Arial" w:eastAsia="Arial" w:hAnsi="Arial"/>
                <w:sz w:val="18"/>
                <w:szCs w:val="18"/>
                <w:color w:val="auto"/>
              </w:rPr>
              <w:t>194</w:t>
            </w:r>
          </w:p>
        </w:tc>
        <w:tc>
          <w:tcPr>
            <w:tcW w:w="580" w:type="dxa"/>
            <w:vAlign w:val="bottom"/>
          </w:tcPr>
          <w:p>
            <w:pPr>
              <w:jc w:val="right"/>
              <w:ind w:right="174"/>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Selling, general and administrative expenses</w:t>
            </w:r>
            <w:r>
              <w:rPr>
                <w:rFonts w:ascii="Arial" w:cs="Arial" w:eastAsia="Arial" w:hAnsi="Arial"/>
                <w:sz w:val="11"/>
                <w:szCs w:val="11"/>
                <w:color w:val="auto"/>
              </w:rPr>
              <w:t>(a)</w:t>
            </w:r>
          </w:p>
        </w:tc>
        <w:tc>
          <w:tcPr>
            <w:tcW w:w="5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1,670</w:t>
            </w:r>
          </w:p>
        </w:tc>
        <w:tc>
          <w:tcPr>
            <w:tcW w:w="3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1,632</w:t>
            </w:r>
          </w:p>
        </w:tc>
        <w:tc>
          <w:tcPr>
            <w:tcW w:w="1140" w:type="dxa"/>
            <w:vAlign w:val="bottom"/>
            <w:tcBorders>
              <w:bottom w:val="single" w:sz="8" w:color="auto"/>
            </w:tcBorders>
            <w:shd w:val="clear" w:color="auto" w:fill="E5E5E5"/>
          </w:tcPr>
          <w:p>
            <w:pPr>
              <w:jc w:val="right"/>
              <w:ind w:right="497"/>
              <w:spacing w:after="0"/>
              <w:rPr>
                <w:sz w:val="20"/>
                <w:szCs w:val="20"/>
                <w:color w:val="auto"/>
              </w:rPr>
            </w:pPr>
            <w:r>
              <w:rPr>
                <w:rFonts w:ascii="Arial" w:cs="Arial" w:eastAsia="Arial" w:hAnsi="Arial"/>
                <w:sz w:val="18"/>
                <w:szCs w:val="18"/>
                <w:color w:val="auto"/>
              </w:rPr>
              <w:t>38</w:t>
            </w:r>
          </w:p>
        </w:tc>
        <w:tc>
          <w:tcPr>
            <w:tcW w:w="58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3,698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3,499</w:t>
            </w: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8"/>
                <w:szCs w:val="18"/>
                <w:b w:val="1"/>
                <w:bCs w:val="1"/>
                <w:color w:val="auto"/>
              </w:rPr>
              <w:t>$199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gridSpan w:val="3"/>
          </w:tcPr>
          <w:p>
            <w:pPr>
              <w:jc w:val="center"/>
              <w:ind w:right="234"/>
              <w:spacing w:after="0"/>
              <w:rPr>
                <w:sz w:val="20"/>
                <w:szCs w:val="20"/>
                <w:color w:val="auto"/>
              </w:rPr>
            </w:pPr>
            <w:r>
              <w:rPr>
                <w:rFonts w:ascii="Arial" w:cs="Arial" w:eastAsia="Arial" w:hAnsi="Arial"/>
                <w:sz w:val="14"/>
                <w:szCs w:val="14"/>
                <w:color w:val="auto"/>
                <w:w w:val="87"/>
              </w:rPr>
              <w:t>Six Months Ended</w:t>
            </w:r>
          </w:p>
        </w:tc>
        <w:tc>
          <w:tcPr>
            <w:tcW w:w="1140" w:type="dxa"/>
            <w:vAlign w:val="bottom"/>
          </w:tcPr>
          <w:p>
            <w:pPr>
              <w:jc w:val="center"/>
              <w:ind w:left="437"/>
              <w:spacing w:after="0"/>
              <w:rPr>
                <w:sz w:val="20"/>
                <w:szCs w:val="20"/>
                <w:color w:val="auto"/>
              </w:rPr>
            </w:pPr>
            <w:r>
              <w:rPr>
                <w:rFonts w:ascii="Arial" w:cs="Arial" w:eastAsia="Arial" w:hAnsi="Arial"/>
                <w:sz w:val="14"/>
                <w:szCs w:val="14"/>
                <w:color w:val="auto"/>
                <w:w w:val="86"/>
              </w:rPr>
              <w:t>Increase/</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5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left="317"/>
              <w:spacing w:after="0"/>
              <w:rPr>
                <w:sz w:val="20"/>
                <w:szCs w:val="20"/>
                <w:color w:val="auto"/>
              </w:rPr>
            </w:pPr>
            <w:r>
              <w:rPr>
                <w:rFonts w:ascii="Arial" w:cs="Arial" w:eastAsia="Arial" w:hAnsi="Arial"/>
                <w:sz w:val="14"/>
                <w:szCs w:val="14"/>
                <w:color w:val="auto"/>
                <w:w w:val="84"/>
              </w:rPr>
              <w:t>June 30</w:t>
            </w:r>
          </w:p>
        </w:tc>
        <w:tc>
          <w:tcPr>
            <w:tcW w:w="7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left="437"/>
              <w:spacing w:after="0"/>
              <w:rPr>
                <w:sz w:val="20"/>
                <w:szCs w:val="20"/>
                <w:color w:val="auto"/>
              </w:rPr>
            </w:pPr>
            <w:r>
              <w:rPr>
                <w:rFonts w:ascii="Arial" w:cs="Arial" w:eastAsia="Arial" w:hAnsi="Arial"/>
                <w:sz w:val="14"/>
                <w:szCs w:val="14"/>
                <w:color w:val="auto"/>
                <w:w w:val="83"/>
              </w:rPr>
              <w:t>(Decrease)</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right"/>
              <w:ind w:right="277"/>
              <w:spacing w:after="0" w:line="142" w:lineRule="exact"/>
              <w:rPr>
                <w:sz w:val="20"/>
                <w:szCs w:val="20"/>
                <w:color w:val="auto"/>
              </w:rPr>
            </w:pPr>
            <w:r>
              <w:rPr>
                <w:rFonts w:ascii="Arial" w:cs="Arial" w:eastAsia="Arial" w:hAnsi="Arial"/>
                <w:sz w:val="14"/>
                <w:szCs w:val="14"/>
                <w:color w:val="auto"/>
                <w:w w:val="96"/>
              </w:rPr>
              <w:t>2010</w:t>
            </w:r>
          </w:p>
        </w:tc>
        <w:tc>
          <w:tcPr>
            <w:tcW w:w="300" w:type="dxa"/>
            <w:vAlign w:val="bottom"/>
          </w:tcPr>
          <w:p>
            <w:pPr>
              <w:spacing w:after="0"/>
              <w:rPr>
                <w:sz w:val="12"/>
                <w:szCs w:val="12"/>
                <w:color w:val="auto"/>
              </w:rPr>
            </w:pPr>
          </w:p>
        </w:tc>
        <w:tc>
          <w:tcPr>
            <w:tcW w:w="700" w:type="dxa"/>
            <w:vAlign w:val="bottom"/>
          </w:tcPr>
          <w:p>
            <w:pPr>
              <w:jc w:val="right"/>
              <w:ind w:right="274"/>
              <w:spacing w:after="0" w:line="142" w:lineRule="exact"/>
              <w:rPr>
                <w:sz w:val="20"/>
                <w:szCs w:val="20"/>
                <w:color w:val="auto"/>
              </w:rPr>
            </w:pPr>
            <w:r>
              <w:rPr>
                <w:rFonts w:ascii="Arial" w:cs="Arial" w:eastAsia="Arial" w:hAnsi="Arial"/>
                <w:sz w:val="14"/>
                <w:szCs w:val="14"/>
                <w:color w:val="auto"/>
              </w:rPr>
              <w:t>2009</w:t>
            </w:r>
          </w:p>
        </w:tc>
        <w:tc>
          <w:tcPr>
            <w:tcW w:w="1140" w:type="dxa"/>
            <w:vAlign w:val="bottom"/>
          </w:tcPr>
          <w:p>
            <w:pPr>
              <w:jc w:val="right"/>
              <w:ind w:right="577"/>
              <w:spacing w:after="0" w:line="142"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31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Video</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9,759</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9,813</w:t>
            </w:r>
          </w:p>
        </w:tc>
        <w:tc>
          <w:tcPr>
            <w:tcW w:w="1140" w:type="dxa"/>
            <w:vAlign w:val="bottom"/>
            <w:tcBorders>
              <w:top w:val="single" w:sz="8" w:color="auto"/>
            </w:tcBorders>
            <w:shd w:val="clear" w:color="auto" w:fill="E5E5E5"/>
          </w:tcPr>
          <w:p>
            <w:pPr>
              <w:jc w:val="right"/>
              <w:ind w:right="437"/>
              <w:spacing w:after="0"/>
              <w:rPr>
                <w:sz w:val="20"/>
                <w:szCs w:val="20"/>
                <w:color w:val="auto"/>
              </w:rPr>
            </w:pPr>
            <w:r>
              <w:rPr>
                <w:rFonts w:ascii="Arial" w:cs="Arial" w:eastAsia="Arial" w:hAnsi="Arial"/>
                <w:sz w:val="18"/>
                <w:szCs w:val="18"/>
                <w:color w:val="auto"/>
              </w:rPr>
              <w:t>$ (54)</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4"/>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High-speed Internet</w:t>
            </w:r>
          </w:p>
        </w:tc>
        <w:tc>
          <w:tcPr>
            <w:tcW w:w="500" w:type="dxa"/>
            <w:vAlign w:val="bottom"/>
          </w:tcPr>
          <w:p>
            <w:pPr>
              <w:spacing w:after="0"/>
              <w:rPr>
                <w:sz w:val="18"/>
                <w:szCs w:val="18"/>
                <w:color w:val="auto"/>
              </w:rPr>
            </w:pPr>
          </w:p>
        </w:tc>
        <w:tc>
          <w:tcPr>
            <w:tcW w:w="680" w:type="dxa"/>
            <w:vAlign w:val="bottom"/>
          </w:tcPr>
          <w:p>
            <w:pPr>
              <w:jc w:val="right"/>
              <w:ind w:right="117"/>
              <w:spacing w:after="0"/>
              <w:rPr>
                <w:sz w:val="20"/>
                <w:szCs w:val="20"/>
                <w:color w:val="auto"/>
              </w:rPr>
            </w:pPr>
            <w:r>
              <w:rPr>
                <w:rFonts w:ascii="Arial" w:cs="Arial" w:eastAsia="Arial" w:hAnsi="Arial"/>
                <w:sz w:val="18"/>
                <w:szCs w:val="18"/>
                <w:color w:val="auto"/>
              </w:rPr>
              <w:t>4,200</w:t>
            </w:r>
          </w:p>
        </w:tc>
        <w:tc>
          <w:tcPr>
            <w:tcW w:w="30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3,838</w:t>
            </w:r>
          </w:p>
        </w:tc>
        <w:tc>
          <w:tcPr>
            <w:tcW w:w="1140" w:type="dxa"/>
            <w:vAlign w:val="bottom"/>
          </w:tcPr>
          <w:p>
            <w:pPr>
              <w:jc w:val="right"/>
              <w:ind w:right="497"/>
              <w:spacing w:after="0"/>
              <w:rPr>
                <w:sz w:val="20"/>
                <w:szCs w:val="20"/>
                <w:color w:val="auto"/>
              </w:rPr>
            </w:pPr>
            <w:r>
              <w:rPr>
                <w:rFonts w:ascii="Arial" w:cs="Arial" w:eastAsia="Arial" w:hAnsi="Arial"/>
                <w:sz w:val="18"/>
                <w:szCs w:val="18"/>
                <w:color w:val="auto"/>
              </w:rPr>
              <w:t>362</w:t>
            </w:r>
          </w:p>
        </w:tc>
        <w:tc>
          <w:tcPr>
            <w:tcW w:w="580" w:type="dxa"/>
            <w:vAlign w:val="bottom"/>
          </w:tcPr>
          <w:p>
            <w:pPr>
              <w:jc w:val="right"/>
              <w:ind w:right="174"/>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5E5E5"/>
          </w:tcPr>
          <w:p>
            <w:pPr>
              <w:spacing w:after="0"/>
              <w:rPr>
                <w:sz w:val="20"/>
                <w:szCs w:val="20"/>
                <w:color w:val="auto"/>
              </w:rPr>
            </w:pPr>
            <w:r>
              <w:rPr>
                <w:rFonts w:ascii="Arial" w:cs="Arial" w:eastAsia="Arial" w:hAnsi="Arial"/>
                <w:sz w:val="18"/>
                <w:szCs w:val="18"/>
                <w:color w:val="auto"/>
              </w:rPr>
              <w:t>Phone</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1,793</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1,578</w:t>
            </w:r>
          </w:p>
        </w:tc>
        <w:tc>
          <w:tcPr>
            <w:tcW w:w="1140" w:type="dxa"/>
            <w:vAlign w:val="bottom"/>
            <w:shd w:val="clear" w:color="auto" w:fill="E5E5E5"/>
          </w:tcPr>
          <w:p>
            <w:pPr>
              <w:jc w:val="right"/>
              <w:ind w:right="497"/>
              <w:spacing w:after="0"/>
              <w:rPr>
                <w:sz w:val="20"/>
                <w:szCs w:val="20"/>
                <w:color w:val="auto"/>
              </w:rPr>
            </w:pPr>
            <w:r>
              <w:rPr>
                <w:rFonts w:ascii="Arial" w:cs="Arial" w:eastAsia="Arial" w:hAnsi="Arial"/>
                <w:sz w:val="18"/>
                <w:szCs w:val="18"/>
                <w:color w:val="auto"/>
              </w:rPr>
              <w:t>215</w:t>
            </w:r>
          </w:p>
        </w:tc>
        <w:tc>
          <w:tcPr>
            <w:tcW w:w="58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w w:val="85"/>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Advertising</w:t>
            </w:r>
            <w:r>
              <w:rPr>
                <w:rFonts w:ascii="Arial" w:cs="Arial" w:eastAsia="Arial" w:hAnsi="Arial"/>
                <w:sz w:val="11"/>
                <w:szCs w:val="11"/>
                <w:color w:val="auto"/>
              </w:rPr>
              <w:t>(a)</w:t>
            </w:r>
          </w:p>
        </w:tc>
        <w:tc>
          <w:tcPr>
            <w:tcW w:w="500" w:type="dxa"/>
            <w:vAlign w:val="bottom"/>
          </w:tcPr>
          <w:p>
            <w:pPr>
              <w:spacing w:after="0"/>
              <w:rPr>
                <w:sz w:val="18"/>
                <w:szCs w:val="18"/>
                <w:color w:val="auto"/>
              </w:rPr>
            </w:pPr>
          </w:p>
        </w:tc>
        <w:tc>
          <w:tcPr>
            <w:tcW w:w="680" w:type="dxa"/>
            <w:vAlign w:val="bottom"/>
          </w:tcPr>
          <w:p>
            <w:pPr>
              <w:jc w:val="right"/>
              <w:ind w:right="117"/>
              <w:spacing w:after="0"/>
              <w:rPr>
                <w:sz w:val="20"/>
                <w:szCs w:val="20"/>
                <w:color w:val="auto"/>
              </w:rPr>
            </w:pPr>
            <w:r>
              <w:rPr>
                <w:rFonts w:ascii="Arial" w:cs="Arial" w:eastAsia="Arial" w:hAnsi="Arial"/>
                <w:sz w:val="18"/>
                <w:szCs w:val="18"/>
                <w:color w:val="auto"/>
              </w:rPr>
              <w:t>806</w:t>
            </w:r>
          </w:p>
        </w:tc>
        <w:tc>
          <w:tcPr>
            <w:tcW w:w="30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655</w:t>
            </w:r>
          </w:p>
        </w:tc>
        <w:tc>
          <w:tcPr>
            <w:tcW w:w="1140" w:type="dxa"/>
            <w:vAlign w:val="bottom"/>
          </w:tcPr>
          <w:p>
            <w:pPr>
              <w:jc w:val="right"/>
              <w:ind w:right="497"/>
              <w:spacing w:after="0"/>
              <w:rPr>
                <w:sz w:val="20"/>
                <w:szCs w:val="20"/>
                <w:color w:val="auto"/>
              </w:rPr>
            </w:pPr>
            <w:r>
              <w:rPr>
                <w:rFonts w:ascii="Arial" w:cs="Arial" w:eastAsia="Arial" w:hAnsi="Arial"/>
                <w:sz w:val="18"/>
                <w:szCs w:val="18"/>
                <w:color w:val="auto"/>
              </w:rPr>
              <w:t>151</w:t>
            </w:r>
          </w:p>
        </w:tc>
        <w:tc>
          <w:tcPr>
            <w:tcW w:w="580" w:type="dxa"/>
            <w:vAlign w:val="bottom"/>
          </w:tcPr>
          <w:p>
            <w:pPr>
              <w:jc w:val="right"/>
              <w:ind w:right="174"/>
              <w:spacing w:after="0"/>
              <w:rPr>
                <w:sz w:val="20"/>
                <w:szCs w:val="20"/>
                <w:color w:val="auto"/>
              </w:rPr>
            </w:pPr>
            <w:r>
              <w:rPr>
                <w:rFonts w:ascii="Arial" w:cs="Arial" w:eastAsia="Arial" w:hAnsi="Arial"/>
                <w:sz w:val="18"/>
                <w:szCs w:val="18"/>
                <w:color w:val="auto"/>
                <w:w w:val="85"/>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5E5E5"/>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1"/>
                <w:szCs w:val="11"/>
                <w:color w:val="auto"/>
              </w:rPr>
              <w:t>(a)</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575</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545</w:t>
            </w:r>
          </w:p>
        </w:tc>
        <w:tc>
          <w:tcPr>
            <w:tcW w:w="1140" w:type="dxa"/>
            <w:vAlign w:val="bottom"/>
            <w:shd w:val="clear" w:color="auto" w:fill="E5E5E5"/>
          </w:tcPr>
          <w:p>
            <w:pPr>
              <w:jc w:val="right"/>
              <w:ind w:right="497"/>
              <w:spacing w:after="0"/>
              <w:rPr>
                <w:sz w:val="20"/>
                <w:szCs w:val="20"/>
                <w:color w:val="auto"/>
              </w:rPr>
            </w:pPr>
            <w:r>
              <w:rPr>
                <w:rFonts w:ascii="Arial" w:cs="Arial" w:eastAsia="Arial" w:hAnsi="Arial"/>
                <w:sz w:val="18"/>
                <w:szCs w:val="18"/>
                <w:color w:val="auto"/>
              </w:rPr>
              <w:t>30</w:t>
            </w:r>
          </w:p>
        </w:tc>
        <w:tc>
          <w:tcPr>
            <w:tcW w:w="58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Franchise fees</w:t>
            </w: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493</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472</w:t>
            </w: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8"/>
                <w:szCs w:val="18"/>
                <w:color w:val="auto"/>
              </w:rPr>
              <w:t>21</w:t>
            </w: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E5E5E5"/>
          </w:tcPr>
          <w:p>
            <w:pPr>
              <w:spacing w:after="0"/>
              <w:rPr>
                <w:sz w:val="20"/>
                <w:szCs w:val="20"/>
                <w:color w:val="auto"/>
              </w:rPr>
            </w:pPr>
            <w:r>
              <w:rPr>
                <w:rFonts w:ascii="Arial" w:cs="Arial" w:eastAsia="Arial" w:hAnsi="Arial"/>
                <w:sz w:val="18"/>
                <w:szCs w:val="18"/>
                <w:color w:val="auto"/>
              </w:rPr>
              <w:t>Revenue</w:t>
            </w:r>
            <w:r>
              <w:rPr>
                <w:rFonts w:ascii="Arial" w:cs="Arial" w:eastAsia="Arial" w:hAnsi="Arial"/>
                <w:sz w:val="11"/>
                <w:szCs w:val="11"/>
                <w:color w:val="auto"/>
              </w:rPr>
              <w:t>(a)</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w w:val="83"/>
              </w:rPr>
              <w:t>17,626</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83"/>
              </w:rPr>
              <w:t>16,901</w:t>
            </w:r>
          </w:p>
        </w:tc>
        <w:tc>
          <w:tcPr>
            <w:tcW w:w="1140" w:type="dxa"/>
            <w:vAlign w:val="bottom"/>
            <w:shd w:val="clear" w:color="auto" w:fill="E5E5E5"/>
          </w:tcPr>
          <w:p>
            <w:pPr>
              <w:jc w:val="right"/>
              <w:ind w:right="497"/>
              <w:spacing w:after="0"/>
              <w:rPr>
                <w:sz w:val="20"/>
                <w:szCs w:val="20"/>
                <w:color w:val="auto"/>
              </w:rPr>
            </w:pPr>
            <w:r>
              <w:rPr>
                <w:rFonts w:ascii="Arial" w:cs="Arial" w:eastAsia="Arial" w:hAnsi="Arial"/>
                <w:sz w:val="18"/>
                <w:szCs w:val="18"/>
                <w:color w:val="auto"/>
              </w:rPr>
              <w:t>725</w:t>
            </w:r>
          </w:p>
        </w:tc>
        <w:tc>
          <w:tcPr>
            <w:tcW w:w="58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1"/>
                <w:szCs w:val="11"/>
                <w:color w:val="auto"/>
              </w:rPr>
              <w:t>(a)</w:t>
            </w:r>
          </w:p>
        </w:tc>
        <w:tc>
          <w:tcPr>
            <w:tcW w:w="500" w:type="dxa"/>
            <w:vAlign w:val="bottom"/>
          </w:tcPr>
          <w:p>
            <w:pPr>
              <w:spacing w:after="0"/>
              <w:rPr>
                <w:sz w:val="18"/>
                <w:szCs w:val="18"/>
                <w:color w:val="auto"/>
              </w:rPr>
            </w:pPr>
          </w:p>
        </w:tc>
        <w:tc>
          <w:tcPr>
            <w:tcW w:w="680" w:type="dxa"/>
            <w:vAlign w:val="bottom"/>
          </w:tcPr>
          <w:p>
            <w:pPr>
              <w:jc w:val="right"/>
              <w:ind w:right="117"/>
              <w:spacing w:after="0"/>
              <w:rPr>
                <w:sz w:val="20"/>
                <w:szCs w:val="20"/>
                <w:color w:val="auto"/>
              </w:rPr>
            </w:pPr>
            <w:r>
              <w:rPr>
                <w:rFonts w:ascii="Arial" w:cs="Arial" w:eastAsia="Arial" w:hAnsi="Arial"/>
                <w:sz w:val="18"/>
                <w:szCs w:val="18"/>
                <w:color w:val="auto"/>
              </w:rPr>
              <w:t>7,080</w:t>
            </w:r>
          </w:p>
        </w:tc>
        <w:tc>
          <w:tcPr>
            <w:tcW w:w="30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6,760</w:t>
            </w:r>
          </w:p>
        </w:tc>
        <w:tc>
          <w:tcPr>
            <w:tcW w:w="1140" w:type="dxa"/>
            <w:vAlign w:val="bottom"/>
          </w:tcPr>
          <w:p>
            <w:pPr>
              <w:jc w:val="right"/>
              <w:ind w:right="497"/>
              <w:spacing w:after="0"/>
              <w:rPr>
                <w:sz w:val="20"/>
                <w:szCs w:val="20"/>
                <w:color w:val="auto"/>
              </w:rPr>
            </w:pPr>
            <w:r>
              <w:rPr>
                <w:rFonts w:ascii="Arial" w:cs="Arial" w:eastAsia="Arial" w:hAnsi="Arial"/>
                <w:sz w:val="18"/>
                <w:szCs w:val="18"/>
                <w:color w:val="auto"/>
              </w:rPr>
              <w:t>320</w:t>
            </w:r>
          </w:p>
        </w:tc>
        <w:tc>
          <w:tcPr>
            <w:tcW w:w="580" w:type="dxa"/>
            <w:vAlign w:val="bottom"/>
          </w:tcPr>
          <w:p>
            <w:pPr>
              <w:jc w:val="right"/>
              <w:ind w:right="17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Selling, general and administrative expenses</w:t>
            </w:r>
            <w:r>
              <w:rPr>
                <w:rFonts w:ascii="Arial" w:cs="Arial" w:eastAsia="Arial" w:hAnsi="Arial"/>
                <w:sz w:val="11"/>
                <w:szCs w:val="11"/>
                <w:color w:val="auto"/>
              </w:rPr>
              <w:t>(a)</w:t>
            </w:r>
          </w:p>
        </w:tc>
        <w:tc>
          <w:tcPr>
            <w:tcW w:w="5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3,306</w:t>
            </w:r>
          </w:p>
        </w:tc>
        <w:tc>
          <w:tcPr>
            <w:tcW w:w="3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3,238</w:t>
            </w:r>
          </w:p>
        </w:tc>
        <w:tc>
          <w:tcPr>
            <w:tcW w:w="1140" w:type="dxa"/>
            <w:vAlign w:val="bottom"/>
            <w:tcBorders>
              <w:bottom w:val="single" w:sz="8" w:color="auto"/>
            </w:tcBorders>
            <w:shd w:val="clear" w:color="auto" w:fill="E5E5E5"/>
          </w:tcPr>
          <w:p>
            <w:pPr>
              <w:jc w:val="right"/>
              <w:ind w:right="497"/>
              <w:spacing w:after="0"/>
              <w:rPr>
                <w:sz w:val="20"/>
                <w:szCs w:val="20"/>
                <w:color w:val="auto"/>
              </w:rPr>
            </w:pPr>
            <w:r>
              <w:rPr>
                <w:rFonts w:ascii="Arial" w:cs="Arial" w:eastAsia="Arial" w:hAnsi="Arial"/>
                <w:sz w:val="18"/>
                <w:szCs w:val="18"/>
                <w:color w:val="auto"/>
              </w:rPr>
              <w:t>68</w:t>
            </w:r>
          </w:p>
        </w:tc>
        <w:tc>
          <w:tcPr>
            <w:tcW w:w="58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7,240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6,903</w:t>
            </w: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8"/>
                <w:szCs w:val="18"/>
                <w:b w:val="1"/>
                <w:bCs w:val="1"/>
                <w:color w:val="auto"/>
              </w:rPr>
              <w:t>$337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(a) Reclassifications have been made to the prior year’s amounts to conform to classifications used in 2010.</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Segment Revenue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Video revenue remained relatively consistent for the three and six months ended June 30, 2010 compared to the same periods in 2009 primarily due to revenue growth from rate adjustments and customer upgrades to our digital and advanced services which was offset by declines in video customers. During the three and six months ended June 30, 2010, the number of video customers decreased by approximately 265,000 and 347,000, respectively. During the three and six months ended June 30, 2010, we added or upgraded approximately 394,000 and 821,000 customers to our digital video service, respectively, including those customers added or upgraded in connection with the transition from analog to digital transmission of channels we distribute. As of June 30, 2010, approximately 83% of our 23.2 million video customers subscribed to at least one of our digital video services. Our average monthly video revenue per video customer increased to approximately $70 as of June 30, 2010 from approximately $68 as of June 30, 2009.</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high-speed Internet revenue increased during the three and six months ended June 30, 2010 compared to the same periods in 2009 primarily due to an increase in the number of residential and commercial customers. During the three and six months ended June 30, 2010, we added approximately 118,000 and 517,000 high-speed Internet customers, respectively. Our average monthly revenue per high-speed Internet customer increased to approximately $43 as of June 30, 2010 from approximately $42 as of June 30, 2009.</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Phone</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phone revenue increased during the three and six months ended June 30, 2010 compared to the same periods in 2009 primarily due to an increase in the number of residential and commercial phone customers. During the three and six months ended June 30, 2010, we added approximately 230,000 and 503,000 phone customers, respectively. Average monthly revenue per phone customer declined to approximately $38 as of June 30, 2010 from approximately $39 as of June 30, 2009, due to customers receiving service as part of a promotional offer or in a bundled service offering.</w:t>
      </w:r>
    </w:p>
    <w:p>
      <w:pPr>
        <w:spacing w:after="0" w:line="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previously disclosed, we expect further declines in the number of video customers during the second half of 2010. In addition, during June and July our video, high-speed Internet and phone customer results were weaker than expected due to the expiration of promotions from the time of the country’s digital transition last year and the continuing impact of competition and a weaker economic environment. We are taking steps to address customer results during the remainder of the third quarter and year.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Advertising revenue increased during the three and six months ended June 30, 2010 compared to the same periods in 2009 primarily due to improvements in the overall television advertising market.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We also generate revenue from our regional sports networks, our digital media center, commissions from electronic retailing networks and fees for other services.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Fees</w:t>
      </w:r>
    </w:p>
    <w:p>
      <w:pPr>
        <w:spacing w:after="0" w:line="7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increases in franchise fees collected from our cable customers during the three and six months ended June 30, 2010 compared to the same periods in 2009 were primarily due to increases in the revenue on which the fees apply.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Segment Operating Expenses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120" w:type="dxa"/>
            <w:vAlign w:val="bottom"/>
            <w:gridSpan w:val="2"/>
          </w:tcPr>
          <w:p>
            <w:pPr>
              <w:jc w:val="center"/>
              <w:ind w:left="97"/>
              <w:spacing w:after="0"/>
              <w:rPr>
                <w:sz w:val="20"/>
                <w:szCs w:val="20"/>
                <w:color w:val="auto"/>
              </w:rPr>
            </w:pPr>
            <w:r>
              <w:rPr>
                <w:rFonts w:ascii="Arial" w:cs="Arial" w:eastAsia="Arial" w:hAnsi="Arial"/>
                <w:sz w:val="14"/>
                <w:szCs w:val="14"/>
                <w:color w:val="auto"/>
                <w:w w:val="87"/>
              </w:rPr>
              <w:t>Three Months Ended</w:t>
            </w:r>
          </w:p>
        </w:tc>
        <w:tc>
          <w:tcPr>
            <w:tcW w:w="1160" w:type="dxa"/>
            <w:vAlign w:val="bottom"/>
          </w:tcPr>
          <w:p>
            <w:pPr>
              <w:jc w:val="center"/>
              <w:ind w:left="459"/>
              <w:spacing w:after="0"/>
              <w:rPr>
                <w:sz w:val="20"/>
                <w:szCs w:val="20"/>
                <w:color w:val="auto"/>
              </w:rPr>
            </w:pPr>
            <w:r>
              <w:rPr>
                <w:rFonts w:ascii="Arial" w:cs="Arial" w:eastAsia="Arial" w:hAnsi="Arial"/>
                <w:sz w:val="14"/>
                <w:szCs w:val="14"/>
                <w:color w:val="auto"/>
                <w:w w:val="86"/>
              </w:rPr>
              <w:t>Increase/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5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9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677"/>
              <w:spacing w:after="0" w:line="159" w:lineRule="exact"/>
              <w:rPr>
                <w:sz w:val="20"/>
                <w:szCs w:val="20"/>
                <w:color w:val="auto"/>
              </w:rPr>
            </w:pPr>
            <w:r>
              <w:rPr>
                <w:rFonts w:ascii="Arial" w:cs="Arial" w:eastAsia="Arial" w:hAnsi="Arial"/>
                <w:sz w:val="14"/>
                <w:szCs w:val="14"/>
                <w:color w:val="auto"/>
                <w:w w:val="80"/>
              </w:rPr>
              <w:t>June 30</w:t>
            </w:r>
          </w:p>
        </w:tc>
        <w:tc>
          <w:tcPr>
            <w:tcW w:w="1160" w:type="dxa"/>
            <w:vAlign w:val="bottom"/>
            <w:tcBorders>
              <w:bottom w:val="single" w:sz="8" w:color="auto"/>
            </w:tcBorders>
          </w:tcPr>
          <w:p>
            <w:pPr>
              <w:jc w:val="center"/>
              <w:ind w:left="459"/>
              <w:spacing w:after="0" w:line="159" w:lineRule="exact"/>
              <w:rPr>
                <w:sz w:val="20"/>
                <w:szCs w:val="20"/>
                <w:color w:val="auto"/>
              </w:rPr>
            </w:pPr>
            <w:r>
              <w:rPr>
                <w:rFonts w:ascii="Arial" w:cs="Arial" w:eastAsia="Arial" w:hAnsi="Arial"/>
                <w:sz w:val="14"/>
                <w:szCs w:val="14"/>
                <w:color w:val="auto"/>
                <w:w w:val="83"/>
              </w:rPr>
              <w:t>(Decrease)</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580" w:type="dxa"/>
            <w:vAlign w:val="bottom"/>
            <w:gridSpan w:val="2"/>
            <w:vMerge w:val="continue"/>
          </w:tcPr>
          <w:p>
            <w:pPr>
              <w:spacing w:after="0"/>
              <w:rPr>
                <w:sz w:val="12"/>
                <w:szCs w:val="12"/>
                <w:color w:val="auto"/>
              </w:rPr>
            </w:pPr>
          </w:p>
        </w:tc>
        <w:tc>
          <w:tcPr>
            <w:tcW w:w="960" w:type="dxa"/>
            <w:vAlign w:val="bottom"/>
          </w:tcPr>
          <w:p>
            <w:pPr>
              <w:jc w:val="right"/>
              <w:ind w:right="57"/>
              <w:spacing w:after="0" w:line="142" w:lineRule="exact"/>
              <w:rPr>
                <w:sz w:val="20"/>
                <w:szCs w:val="20"/>
                <w:color w:val="auto"/>
              </w:rPr>
            </w:pPr>
            <w:r>
              <w:rPr>
                <w:rFonts w:ascii="Arial" w:cs="Arial" w:eastAsia="Arial" w:hAnsi="Arial"/>
                <w:sz w:val="14"/>
                <w:szCs w:val="14"/>
                <w:color w:val="auto"/>
              </w:rPr>
              <w:t>2010</w:t>
            </w:r>
          </w:p>
        </w:tc>
        <w:tc>
          <w:tcPr>
            <w:tcW w:w="1160" w:type="dxa"/>
            <w:vAlign w:val="bottom"/>
          </w:tcPr>
          <w:p>
            <w:pPr>
              <w:jc w:val="right"/>
              <w:ind w:right="257"/>
              <w:spacing w:after="0" w:line="142" w:lineRule="exact"/>
              <w:rPr>
                <w:sz w:val="20"/>
                <w:szCs w:val="20"/>
                <w:color w:val="auto"/>
              </w:rPr>
            </w:pPr>
            <w:r>
              <w:rPr>
                <w:rFonts w:ascii="Arial" w:cs="Arial" w:eastAsia="Arial" w:hAnsi="Arial"/>
                <w:sz w:val="14"/>
                <w:szCs w:val="14"/>
                <w:color w:val="auto"/>
              </w:rPr>
              <w:t>2009</w:t>
            </w:r>
          </w:p>
        </w:tc>
        <w:tc>
          <w:tcPr>
            <w:tcW w:w="1160" w:type="dxa"/>
            <w:vAlign w:val="bottom"/>
          </w:tcPr>
          <w:p>
            <w:pPr>
              <w:jc w:val="right"/>
              <w:ind w:right="659"/>
              <w:spacing w:after="0" w:line="142"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275"/>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Video programming</w:t>
            </w:r>
          </w:p>
        </w:tc>
        <w:tc>
          <w:tcPr>
            <w:tcW w:w="9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$ 1,870</w:t>
            </w:r>
          </w:p>
        </w:tc>
        <w:tc>
          <w:tcPr>
            <w:tcW w:w="1160" w:type="dxa"/>
            <w:vAlign w:val="bottom"/>
            <w:tcBorders>
              <w:top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$ 1,758</w:t>
            </w:r>
          </w:p>
        </w:tc>
        <w:tc>
          <w:tcPr>
            <w:tcW w:w="1160" w:type="dxa"/>
            <w:vAlign w:val="bottom"/>
            <w:tcBorders>
              <w:top w:val="single" w:sz="8" w:color="auto"/>
            </w:tcBorders>
            <w:shd w:val="clear" w:color="auto" w:fill="E5E5E5"/>
          </w:tcPr>
          <w:p>
            <w:pPr>
              <w:jc w:val="right"/>
              <w:ind w:right="499"/>
              <w:spacing w:after="0"/>
              <w:rPr>
                <w:sz w:val="20"/>
                <w:szCs w:val="20"/>
                <w:color w:val="auto"/>
              </w:rPr>
            </w:pPr>
            <w:r>
              <w:rPr>
                <w:rFonts w:ascii="Arial" w:cs="Arial" w:eastAsia="Arial" w:hAnsi="Arial"/>
                <w:sz w:val="18"/>
                <w:szCs w:val="18"/>
                <w:color w:val="auto"/>
              </w:rPr>
              <w:t>$ 112</w:t>
            </w:r>
          </w:p>
        </w:tc>
        <w:tc>
          <w:tcPr>
            <w:tcW w:w="5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Technical labor</w:t>
            </w:r>
          </w:p>
        </w:tc>
        <w:tc>
          <w:tcPr>
            <w:tcW w:w="960" w:type="dxa"/>
            <w:vAlign w:val="bottom"/>
          </w:tcPr>
          <w:p>
            <w:pPr>
              <w:jc w:val="right"/>
              <w:spacing w:after="0"/>
              <w:rPr>
                <w:sz w:val="20"/>
                <w:szCs w:val="20"/>
                <w:color w:val="auto"/>
              </w:rPr>
            </w:pPr>
            <w:r>
              <w:rPr>
                <w:rFonts w:ascii="Arial" w:cs="Arial" w:eastAsia="Arial" w:hAnsi="Arial"/>
                <w:sz w:val="18"/>
                <w:szCs w:val="18"/>
                <w:color w:val="auto"/>
              </w:rPr>
              <w:t>541</w:t>
            </w:r>
          </w:p>
        </w:tc>
        <w:tc>
          <w:tcPr>
            <w:tcW w:w="1160" w:type="dxa"/>
            <w:vAlign w:val="bottom"/>
          </w:tcPr>
          <w:p>
            <w:pPr>
              <w:jc w:val="right"/>
              <w:ind w:right="137"/>
              <w:spacing w:after="0"/>
              <w:rPr>
                <w:sz w:val="20"/>
                <w:szCs w:val="20"/>
                <w:color w:val="auto"/>
              </w:rPr>
            </w:pPr>
            <w:r>
              <w:rPr>
                <w:rFonts w:ascii="Arial" w:cs="Arial" w:eastAsia="Arial" w:hAnsi="Arial"/>
                <w:sz w:val="18"/>
                <w:szCs w:val="18"/>
                <w:color w:val="auto"/>
              </w:rPr>
              <w:t>586</w:t>
            </w:r>
          </w:p>
        </w:tc>
        <w:tc>
          <w:tcPr>
            <w:tcW w:w="1160" w:type="dxa"/>
            <w:vAlign w:val="bottom"/>
          </w:tcPr>
          <w:p>
            <w:pPr>
              <w:jc w:val="right"/>
              <w:ind w:right="439"/>
              <w:spacing w:after="0"/>
              <w:rPr>
                <w:sz w:val="20"/>
                <w:szCs w:val="20"/>
                <w:color w:val="auto"/>
              </w:rPr>
            </w:pPr>
            <w:r>
              <w:rPr>
                <w:rFonts w:ascii="Arial" w:cs="Arial" w:eastAsia="Arial" w:hAnsi="Arial"/>
                <w:sz w:val="18"/>
                <w:szCs w:val="18"/>
                <w:color w:val="auto"/>
              </w:rPr>
              <w:t>(45)</w:t>
            </w:r>
          </w:p>
        </w:tc>
        <w:tc>
          <w:tcPr>
            <w:tcW w:w="560" w:type="dxa"/>
            <w:vAlign w:val="bottom"/>
          </w:tcPr>
          <w:p>
            <w:pPr>
              <w:jc w:val="right"/>
              <w:ind w:right="95"/>
              <w:spacing w:after="0"/>
              <w:rPr>
                <w:sz w:val="20"/>
                <w:szCs w:val="20"/>
                <w:color w:val="auto"/>
              </w:rPr>
            </w:pPr>
            <w:r>
              <w:rPr>
                <w:rFonts w:ascii="Arial" w:cs="Arial" w:eastAsia="Arial" w:hAnsi="Arial"/>
                <w:sz w:val="18"/>
                <w:szCs w:val="18"/>
                <w:color w:val="auto"/>
                <w:w w:val="97"/>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E5E5E5"/>
          </w:tcPr>
          <w:p>
            <w:pPr>
              <w:spacing w:after="0"/>
              <w:rPr>
                <w:sz w:val="20"/>
                <w:szCs w:val="20"/>
                <w:color w:val="auto"/>
              </w:rPr>
            </w:pPr>
            <w:r>
              <w:rPr>
                <w:rFonts w:ascii="Arial" w:cs="Arial" w:eastAsia="Arial" w:hAnsi="Arial"/>
                <w:sz w:val="18"/>
                <w:szCs w:val="18"/>
                <w:color w:val="auto"/>
              </w:rPr>
              <w:t>High-speed Internet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128</w:t>
            </w:r>
          </w:p>
        </w:tc>
        <w:tc>
          <w:tcPr>
            <w:tcW w:w="116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126</w:t>
            </w:r>
          </w:p>
        </w:tc>
        <w:tc>
          <w:tcPr>
            <w:tcW w:w="1160" w:type="dxa"/>
            <w:vAlign w:val="bottom"/>
            <w:shd w:val="clear" w:color="auto" w:fill="E5E5E5"/>
          </w:tcPr>
          <w:p>
            <w:pPr>
              <w:jc w:val="right"/>
              <w:ind w:right="499"/>
              <w:spacing w:after="0"/>
              <w:rPr>
                <w:sz w:val="20"/>
                <w:szCs w:val="20"/>
                <w:color w:val="auto"/>
              </w:rPr>
            </w:pPr>
            <w:r>
              <w:rPr>
                <w:rFonts w:ascii="Arial" w:cs="Arial" w:eastAsia="Arial" w:hAnsi="Arial"/>
                <w:sz w:val="18"/>
                <w:szCs w:val="18"/>
                <w:color w:val="auto"/>
              </w:rPr>
              <w:t>2</w:t>
            </w:r>
          </w:p>
        </w:tc>
        <w:tc>
          <w:tcPr>
            <w:tcW w:w="5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Phone</w:t>
            </w:r>
          </w:p>
        </w:tc>
        <w:tc>
          <w:tcPr>
            <w:tcW w:w="960" w:type="dxa"/>
            <w:vAlign w:val="bottom"/>
          </w:tcPr>
          <w:p>
            <w:pPr>
              <w:jc w:val="right"/>
              <w:spacing w:after="0"/>
              <w:rPr>
                <w:sz w:val="20"/>
                <w:szCs w:val="20"/>
                <w:color w:val="auto"/>
              </w:rPr>
            </w:pPr>
            <w:r>
              <w:rPr>
                <w:rFonts w:ascii="Arial" w:cs="Arial" w:eastAsia="Arial" w:hAnsi="Arial"/>
                <w:sz w:val="18"/>
                <w:szCs w:val="18"/>
                <w:color w:val="auto"/>
              </w:rPr>
              <w:t>145</w:t>
            </w:r>
          </w:p>
        </w:tc>
        <w:tc>
          <w:tcPr>
            <w:tcW w:w="1160" w:type="dxa"/>
            <w:vAlign w:val="bottom"/>
          </w:tcPr>
          <w:p>
            <w:pPr>
              <w:jc w:val="right"/>
              <w:ind w:right="137"/>
              <w:spacing w:after="0"/>
              <w:rPr>
                <w:sz w:val="20"/>
                <w:szCs w:val="20"/>
                <w:color w:val="auto"/>
              </w:rPr>
            </w:pPr>
            <w:r>
              <w:rPr>
                <w:rFonts w:ascii="Arial" w:cs="Arial" w:eastAsia="Arial" w:hAnsi="Arial"/>
                <w:sz w:val="18"/>
                <w:szCs w:val="18"/>
                <w:color w:val="auto"/>
              </w:rPr>
              <w:t>132</w:t>
            </w:r>
          </w:p>
        </w:tc>
        <w:tc>
          <w:tcPr>
            <w:tcW w:w="1160" w:type="dxa"/>
            <w:vAlign w:val="bottom"/>
          </w:tcPr>
          <w:p>
            <w:pPr>
              <w:jc w:val="right"/>
              <w:ind w:right="499"/>
              <w:spacing w:after="0"/>
              <w:rPr>
                <w:sz w:val="20"/>
                <w:szCs w:val="20"/>
                <w:color w:val="auto"/>
              </w:rPr>
            </w:pPr>
            <w:r>
              <w:rPr>
                <w:rFonts w:ascii="Arial" w:cs="Arial" w:eastAsia="Arial" w:hAnsi="Arial"/>
                <w:sz w:val="18"/>
                <w:szCs w:val="18"/>
                <w:color w:val="auto"/>
              </w:rPr>
              <w:t>13</w:t>
            </w:r>
          </w:p>
        </w:tc>
        <w:tc>
          <w:tcPr>
            <w:tcW w:w="560" w:type="dxa"/>
            <w:vAlign w:val="bottom"/>
          </w:tcPr>
          <w:p>
            <w:pPr>
              <w:jc w:val="right"/>
              <w:ind w:right="135"/>
              <w:spacing w:after="0"/>
              <w:rPr>
                <w:sz w:val="20"/>
                <w:szCs w:val="20"/>
                <w:color w:val="auto"/>
              </w:rPr>
            </w:pPr>
            <w:r>
              <w:rPr>
                <w:rFonts w:ascii="Arial" w:cs="Arial" w:eastAsia="Arial" w:hAnsi="Arial"/>
                <w:sz w:val="18"/>
                <w:szCs w:val="18"/>
                <w:color w:val="auto"/>
                <w:w w:val="91"/>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897</w:t>
            </w:r>
          </w:p>
        </w:tc>
        <w:tc>
          <w:tcPr>
            <w:tcW w:w="116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785</w:t>
            </w:r>
          </w:p>
        </w:tc>
        <w:tc>
          <w:tcPr>
            <w:tcW w:w="1160" w:type="dxa"/>
            <w:vAlign w:val="bottom"/>
            <w:tcBorders>
              <w:bottom w:val="single" w:sz="8" w:color="auto"/>
            </w:tcBorders>
            <w:shd w:val="clear" w:color="auto" w:fill="E5E5E5"/>
          </w:tcPr>
          <w:p>
            <w:pPr>
              <w:jc w:val="right"/>
              <w:ind w:right="499"/>
              <w:spacing w:after="0"/>
              <w:rPr>
                <w:sz w:val="20"/>
                <w:szCs w:val="20"/>
                <w:color w:val="auto"/>
              </w:rPr>
            </w:pPr>
            <w:r>
              <w:rPr>
                <w:rFonts w:ascii="Arial" w:cs="Arial" w:eastAsia="Arial" w:hAnsi="Arial"/>
                <w:sz w:val="18"/>
                <w:szCs w:val="18"/>
                <w:color w:val="auto"/>
              </w:rPr>
              <w:t>112</w:t>
            </w:r>
          </w:p>
        </w:tc>
        <w:tc>
          <w:tcPr>
            <w:tcW w:w="5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w w:val="91"/>
              </w:rPr>
              <w:t>14.1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operating expenses</w:t>
            </w:r>
            <w:r>
              <w:rPr>
                <w:rFonts w:ascii="Arial" w:cs="Arial" w:eastAsia="Arial" w:hAnsi="Arial"/>
                <w:sz w:val="11"/>
                <w:szCs w:val="11"/>
                <w:b w:val="1"/>
                <w:bCs w:val="1"/>
                <w:color w:val="auto"/>
              </w:rPr>
              <w:t>(a)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$ 3,581</w:t>
            </w:r>
          </w:p>
        </w:tc>
        <w:tc>
          <w:tcPr>
            <w:tcW w:w="11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$ 3,387</w:t>
            </w: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8"/>
                <w:szCs w:val="18"/>
                <w:b w:val="1"/>
                <w:bCs w:val="1"/>
                <w:color w:val="auto"/>
              </w:rPr>
              <w:t>$194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120" w:type="dxa"/>
            <w:vAlign w:val="bottom"/>
            <w:gridSpan w:val="2"/>
          </w:tcPr>
          <w:p>
            <w:pPr>
              <w:jc w:val="center"/>
              <w:ind w:left="117"/>
              <w:spacing w:after="0"/>
              <w:rPr>
                <w:sz w:val="20"/>
                <w:szCs w:val="20"/>
                <w:color w:val="auto"/>
              </w:rPr>
            </w:pPr>
            <w:r>
              <w:rPr>
                <w:rFonts w:ascii="Arial" w:cs="Arial" w:eastAsia="Arial" w:hAnsi="Arial"/>
                <w:sz w:val="14"/>
                <w:szCs w:val="14"/>
                <w:color w:val="auto"/>
                <w:w w:val="87"/>
              </w:rPr>
              <w:t>Six Months Ended</w:t>
            </w:r>
          </w:p>
        </w:tc>
        <w:tc>
          <w:tcPr>
            <w:tcW w:w="1160" w:type="dxa"/>
            <w:vAlign w:val="bottom"/>
          </w:tcPr>
          <w:p>
            <w:pPr>
              <w:jc w:val="center"/>
              <w:ind w:left="459"/>
              <w:spacing w:after="0"/>
              <w:rPr>
                <w:sz w:val="20"/>
                <w:szCs w:val="20"/>
                <w:color w:val="auto"/>
              </w:rPr>
            </w:pPr>
            <w:r>
              <w:rPr>
                <w:rFonts w:ascii="Arial" w:cs="Arial" w:eastAsia="Arial" w:hAnsi="Arial"/>
                <w:sz w:val="14"/>
                <w:szCs w:val="14"/>
                <w:color w:val="auto"/>
                <w:w w:val="86"/>
              </w:rPr>
              <w:t>Increase/</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5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9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677"/>
              <w:spacing w:after="0"/>
              <w:rPr>
                <w:sz w:val="20"/>
                <w:szCs w:val="20"/>
                <w:color w:val="auto"/>
              </w:rPr>
            </w:pPr>
            <w:r>
              <w:rPr>
                <w:rFonts w:ascii="Arial" w:cs="Arial" w:eastAsia="Arial" w:hAnsi="Arial"/>
                <w:sz w:val="14"/>
                <w:szCs w:val="14"/>
                <w:color w:val="auto"/>
                <w:w w:val="80"/>
              </w:rPr>
              <w:t>June 30</w:t>
            </w:r>
          </w:p>
        </w:tc>
        <w:tc>
          <w:tcPr>
            <w:tcW w:w="1160" w:type="dxa"/>
            <w:vAlign w:val="bottom"/>
            <w:tcBorders>
              <w:bottom w:val="single" w:sz="8" w:color="auto"/>
            </w:tcBorders>
          </w:tcPr>
          <w:p>
            <w:pPr>
              <w:jc w:val="center"/>
              <w:ind w:left="459"/>
              <w:spacing w:after="0"/>
              <w:rPr>
                <w:sz w:val="20"/>
                <w:szCs w:val="20"/>
                <w:color w:val="auto"/>
              </w:rPr>
            </w:pPr>
            <w:r>
              <w:rPr>
                <w:rFonts w:ascii="Arial" w:cs="Arial" w:eastAsia="Arial" w:hAnsi="Arial"/>
                <w:sz w:val="14"/>
                <w:szCs w:val="14"/>
                <w:color w:val="auto"/>
                <w:w w:val="83"/>
              </w:rPr>
              <w:t>(Decrease)</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80" w:type="dxa"/>
            <w:vAlign w:val="bottom"/>
            <w:gridSpan w:val="2"/>
            <w:vMerge w:val="continue"/>
          </w:tcPr>
          <w:p>
            <w:pPr>
              <w:spacing w:after="0"/>
              <w:rPr>
                <w:sz w:val="12"/>
                <w:szCs w:val="12"/>
                <w:color w:val="auto"/>
              </w:rPr>
            </w:pPr>
          </w:p>
        </w:tc>
        <w:tc>
          <w:tcPr>
            <w:tcW w:w="960" w:type="dxa"/>
            <w:vAlign w:val="bottom"/>
          </w:tcPr>
          <w:p>
            <w:pPr>
              <w:jc w:val="right"/>
              <w:ind w:right="57"/>
              <w:spacing w:after="0" w:line="142" w:lineRule="exact"/>
              <w:rPr>
                <w:sz w:val="20"/>
                <w:szCs w:val="20"/>
                <w:color w:val="auto"/>
              </w:rPr>
            </w:pPr>
            <w:r>
              <w:rPr>
                <w:rFonts w:ascii="Arial" w:cs="Arial" w:eastAsia="Arial" w:hAnsi="Arial"/>
                <w:sz w:val="14"/>
                <w:szCs w:val="14"/>
                <w:color w:val="auto"/>
              </w:rPr>
              <w:t>2010</w:t>
            </w:r>
          </w:p>
        </w:tc>
        <w:tc>
          <w:tcPr>
            <w:tcW w:w="1160" w:type="dxa"/>
            <w:vAlign w:val="bottom"/>
          </w:tcPr>
          <w:p>
            <w:pPr>
              <w:jc w:val="right"/>
              <w:ind w:right="257"/>
              <w:spacing w:after="0" w:line="142" w:lineRule="exact"/>
              <w:rPr>
                <w:sz w:val="20"/>
                <w:szCs w:val="20"/>
                <w:color w:val="auto"/>
              </w:rPr>
            </w:pPr>
            <w:r>
              <w:rPr>
                <w:rFonts w:ascii="Arial" w:cs="Arial" w:eastAsia="Arial" w:hAnsi="Arial"/>
                <w:sz w:val="14"/>
                <w:szCs w:val="14"/>
                <w:color w:val="auto"/>
              </w:rPr>
              <w:t>2009</w:t>
            </w:r>
          </w:p>
        </w:tc>
        <w:tc>
          <w:tcPr>
            <w:tcW w:w="1160" w:type="dxa"/>
            <w:vAlign w:val="bottom"/>
          </w:tcPr>
          <w:p>
            <w:pPr>
              <w:jc w:val="right"/>
              <w:ind w:right="659"/>
              <w:spacing w:after="0" w:line="142"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275"/>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Video programming</w:t>
            </w:r>
          </w:p>
        </w:tc>
        <w:tc>
          <w:tcPr>
            <w:tcW w:w="9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$ 3,734</w:t>
            </w:r>
          </w:p>
        </w:tc>
        <w:tc>
          <w:tcPr>
            <w:tcW w:w="1160" w:type="dxa"/>
            <w:vAlign w:val="bottom"/>
            <w:tcBorders>
              <w:top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$ 3,533</w:t>
            </w:r>
          </w:p>
        </w:tc>
        <w:tc>
          <w:tcPr>
            <w:tcW w:w="1160" w:type="dxa"/>
            <w:vAlign w:val="bottom"/>
            <w:tcBorders>
              <w:top w:val="single" w:sz="8" w:color="auto"/>
            </w:tcBorders>
            <w:shd w:val="clear" w:color="auto" w:fill="E5E5E5"/>
          </w:tcPr>
          <w:p>
            <w:pPr>
              <w:jc w:val="right"/>
              <w:ind w:right="499"/>
              <w:spacing w:after="0"/>
              <w:rPr>
                <w:sz w:val="20"/>
                <w:szCs w:val="20"/>
                <w:color w:val="auto"/>
              </w:rPr>
            </w:pPr>
            <w:r>
              <w:rPr>
                <w:rFonts w:ascii="Arial" w:cs="Arial" w:eastAsia="Arial" w:hAnsi="Arial"/>
                <w:sz w:val="18"/>
                <w:szCs w:val="18"/>
                <w:color w:val="auto"/>
              </w:rPr>
              <w:t>$201</w:t>
            </w:r>
          </w:p>
        </w:tc>
        <w:tc>
          <w:tcPr>
            <w:tcW w:w="5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Technical labor</w:t>
            </w:r>
          </w:p>
        </w:tc>
        <w:tc>
          <w:tcPr>
            <w:tcW w:w="960" w:type="dxa"/>
            <w:vAlign w:val="bottom"/>
          </w:tcPr>
          <w:p>
            <w:pPr>
              <w:jc w:val="right"/>
              <w:spacing w:after="0"/>
              <w:rPr>
                <w:sz w:val="20"/>
                <w:szCs w:val="20"/>
                <w:color w:val="auto"/>
              </w:rPr>
            </w:pPr>
            <w:r>
              <w:rPr>
                <w:rFonts w:ascii="Arial" w:cs="Arial" w:eastAsia="Arial" w:hAnsi="Arial"/>
                <w:sz w:val="18"/>
                <w:szCs w:val="18"/>
                <w:color w:val="auto"/>
              </w:rPr>
              <w:t>1,102</w:t>
            </w:r>
          </w:p>
        </w:tc>
        <w:tc>
          <w:tcPr>
            <w:tcW w:w="1160" w:type="dxa"/>
            <w:vAlign w:val="bottom"/>
          </w:tcPr>
          <w:p>
            <w:pPr>
              <w:jc w:val="right"/>
              <w:ind w:right="137"/>
              <w:spacing w:after="0"/>
              <w:rPr>
                <w:sz w:val="20"/>
                <w:szCs w:val="20"/>
                <w:color w:val="auto"/>
              </w:rPr>
            </w:pPr>
            <w:r>
              <w:rPr>
                <w:rFonts w:ascii="Arial" w:cs="Arial" w:eastAsia="Arial" w:hAnsi="Arial"/>
                <w:sz w:val="18"/>
                <w:szCs w:val="18"/>
                <w:color w:val="auto"/>
              </w:rPr>
              <w:t>1,172</w:t>
            </w:r>
          </w:p>
        </w:tc>
        <w:tc>
          <w:tcPr>
            <w:tcW w:w="1160" w:type="dxa"/>
            <w:vAlign w:val="bottom"/>
          </w:tcPr>
          <w:p>
            <w:pPr>
              <w:jc w:val="right"/>
              <w:ind w:right="439"/>
              <w:spacing w:after="0"/>
              <w:rPr>
                <w:sz w:val="20"/>
                <w:szCs w:val="20"/>
                <w:color w:val="auto"/>
              </w:rPr>
            </w:pPr>
            <w:r>
              <w:rPr>
                <w:rFonts w:ascii="Arial" w:cs="Arial" w:eastAsia="Arial" w:hAnsi="Arial"/>
                <w:sz w:val="18"/>
                <w:szCs w:val="18"/>
                <w:color w:val="auto"/>
              </w:rPr>
              <w:t>(70)</w:t>
            </w:r>
          </w:p>
        </w:tc>
        <w:tc>
          <w:tcPr>
            <w:tcW w:w="560" w:type="dxa"/>
            <w:vAlign w:val="bottom"/>
          </w:tcPr>
          <w:p>
            <w:pPr>
              <w:jc w:val="right"/>
              <w:ind w:right="95"/>
              <w:spacing w:after="0"/>
              <w:rPr>
                <w:sz w:val="20"/>
                <w:szCs w:val="20"/>
                <w:color w:val="auto"/>
              </w:rPr>
            </w:pPr>
            <w:r>
              <w:rPr>
                <w:rFonts w:ascii="Arial" w:cs="Arial" w:eastAsia="Arial" w:hAnsi="Arial"/>
                <w:sz w:val="18"/>
                <w:szCs w:val="18"/>
                <w:color w:val="auto"/>
                <w:w w:val="97"/>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E5E5E5"/>
          </w:tcPr>
          <w:p>
            <w:pPr>
              <w:spacing w:after="0"/>
              <w:rPr>
                <w:sz w:val="20"/>
                <w:szCs w:val="20"/>
                <w:color w:val="auto"/>
              </w:rPr>
            </w:pPr>
            <w:r>
              <w:rPr>
                <w:rFonts w:ascii="Arial" w:cs="Arial" w:eastAsia="Arial" w:hAnsi="Arial"/>
                <w:sz w:val="18"/>
                <w:szCs w:val="18"/>
                <w:color w:val="auto"/>
              </w:rPr>
              <w:t>High-speed Internet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253</w:t>
            </w:r>
          </w:p>
        </w:tc>
        <w:tc>
          <w:tcPr>
            <w:tcW w:w="116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253</w:t>
            </w:r>
          </w:p>
        </w:tc>
        <w:tc>
          <w:tcPr>
            <w:tcW w:w="1160" w:type="dxa"/>
            <w:vAlign w:val="bottom"/>
            <w:shd w:val="clear" w:color="auto" w:fill="E5E5E5"/>
          </w:tcPr>
          <w:p>
            <w:pPr>
              <w:jc w:val="right"/>
              <w:ind w:right="499"/>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w w:val="97"/>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Phone</w:t>
            </w:r>
          </w:p>
        </w:tc>
        <w:tc>
          <w:tcPr>
            <w:tcW w:w="960" w:type="dxa"/>
            <w:vAlign w:val="bottom"/>
          </w:tcPr>
          <w:p>
            <w:pPr>
              <w:jc w:val="right"/>
              <w:spacing w:after="0"/>
              <w:rPr>
                <w:sz w:val="20"/>
                <w:szCs w:val="20"/>
                <w:color w:val="auto"/>
              </w:rPr>
            </w:pPr>
            <w:r>
              <w:rPr>
                <w:rFonts w:ascii="Arial" w:cs="Arial" w:eastAsia="Arial" w:hAnsi="Arial"/>
                <w:sz w:val="18"/>
                <w:szCs w:val="18"/>
                <w:color w:val="auto"/>
              </w:rPr>
              <w:t>286</w:t>
            </w:r>
          </w:p>
        </w:tc>
        <w:tc>
          <w:tcPr>
            <w:tcW w:w="1160" w:type="dxa"/>
            <w:vAlign w:val="bottom"/>
          </w:tcPr>
          <w:p>
            <w:pPr>
              <w:jc w:val="right"/>
              <w:ind w:right="137"/>
              <w:spacing w:after="0"/>
              <w:rPr>
                <w:sz w:val="20"/>
                <w:szCs w:val="20"/>
                <w:color w:val="auto"/>
              </w:rPr>
            </w:pPr>
            <w:r>
              <w:rPr>
                <w:rFonts w:ascii="Arial" w:cs="Arial" w:eastAsia="Arial" w:hAnsi="Arial"/>
                <w:sz w:val="18"/>
                <w:szCs w:val="18"/>
                <w:color w:val="auto"/>
              </w:rPr>
              <w:t>286</w:t>
            </w:r>
          </w:p>
        </w:tc>
        <w:tc>
          <w:tcPr>
            <w:tcW w:w="1160" w:type="dxa"/>
            <w:vAlign w:val="bottom"/>
          </w:tcPr>
          <w:p>
            <w:pPr>
              <w:jc w:val="right"/>
              <w:ind w:right="499"/>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5"/>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1,705</w:t>
            </w:r>
          </w:p>
        </w:tc>
        <w:tc>
          <w:tcPr>
            <w:tcW w:w="116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1,516</w:t>
            </w:r>
          </w:p>
        </w:tc>
        <w:tc>
          <w:tcPr>
            <w:tcW w:w="1160" w:type="dxa"/>
            <w:vAlign w:val="bottom"/>
            <w:tcBorders>
              <w:bottom w:val="single" w:sz="8" w:color="auto"/>
            </w:tcBorders>
            <w:shd w:val="clear" w:color="auto" w:fill="E5E5E5"/>
          </w:tcPr>
          <w:p>
            <w:pPr>
              <w:jc w:val="right"/>
              <w:ind w:right="499"/>
              <w:spacing w:after="0"/>
              <w:rPr>
                <w:sz w:val="20"/>
                <w:szCs w:val="20"/>
                <w:color w:val="auto"/>
              </w:rPr>
            </w:pPr>
            <w:r>
              <w:rPr>
                <w:rFonts w:ascii="Arial" w:cs="Arial" w:eastAsia="Arial" w:hAnsi="Arial"/>
                <w:sz w:val="18"/>
                <w:szCs w:val="18"/>
                <w:color w:val="auto"/>
              </w:rPr>
              <w:t>189</w:t>
            </w:r>
          </w:p>
        </w:tc>
        <w:tc>
          <w:tcPr>
            <w:tcW w:w="5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w w:val="91"/>
              </w:rPr>
              <w:t>12.4</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operating expenses</w:t>
            </w:r>
            <w:r>
              <w:rPr>
                <w:rFonts w:ascii="Arial" w:cs="Arial" w:eastAsia="Arial" w:hAnsi="Arial"/>
                <w:sz w:val="11"/>
                <w:szCs w:val="11"/>
                <w:b w:val="1"/>
                <w:bCs w:val="1"/>
                <w:color w:val="auto"/>
              </w:rPr>
              <w:t>(a)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$ 7,080</w:t>
            </w:r>
          </w:p>
        </w:tc>
        <w:tc>
          <w:tcPr>
            <w:tcW w:w="11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$ 6,760</w:t>
            </w: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8"/>
                <w:szCs w:val="18"/>
                <w:b w:val="1"/>
                <w:bCs w:val="1"/>
                <w:color w:val="auto"/>
              </w:rPr>
              <w:t>$320</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(a) Reclassifications have been made to the prior year’s amounts to conform to classifications used in 2010.</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Video programming expenses increased during the three and six months ended June 30, 2010 compared to the same periods in 2009 primarily due to rate increases and additional programming options offered. Technical labor expenses decreased during the three and six months ended June 30, 2010 compared to the same periods in 2009 primarily due to decreases in customer activity levels and operational efficiencies.</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High-speed Internet expenses and phone expenses include certain direct costs for providing these services but do not fully reflect the amount of operating expenses that would be necessary to provide these services on a stand-alone basis. Other related costs associated with providing these services are generally shared among all our cable services and are not allocated to these items. Other operating expenses increased during the three and six months ended June 30, 2010 compared to the same periods in 2009 primarily due to an increase in advertising activity, the continued expansion of commercial services and other service enhancement initiatives.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 Selling, General and Administrative Expenses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gridSpan w:val="3"/>
          </w:tcPr>
          <w:p>
            <w:pPr>
              <w:jc w:val="center"/>
              <w:ind w:right="216"/>
              <w:spacing w:after="0"/>
              <w:rPr>
                <w:sz w:val="20"/>
                <w:szCs w:val="20"/>
                <w:color w:val="auto"/>
              </w:rPr>
            </w:pPr>
            <w:r>
              <w:rPr>
                <w:rFonts w:ascii="Arial" w:cs="Arial" w:eastAsia="Arial" w:hAnsi="Arial"/>
                <w:sz w:val="14"/>
                <w:szCs w:val="14"/>
                <w:color w:val="auto"/>
                <w:w w:val="87"/>
              </w:rPr>
              <w:t>Three Months Ended</w:t>
            </w:r>
          </w:p>
        </w:tc>
        <w:tc>
          <w:tcPr>
            <w:tcW w:w="300" w:type="dxa"/>
            <w:vAlign w:val="bottom"/>
          </w:tcPr>
          <w:p>
            <w:pPr>
              <w:spacing w:after="0"/>
              <w:rPr>
                <w:sz w:val="14"/>
                <w:szCs w:val="14"/>
                <w:color w:val="auto"/>
              </w:rPr>
            </w:pPr>
          </w:p>
        </w:tc>
        <w:tc>
          <w:tcPr>
            <w:tcW w:w="860" w:type="dxa"/>
            <w:vAlign w:val="bottom"/>
          </w:tcPr>
          <w:p>
            <w:pPr>
              <w:jc w:val="center"/>
              <w:ind w:left="162"/>
              <w:spacing w:after="0"/>
              <w:rPr>
                <w:sz w:val="20"/>
                <w:szCs w:val="20"/>
                <w:color w:val="auto"/>
              </w:rPr>
            </w:pPr>
            <w:r>
              <w:rPr>
                <w:rFonts w:ascii="Arial" w:cs="Arial" w:eastAsia="Arial" w:hAnsi="Arial"/>
                <w:sz w:val="14"/>
                <w:szCs w:val="14"/>
                <w:color w:val="auto"/>
                <w:w w:val="86"/>
              </w:rPr>
              <w:t>Increase/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5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w w:val="84"/>
              </w:rPr>
              <w:t>June 30</w:t>
            </w:r>
          </w:p>
        </w:tc>
        <w:tc>
          <w:tcPr>
            <w:tcW w:w="6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left="162"/>
              <w:spacing w:after="0"/>
              <w:rPr>
                <w:sz w:val="20"/>
                <w:szCs w:val="20"/>
                <w:color w:val="auto"/>
              </w:rPr>
            </w:pPr>
            <w:r>
              <w:rPr>
                <w:rFonts w:ascii="Arial" w:cs="Arial" w:eastAsia="Arial" w:hAnsi="Arial"/>
                <w:sz w:val="14"/>
                <w:szCs w:val="14"/>
                <w:color w:val="auto"/>
                <w:w w:val="83"/>
              </w:rPr>
              <w:t>(Decrease)</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jc w:val="right"/>
              <w:ind w:right="59"/>
              <w:spacing w:after="0" w:line="142" w:lineRule="exact"/>
              <w:rPr>
                <w:sz w:val="20"/>
                <w:szCs w:val="20"/>
                <w:color w:val="auto"/>
              </w:rPr>
            </w:pPr>
            <w:r>
              <w:rPr>
                <w:rFonts w:ascii="Arial" w:cs="Arial" w:eastAsia="Arial" w:hAnsi="Arial"/>
                <w:sz w:val="14"/>
                <w:szCs w:val="14"/>
                <w:color w:val="auto"/>
                <w:w w:val="89"/>
              </w:rPr>
              <w:t>2010</w:t>
            </w:r>
          </w:p>
        </w:tc>
        <w:tc>
          <w:tcPr>
            <w:tcW w:w="520" w:type="dxa"/>
            <w:vAlign w:val="bottom"/>
          </w:tcPr>
          <w:p>
            <w:pPr>
              <w:spacing w:after="0"/>
              <w:rPr>
                <w:sz w:val="12"/>
                <w:szCs w:val="12"/>
                <w:color w:val="auto"/>
              </w:rPr>
            </w:pPr>
          </w:p>
        </w:tc>
        <w:tc>
          <w:tcPr>
            <w:tcW w:w="640" w:type="dxa"/>
            <w:vAlign w:val="bottom"/>
          </w:tcPr>
          <w:p>
            <w:pPr>
              <w:jc w:val="right"/>
              <w:ind w:right="256"/>
              <w:spacing w:after="0" w:line="142" w:lineRule="exact"/>
              <w:rPr>
                <w:sz w:val="20"/>
                <w:szCs w:val="20"/>
                <w:color w:val="auto"/>
              </w:rPr>
            </w:pPr>
            <w:r>
              <w:rPr>
                <w:rFonts w:ascii="Arial" w:cs="Arial" w:eastAsia="Arial" w:hAnsi="Arial"/>
                <w:sz w:val="14"/>
                <w:szCs w:val="14"/>
                <w:color w:val="auto"/>
                <w:w w:val="89"/>
              </w:rPr>
              <w:t>2009</w:t>
            </w:r>
          </w:p>
        </w:tc>
        <w:tc>
          <w:tcPr>
            <w:tcW w:w="300" w:type="dxa"/>
            <w:vAlign w:val="bottom"/>
          </w:tcPr>
          <w:p>
            <w:pPr>
              <w:spacing w:after="0"/>
              <w:rPr>
                <w:sz w:val="12"/>
                <w:szCs w:val="12"/>
                <w:color w:val="auto"/>
              </w:rPr>
            </w:pPr>
          </w:p>
        </w:tc>
        <w:tc>
          <w:tcPr>
            <w:tcW w:w="860" w:type="dxa"/>
            <w:vAlign w:val="bottom"/>
          </w:tcPr>
          <w:p>
            <w:pPr>
              <w:jc w:val="right"/>
              <w:ind w:right="642"/>
              <w:spacing w:after="0" w:line="142"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316"/>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Customer service</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446</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457</w:t>
            </w:r>
          </w:p>
        </w:tc>
        <w:tc>
          <w:tcPr>
            <w:tcW w:w="1160" w:type="dxa"/>
            <w:vAlign w:val="bottom"/>
            <w:tcBorders>
              <w:top w:val="single" w:sz="8" w:color="auto"/>
            </w:tcBorders>
            <w:gridSpan w:val="2"/>
            <w:shd w:val="clear" w:color="auto" w:fill="E5E5E5"/>
          </w:tcPr>
          <w:p>
            <w:pPr>
              <w:jc w:val="right"/>
              <w:ind w:right="442"/>
              <w:spacing w:after="0"/>
              <w:rPr>
                <w:sz w:val="20"/>
                <w:szCs w:val="20"/>
                <w:color w:val="auto"/>
              </w:rPr>
            </w:pPr>
            <w:r>
              <w:rPr>
                <w:rFonts w:ascii="Arial" w:cs="Arial" w:eastAsia="Arial" w:hAnsi="Arial"/>
                <w:sz w:val="18"/>
                <w:szCs w:val="18"/>
                <w:color w:val="auto"/>
              </w:rPr>
              <w:t>$ (11)</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4"/>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Marketing</w:t>
            </w:r>
          </w:p>
        </w:tc>
        <w:tc>
          <w:tcPr>
            <w:tcW w:w="5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453</w:t>
            </w:r>
          </w:p>
        </w:tc>
        <w:tc>
          <w:tcPr>
            <w:tcW w:w="520" w:type="dxa"/>
            <w:vAlign w:val="bottom"/>
          </w:tcPr>
          <w:p>
            <w:pPr>
              <w:spacing w:after="0"/>
              <w:rPr>
                <w:sz w:val="18"/>
                <w:szCs w:val="18"/>
                <w:color w:val="auto"/>
              </w:rPr>
            </w:pPr>
          </w:p>
        </w:tc>
        <w:tc>
          <w:tcPr>
            <w:tcW w:w="640" w:type="dxa"/>
            <w:vAlign w:val="bottom"/>
          </w:tcPr>
          <w:p>
            <w:pPr>
              <w:jc w:val="right"/>
              <w:ind w:right="116"/>
              <w:spacing w:after="0"/>
              <w:rPr>
                <w:sz w:val="20"/>
                <w:szCs w:val="20"/>
                <w:color w:val="auto"/>
              </w:rPr>
            </w:pPr>
            <w:r>
              <w:rPr>
                <w:rFonts w:ascii="Arial" w:cs="Arial" w:eastAsia="Arial" w:hAnsi="Arial"/>
                <w:sz w:val="18"/>
                <w:szCs w:val="18"/>
                <w:color w:val="auto"/>
              </w:rPr>
              <w:t>403</w:t>
            </w:r>
          </w:p>
        </w:tc>
        <w:tc>
          <w:tcPr>
            <w:tcW w:w="300" w:type="dxa"/>
            <w:vAlign w:val="bottom"/>
          </w:tcPr>
          <w:p>
            <w:pPr>
              <w:spacing w:after="0"/>
              <w:rPr>
                <w:sz w:val="18"/>
                <w:szCs w:val="18"/>
                <w:color w:val="auto"/>
              </w:rPr>
            </w:pPr>
          </w:p>
        </w:tc>
        <w:tc>
          <w:tcPr>
            <w:tcW w:w="860" w:type="dxa"/>
            <w:vAlign w:val="bottom"/>
          </w:tcPr>
          <w:p>
            <w:pPr>
              <w:jc w:val="right"/>
              <w:ind w:right="502"/>
              <w:spacing w:after="0"/>
              <w:rPr>
                <w:sz w:val="20"/>
                <w:szCs w:val="20"/>
                <w:color w:val="auto"/>
              </w:rPr>
            </w:pPr>
            <w:r>
              <w:rPr>
                <w:rFonts w:ascii="Arial" w:cs="Arial" w:eastAsia="Arial" w:hAnsi="Arial"/>
                <w:sz w:val="18"/>
                <w:szCs w:val="18"/>
                <w:color w:val="auto"/>
              </w:rPr>
              <w:t>50</w:t>
            </w:r>
          </w:p>
        </w:tc>
        <w:tc>
          <w:tcPr>
            <w:tcW w:w="580" w:type="dxa"/>
            <w:vAlign w:val="bottom"/>
          </w:tcPr>
          <w:p>
            <w:pPr>
              <w:jc w:val="right"/>
              <w:ind w:right="176"/>
              <w:spacing w:after="0"/>
              <w:rPr>
                <w:sz w:val="20"/>
                <w:szCs w:val="20"/>
                <w:color w:val="auto"/>
              </w:rPr>
            </w:pPr>
            <w:r>
              <w:rPr>
                <w:rFonts w:ascii="Arial" w:cs="Arial" w:eastAsia="Arial" w:hAnsi="Arial"/>
                <w:sz w:val="18"/>
                <w:szCs w:val="18"/>
                <w:color w:val="auto"/>
                <w:w w:val="85"/>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Administrative and other</w:t>
            </w:r>
          </w:p>
        </w:tc>
        <w:tc>
          <w:tcPr>
            <w:tcW w:w="50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771</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772</w:t>
            </w:r>
          </w:p>
        </w:tc>
        <w:tc>
          <w:tcPr>
            <w:tcW w:w="3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442"/>
              <w:spacing w:after="0"/>
              <w:rPr>
                <w:sz w:val="20"/>
                <w:szCs w:val="20"/>
                <w:color w:val="auto"/>
              </w:rPr>
            </w:pPr>
            <w:r>
              <w:rPr>
                <w:rFonts w:ascii="Arial" w:cs="Arial" w:eastAsia="Arial" w:hAnsi="Arial"/>
                <w:sz w:val="18"/>
                <w:szCs w:val="18"/>
                <w:color w:val="auto"/>
              </w:rPr>
              <w:t>(1)</w:t>
            </w:r>
          </w:p>
        </w:tc>
        <w:tc>
          <w:tcPr>
            <w:tcW w:w="58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selling, general and administrative expenses</w:t>
            </w:r>
            <w:r>
              <w:rPr>
                <w:rFonts w:ascii="Arial" w:cs="Arial" w:eastAsia="Arial" w:hAnsi="Arial"/>
                <w:sz w:val="11"/>
                <w:szCs w:val="11"/>
                <w:b w:val="1"/>
                <w:bCs w:val="1"/>
                <w:color w:val="auto"/>
              </w:rPr>
              <w:t>(a)</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1,670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w w:val="93"/>
              </w:rPr>
              <w:t>1,632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502"/>
              <w:spacing w:after="0"/>
              <w:rPr>
                <w:sz w:val="20"/>
                <w:szCs w:val="20"/>
                <w:color w:val="auto"/>
              </w:rPr>
            </w:pPr>
            <w:r>
              <w:rPr>
                <w:rFonts w:ascii="Arial" w:cs="Arial" w:eastAsia="Arial" w:hAnsi="Arial"/>
                <w:sz w:val="18"/>
                <w:szCs w:val="18"/>
                <w:b w:val="1"/>
                <w:bCs w:val="1"/>
                <w:color w:val="auto"/>
              </w:rPr>
              <w:t>38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7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0" w:type="dxa"/>
            <w:vAlign w:val="bottom"/>
            <w:gridSpan w:val="3"/>
          </w:tcPr>
          <w:p>
            <w:pPr>
              <w:jc w:val="center"/>
              <w:ind w:right="236"/>
              <w:spacing w:after="0"/>
              <w:rPr>
                <w:sz w:val="20"/>
                <w:szCs w:val="20"/>
                <w:color w:val="auto"/>
              </w:rPr>
            </w:pPr>
            <w:r>
              <w:rPr>
                <w:rFonts w:ascii="Arial" w:cs="Arial" w:eastAsia="Arial" w:hAnsi="Arial"/>
                <w:sz w:val="14"/>
                <w:szCs w:val="14"/>
                <w:color w:val="auto"/>
                <w:w w:val="87"/>
              </w:rPr>
              <w:t>Six Months Ended</w:t>
            </w:r>
          </w:p>
        </w:tc>
        <w:tc>
          <w:tcPr>
            <w:tcW w:w="300" w:type="dxa"/>
            <w:vAlign w:val="bottom"/>
          </w:tcPr>
          <w:p>
            <w:pPr>
              <w:spacing w:after="0"/>
              <w:rPr>
                <w:sz w:val="23"/>
                <w:szCs w:val="23"/>
                <w:color w:val="auto"/>
              </w:rPr>
            </w:pPr>
          </w:p>
        </w:tc>
        <w:tc>
          <w:tcPr>
            <w:tcW w:w="860" w:type="dxa"/>
            <w:vAlign w:val="bottom"/>
          </w:tcPr>
          <w:p>
            <w:pPr>
              <w:jc w:val="center"/>
              <w:ind w:left="162"/>
              <w:spacing w:after="0"/>
              <w:rPr>
                <w:sz w:val="20"/>
                <w:szCs w:val="20"/>
                <w:color w:val="auto"/>
              </w:rPr>
            </w:pPr>
            <w:r>
              <w:rPr>
                <w:rFonts w:ascii="Arial" w:cs="Arial" w:eastAsia="Arial" w:hAnsi="Arial"/>
                <w:sz w:val="14"/>
                <w:szCs w:val="14"/>
                <w:color w:val="auto"/>
                <w:w w:val="86"/>
              </w:rPr>
              <w:t>Increase/</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75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w w:val="84"/>
              </w:rPr>
              <w:t>June 30</w:t>
            </w:r>
          </w:p>
        </w:tc>
        <w:tc>
          <w:tcPr>
            <w:tcW w:w="6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left="162"/>
              <w:spacing w:after="0"/>
              <w:rPr>
                <w:sz w:val="20"/>
                <w:szCs w:val="20"/>
                <w:color w:val="auto"/>
              </w:rPr>
            </w:pPr>
            <w:r>
              <w:rPr>
                <w:rFonts w:ascii="Arial" w:cs="Arial" w:eastAsia="Arial" w:hAnsi="Arial"/>
                <w:sz w:val="14"/>
                <w:szCs w:val="14"/>
                <w:color w:val="auto"/>
                <w:w w:val="83"/>
              </w:rPr>
              <w:t>(Decrease)</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jc w:val="right"/>
              <w:ind w:right="59"/>
              <w:spacing w:after="0" w:line="142" w:lineRule="exact"/>
              <w:rPr>
                <w:sz w:val="20"/>
                <w:szCs w:val="20"/>
                <w:color w:val="auto"/>
              </w:rPr>
            </w:pPr>
            <w:r>
              <w:rPr>
                <w:rFonts w:ascii="Arial" w:cs="Arial" w:eastAsia="Arial" w:hAnsi="Arial"/>
                <w:sz w:val="14"/>
                <w:szCs w:val="14"/>
                <w:color w:val="auto"/>
                <w:w w:val="89"/>
              </w:rPr>
              <w:t>2010</w:t>
            </w:r>
          </w:p>
        </w:tc>
        <w:tc>
          <w:tcPr>
            <w:tcW w:w="520" w:type="dxa"/>
            <w:vAlign w:val="bottom"/>
          </w:tcPr>
          <w:p>
            <w:pPr>
              <w:spacing w:after="0"/>
              <w:rPr>
                <w:sz w:val="12"/>
                <w:szCs w:val="12"/>
                <w:color w:val="auto"/>
              </w:rPr>
            </w:pPr>
          </w:p>
        </w:tc>
        <w:tc>
          <w:tcPr>
            <w:tcW w:w="640" w:type="dxa"/>
            <w:vAlign w:val="bottom"/>
          </w:tcPr>
          <w:p>
            <w:pPr>
              <w:jc w:val="right"/>
              <w:ind w:right="256"/>
              <w:spacing w:after="0" w:line="142" w:lineRule="exact"/>
              <w:rPr>
                <w:sz w:val="20"/>
                <w:szCs w:val="20"/>
                <w:color w:val="auto"/>
              </w:rPr>
            </w:pPr>
            <w:r>
              <w:rPr>
                <w:rFonts w:ascii="Arial" w:cs="Arial" w:eastAsia="Arial" w:hAnsi="Arial"/>
                <w:sz w:val="14"/>
                <w:szCs w:val="14"/>
                <w:color w:val="auto"/>
                <w:w w:val="89"/>
              </w:rPr>
              <w:t>2009</w:t>
            </w:r>
          </w:p>
        </w:tc>
        <w:tc>
          <w:tcPr>
            <w:tcW w:w="300" w:type="dxa"/>
            <w:vAlign w:val="bottom"/>
          </w:tcPr>
          <w:p>
            <w:pPr>
              <w:spacing w:after="0"/>
              <w:rPr>
                <w:sz w:val="12"/>
                <w:szCs w:val="12"/>
                <w:color w:val="auto"/>
              </w:rPr>
            </w:pPr>
          </w:p>
        </w:tc>
        <w:tc>
          <w:tcPr>
            <w:tcW w:w="860" w:type="dxa"/>
            <w:vAlign w:val="bottom"/>
          </w:tcPr>
          <w:p>
            <w:pPr>
              <w:jc w:val="right"/>
              <w:ind w:right="642"/>
              <w:spacing w:after="0" w:line="142"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316"/>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Customer service</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895</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931</w:t>
            </w:r>
          </w:p>
        </w:tc>
        <w:tc>
          <w:tcPr>
            <w:tcW w:w="1160" w:type="dxa"/>
            <w:vAlign w:val="bottom"/>
            <w:tcBorders>
              <w:top w:val="single" w:sz="8" w:color="auto"/>
            </w:tcBorders>
            <w:gridSpan w:val="2"/>
            <w:shd w:val="clear" w:color="auto" w:fill="E5E5E5"/>
          </w:tcPr>
          <w:p>
            <w:pPr>
              <w:jc w:val="right"/>
              <w:ind w:right="442"/>
              <w:spacing w:after="0"/>
              <w:rPr>
                <w:sz w:val="20"/>
                <w:szCs w:val="20"/>
                <w:color w:val="auto"/>
              </w:rPr>
            </w:pPr>
            <w:r>
              <w:rPr>
                <w:rFonts w:ascii="Arial" w:cs="Arial" w:eastAsia="Arial" w:hAnsi="Arial"/>
                <w:sz w:val="18"/>
                <w:szCs w:val="18"/>
                <w:color w:val="auto"/>
              </w:rPr>
              <w:t>$ (36)</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4"/>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Marketing</w:t>
            </w:r>
          </w:p>
        </w:tc>
        <w:tc>
          <w:tcPr>
            <w:tcW w:w="5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882</w:t>
            </w:r>
          </w:p>
        </w:tc>
        <w:tc>
          <w:tcPr>
            <w:tcW w:w="520" w:type="dxa"/>
            <w:vAlign w:val="bottom"/>
          </w:tcPr>
          <w:p>
            <w:pPr>
              <w:spacing w:after="0"/>
              <w:rPr>
                <w:sz w:val="18"/>
                <w:szCs w:val="18"/>
                <w:color w:val="auto"/>
              </w:rPr>
            </w:pPr>
          </w:p>
        </w:tc>
        <w:tc>
          <w:tcPr>
            <w:tcW w:w="640" w:type="dxa"/>
            <w:vAlign w:val="bottom"/>
          </w:tcPr>
          <w:p>
            <w:pPr>
              <w:jc w:val="right"/>
              <w:ind w:right="116"/>
              <w:spacing w:after="0"/>
              <w:rPr>
                <w:sz w:val="20"/>
                <w:szCs w:val="20"/>
                <w:color w:val="auto"/>
              </w:rPr>
            </w:pPr>
            <w:r>
              <w:rPr>
                <w:rFonts w:ascii="Arial" w:cs="Arial" w:eastAsia="Arial" w:hAnsi="Arial"/>
                <w:sz w:val="18"/>
                <w:szCs w:val="18"/>
                <w:color w:val="auto"/>
              </w:rPr>
              <w:t>773</w:t>
            </w:r>
          </w:p>
        </w:tc>
        <w:tc>
          <w:tcPr>
            <w:tcW w:w="300" w:type="dxa"/>
            <w:vAlign w:val="bottom"/>
          </w:tcPr>
          <w:p>
            <w:pPr>
              <w:spacing w:after="0"/>
              <w:rPr>
                <w:sz w:val="18"/>
                <w:szCs w:val="18"/>
                <w:color w:val="auto"/>
              </w:rPr>
            </w:pPr>
          </w:p>
        </w:tc>
        <w:tc>
          <w:tcPr>
            <w:tcW w:w="860" w:type="dxa"/>
            <w:vAlign w:val="bottom"/>
          </w:tcPr>
          <w:p>
            <w:pPr>
              <w:jc w:val="right"/>
              <w:ind w:right="502"/>
              <w:spacing w:after="0"/>
              <w:rPr>
                <w:sz w:val="20"/>
                <w:szCs w:val="20"/>
                <w:color w:val="auto"/>
              </w:rPr>
            </w:pPr>
            <w:r>
              <w:rPr>
                <w:rFonts w:ascii="Arial" w:cs="Arial" w:eastAsia="Arial" w:hAnsi="Arial"/>
                <w:sz w:val="18"/>
                <w:szCs w:val="18"/>
                <w:color w:val="auto"/>
                <w:w w:val="86"/>
              </w:rPr>
              <w:t>109</w:t>
            </w:r>
          </w:p>
        </w:tc>
        <w:tc>
          <w:tcPr>
            <w:tcW w:w="580" w:type="dxa"/>
            <w:vAlign w:val="bottom"/>
          </w:tcPr>
          <w:p>
            <w:pPr>
              <w:jc w:val="right"/>
              <w:ind w:right="176"/>
              <w:spacing w:after="0"/>
              <w:rPr>
                <w:sz w:val="20"/>
                <w:szCs w:val="20"/>
                <w:color w:val="auto"/>
              </w:rPr>
            </w:pPr>
            <w:r>
              <w:rPr>
                <w:rFonts w:ascii="Arial" w:cs="Arial" w:eastAsia="Arial" w:hAnsi="Arial"/>
                <w:sz w:val="18"/>
                <w:szCs w:val="18"/>
                <w:color w:val="auto"/>
                <w:w w:val="85"/>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Administrative and other</w:t>
            </w:r>
          </w:p>
        </w:tc>
        <w:tc>
          <w:tcPr>
            <w:tcW w:w="50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3"/>
              </w:rPr>
              <w:t>1,529</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w w:val="93"/>
              </w:rPr>
              <w:t>1,534</w:t>
            </w:r>
          </w:p>
        </w:tc>
        <w:tc>
          <w:tcPr>
            <w:tcW w:w="3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442"/>
              <w:spacing w:after="0"/>
              <w:rPr>
                <w:sz w:val="20"/>
                <w:szCs w:val="20"/>
                <w:color w:val="auto"/>
              </w:rPr>
            </w:pPr>
            <w:r>
              <w:rPr>
                <w:rFonts w:ascii="Arial" w:cs="Arial" w:eastAsia="Arial" w:hAnsi="Arial"/>
                <w:sz w:val="18"/>
                <w:szCs w:val="18"/>
                <w:color w:val="auto"/>
              </w:rPr>
              <w:t>(5)</w:t>
            </w:r>
          </w:p>
        </w:tc>
        <w:tc>
          <w:tcPr>
            <w:tcW w:w="58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w w:val="97"/>
              </w:rPr>
              <w:t>(0.4)</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selling, general and administrative expenses</w:t>
            </w:r>
            <w:r>
              <w:rPr>
                <w:rFonts w:ascii="Arial" w:cs="Arial" w:eastAsia="Arial" w:hAnsi="Arial"/>
                <w:sz w:val="11"/>
                <w:szCs w:val="11"/>
                <w:b w:val="1"/>
                <w:bCs w:val="1"/>
                <w:color w:val="auto"/>
              </w:rPr>
              <w:t>(a)</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3,306</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w w:val="93"/>
              </w:rPr>
              <w:t>3,238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502"/>
              <w:spacing w:after="0"/>
              <w:rPr>
                <w:sz w:val="20"/>
                <w:szCs w:val="20"/>
                <w:color w:val="auto"/>
              </w:rPr>
            </w:pPr>
            <w:r>
              <w:rPr>
                <w:rFonts w:ascii="Arial" w:cs="Arial" w:eastAsia="Arial" w:hAnsi="Arial"/>
                <w:sz w:val="18"/>
                <w:szCs w:val="18"/>
                <w:b w:val="1"/>
                <w:bCs w:val="1"/>
                <w:color w:val="auto"/>
              </w:rPr>
              <w:t>68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Reclassifications have been made to the prior year’s amounts to conform to classifications used in 2010.</w:t>
      </w:r>
    </w:p>
    <w:p>
      <w:pPr>
        <w:spacing w:after="0" w:line="11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Marketing expenses increased during the three and six months ended June 30, 2010 compared to the same periods in 2009 primarily due to an increase in direct sales efforts and additional marketing costs associated with attracting and retaining customers, including the launch of our XFINITY campaign.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Programming Segment Results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gridSpan w:val="3"/>
          </w:tcPr>
          <w:p>
            <w:pPr>
              <w:jc w:val="center"/>
              <w:ind w:right="257"/>
              <w:spacing w:after="0"/>
              <w:rPr>
                <w:sz w:val="20"/>
                <w:szCs w:val="20"/>
                <w:color w:val="auto"/>
              </w:rPr>
            </w:pPr>
            <w:r>
              <w:rPr>
                <w:rFonts w:ascii="Arial" w:cs="Arial" w:eastAsia="Arial" w:hAnsi="Arial"/>
                <w:sz w:val="14"/>
                <w:szCs w:val="14"/>
                <w:color w:val="auto"/>
                <w:w w:val="87"/>
              </w:rPr>
              <w:t>Three Months Ended</w:t>
            </w:r>
          </w:p>
        </w:tc>
        <w:tc>
          <w:tcPr>
            <w:tcW w:w="1040" w:type="dxa"/>
            <w:vAlign w:val="bottom"/>
          </w:tcPr>
          <w:p>
            <w:pPr>
              <w:jc w:val="center"/>
              <w:ind w:left="442"/>
              <w:spacing w:after="0"/>
              <w:rPr>
                <w:sz w:val="20"/>
                <w:szCs w:val="20"/>
                <w:color w:val="auto"/>
              </w:rPr>
            </w:pPr>
            <w:r>
              <w:rPr>
                <w:rFonts w:ascii="Arial" w:cs="Arial" w:eastAsia="Arial" w:hAnsi="Arial"/>
                <w:sz w:val="14"/>
                <w:szCs w:val="14"/>
                <w:color w:val="auto"/>
                <w:w w:val="83"/>
              </w:rPr>
              <w:t>Increase/</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7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39"/>
              <w:spacing w:after="0" w:line="159" w:lineRule="exact"/>
              <w:rPr>
                <w:sz w:val="20"/>
                <w:szCs w:val="20"/>
                <w:color w:val="auto"/>
              </w:rPr>
            </w:pPr>
            <w:r>
              <w:rPr>
                <w:rFonts w:ascii="Arial" w:cs="Arial" w:eastAsia="Arial" w:hAnsi="Arial"/>
                <w:sz w:val="14"/>
                <w:szCs w:val="14"/>
                <w:color w:val="auto"/>
                <w:w w:val="84"/>
              </w:rPr>
              <w:t>June 30</w:t>
            </w:r>
          </w:p>
        </w:tc>
        <w:tc>
          <w:tcPr>
            <w:tcW w:w="6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42"/>
        </w:trPr>
        <w:tc>
          <w:tcPr>
            <w:tcW w:w="77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jc w:val="right"/>
              <w:ind w:right="60"/>
              <w:spacing w:after="0" w:line="142" w:lineRule="exact"/>
              <w:rPr>
                <w:sz w:val="20"/>
                <w:szCs w:val="20"/>
                <w:color w:val="auto"/>
              </w:rPr>
            </w:pPr>
            <w:r>
              <w:rPr>
                <w:rFonts w:ascii="Arial" w:cs="Arial" w:eastAsia="Arial" w:hAnsi="Arial"/>
                <w:sz w:val="14"/>
                <w:szCs w:val="14"/>
                <w:color w:val="auto"/>
                <w:w w:val="83"/>
              </w:rPr>
              <w:t>2010</w:t>
            </w:r>
          </w:p>
        </w:tc>
        <w:tc>
          <w:tcPr>
            <w:tcW w:w="540" w:type="dxa"/>
            <w:vAlign w:val="bottom"/>
          </w:tcPr>
          <w:p>
            <w:pPr>
              <w:spacing w:after="0"/>
              <w:rPr>
                <w:sz w:val="12"/>
                <w:szCs w:val="12"/>
                <w:color w:val="auto"/>
              </w:rPr>
            </w:pPr>
          </w:p>
        </w:tc>
        <w:tc>
          <w:tcPr>
            <w:tcW w:w="640" w:type="dxa"/>
            <w:vAlign w:val="bottom"/>
          </w:tcPr>
          <w:p>
            <w:pPr>
              <w:jc w:val="right"/>
              <w:ind w:right="277"/>
              <w:spacing w:after="0" w:line="142" w:lineRule="exact"/>
              <w:rPr>
                <w:sz w:val="20"/>
                <w:szCs w:val="20"/>
                <w:color w:val="auto"/>
              </w:rPr>
            </w:pPr>
            <w:r>
              <w:rPr>
                <w:rFonts w:ascii="Arial" w:cs="Arial" w:eastAsia="Arial" w:hAnsi="Arial"/>
                <w:sz w:val="14"/>
                <w:szCs w:val="14"/>
                <w:color w:val="auto"/>
                <w:w w:val="83"/>
              </w:rPr>
              <w:t>2009</w:t>
            </w:r>
          </w:p>
        </w:tc>
        <w:tc>
          <w:tcPr>
            <w:tcW w:w="1040" w:type="dxa"/>
            <w:vAlign w:val="bottom"/>
          </w:tcPr>
          <w:p>
            <w:pPr>
              <w:jc w:val="right"/>
              <w:ind w:right="562"/>
              <w:spacing w:after="0" w:line="142"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27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454</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384</w:t>
            </w:r>
          </w:p>
        </w:tc>
        <w:tc>
          <w:tcPr>
            <w:tcW w:w="1040" w:type="dxa"/>
            <w:vAlign w:val="bottom"/>
            <w:tcBorders>
              <w:top w:val="single" w:sz="8" w:color="auto"/>
            </w:tcBorders>
            <w:shd w:val="clear" w:color="auto" w:fill="E5E5E5"/>
          </w:tcPr>
          <w:p>
            <w:pPr>
              <w:jc w:val="right"/>
              <w:ind w:right="422"/>
              <w:spacing w:after="0"/>
              <w:rPr>
                <w:sz w:val="20"/>
                <w:szCs w:val="20"/>
                <w:color w:val="auto"/>
              </w:rPr>
            </w:pPr>
            <w:r>
              <w:rPr>
                <w:rFonts w:ascii="Arial" w:cs="Arial" w:eastAsia="Arial" w:hAnsi="Arial"/>
                <w:sz w:val="18"/>
                <w:szCs w:val="18"/>
                <w:color w:val="auto"/>
              </w:rPr>
              <w:t>$ 70</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6"/>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selling, general and administrative</w:t>
            </w:r>
          </w:p>
        </w:tc>
        <w:tc>
          <w:tcPr>
            <w:tcW w:w="5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271</w:t>
            </w:r>
          </w:p>
        </w:tc>
        <w:tc>
          <w:tcPr>
            <w:tcW w:w="1040" w:type="dxa"/>
            <w:vAlign w:val="bottom"/>
            <w:tcBorders>
              <w:bottom w:val="single" w:sz="8" w:color="auto"/>
            </w:tcBorders>
          </w:tcPr>
          <w:p>
            <w:pPr>
              <w:jc w:val="right"/>
              <w:ind w:right="422"/>
              <w:spacing w:after="0"/>
              <w:rPr>
                <w:sz w:val="20"/>
                <w:szCs w:val="20"/>
                <w:color w:val="auto"/>
              </w:rPr>
            </w:pPr>
            <w:r>
              <w:rPr>
                <w:rFonts w:ascii="Arial" w:cs="Arial" w:eastAsia="Arial" w:hAnsi="Arial"/>
                <w:sz w:val="18"/>
                <w:szCs w:val="18"/>
                <w:color w:val="auto"/>
              </w:rPr>
              <w:t>31</w:t>
            </w: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w w:val="85"/>
              </w:rPr>
              <w:t>11.3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152</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b w:val="1"/>
                <w:bCs w:val="1"/>
                <w:color w:val="auto"/>
              </w:rPr>
              <w:t>113</w:t>
            </w:r>
          </w:p>
        </w:tc>
        <w:tc>
          <w:tcPr>
            <w:tcW w:w="1040" w:type="dxa"/>
            <w:vAlign w:val="bottom"/>
            <w:tcBorders>
              <w:bottom w:val="single" w:sz="8" w:color="auto"/>
            </w:tcBorders>
            <w:shd w:val="clear" w:color="auto" w:fill="E5E5E5"/>
          </w:tcPr>
          <w:p>
            <w:pPr>
              <w:jc w:val="right"/>
              <w:ind w:right="422"/>
              <w:spacing w:after="0"/>
              <w:rPr>
                <w:sz w:val="20"/>
                <w:szCs w:val="20"/>
                <w:color w:val="auto"/>
              </w:rPr>
            </w:pPr>
            <w:r>
              <w:rPr>
                <w:rFonts w:ascii="Arial" w:cs="Arial" w:eastAsia="Arial" w:hAnsi="Arial"/>
                <w:sz w:val="18"/>
                <w:szCs w:val="18"/>
                <w:b w:val="1"/>
                <w:bCs w:val="1"/>
                <w:color w:val="auto"/>
              </w:rPr>
              <w:t>$ 39</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0"/>
              </w:rPr>
              <w:t>34.4%</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7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0" w:type="dxa"/>
            <w:vAlign w:val="bottom"/>
            <w:gridSpan w:val="3"/>
          </w:tcPr>
          <w:p>
            <w:pPr>
              <w:jc w:val="center"/>
              <w:ind w:right="237"/>
              <w:spacing w:after="0"/>
              <w:rPr>
                <w:sz w:val="20"/>
                <w:szCs w:val="20"/>
                <w:color w:val="auto"/>
              </w:rPr>
            </w:pPr>
            <w:r>
              <w:rPr>
                <w:rFonts w:ascii="Arial" w:cs="Arial" w:eastAsia="Arial" w:hAnsi="Arial"/>
                <w:sz w:val="14"/>
                <w:szCs w:val="14"/>
                <w:color w:val="auto"/>
                <w:w w:val="87"/>
              </w:rPr>
              <w:t>Six Months Ended</w:t>
            </w:r>
          </w:p>
        </w:tc>
        <w:tc>
          <w:tcPr>
            <w:tcW w:w="1040" w:type="dxa"/>
            <w:vAlign w:val="bottom"/>
          </w:tcPr>
          <w:p>
            <w:pPr>
              <w:jc w:val="center"/>
              <w:ind w:left="442"/>
              <w:spacing w:after="0"/>
              <w:rPr>
                <w:sz w:val="20"/>
                <w:szCs w:val="20"/>
                <w:color w:val="auto"/>
              </w:rPr>
            </w:pPr>
            <w:r>
              <w:rPr>
                <w:rFonts w:ascii="Arial" w:cs="Arial" w:eastAsia="Arial" w:hAnsi="Arial"/>
                <w:sz w:val="14"/>
                <w:szCs w:val="14"/>
                <w:color w:val="auto"/>
                <w:w w:val="83"/>
              </w:rPr>
              <w:t>Increase/</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77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color w:val="auto"/>
                <w:w w:val="84"/>
              </w:rPr>
              <w:t>June 30</w:t>
            </w:r>
          </w:p>
        </w:tc>
        <w:tc>
          <w:tcPr>
            <w:tcW w:w="6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42"/>
        </w:trPr>
        <w:tc>
          <w:tcPr>
            <w:tcW w:w="77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jc w:val="right"/>
              <w:ind w:right="60"/>
              <w:spacing w:after="0" w:line="142" w:lineRule="exact"/>
              <w:rPr>
                <w:sz w:val="20"/>
                <w:szCs w:val="20"/>
                <w:color w:val="auto"/>
              </w:rPr>
            </w:pPr>
            <w:r>
              <w:rPr>
                <w:rFonts w:ascii="Arial" w:cs="Arial" w:eastAsia="Arial" w:hAnsi="Arial"/>
                <w:sz w:val="14"/>
                <w:szCs w:val="14"/>
                <w:color w:val="auto"/>
                <w:w w:val="83"/>
              </w:rPr>
              <w:t>2010</w:t>
            </w:r>
          </w:p>
        </w:tc>
        <w:tc>
          <w:tcPr>
            <w:tcW w:w="540" w:type="dxa"/>
            <w:vAlign w:val="bottom"/>
          </w:tcPr>
          <w:p>
            <w:pPr>
              <w:spacing w:after="0"/>
              <w:rPr>
                <w:sz w:val="12"/>
                <w:szCs w:val="12"/>
                <w:color w:val="auto"/>
              </w:rPr>
            </w:pPr>
          </w:p>
        </w:tc>
        <w:tc>
          <w:tcPr>
            <w:tcW w:w="640" w:type="dxa"/>
            <w:vAlign w:val="bottom"/>
          </w:tcPr>
          <w:p>
            <w:pPr>
              <w:jc w:val="right"/>
              <w:ind w:right="277"/>
              <w:spacing w:after="0" w:line="142" w:lineRule="exact"/>
              <w:rPr>
                <w:sz w:val="20"/>
                <w:szCs w:val="20"/>
                <w:color w:val="auto"/>
              </w:rPr>
            </w:pPr>
            <w:r>
              <w:rPr>
                <w:rFonts w:ascii="Arial" w:cs="Arial" w:eastAsia="Arial" w:hAnsi="Arial"/>
                <w:sz w:val="14"/>
                <w:szCs w:val="14"/>
                <w:color w:val="auto"/>
                <w:w w:val="83"/>
              </w:rPr>
              <w:t>2009</w:t>
            </w:r>
          </w:p>
        </w:tc>
        <w:tc>
          <w:tcPr>
            <w:tcW w:w="1040" w:type="dxa"/>
            <w:vAlign w:val="bottom"/>
          </w:tcPr>
          <w:p>
            <w:pPr>
              <w:jc w:val="right"/>
              <w:ind w:right="562"/>
              <w:spacing w:after="0" w:line="142"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27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839</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745</w:t>
            </w:r>
          </w:p>
        </w:tc>
        <w:tc>
          <w:tcPr>
            <w:tcW w:w="1040" w:type="dxa"/>
            <w:vAlign w:val="bottom"/>
            <w:tcBorders>
              <w:top w:val="single" w:sz="8" w:color="auto"/>
            </w:tcBorders>
            <w:shd w:val="clear" w:color="auto" w:fill="E5E5E5"/>
          </w:tcPr>
          <w:p>
            <w:pPr>
              <w:jc w:val="right"/>
              <w:ind w:right="422"/>
              <w:spacing w:after="0"/>
              <w:rPr>
                <w:sz w:val="20"/>
                <w:szCs w:val="20"/>
                <w:color w:val="auto"/>
              </w:rPr>
            </w:pPr>
            <w:r>
              <w:rPr>
                <w:rFonts w:ascii="Arial" w:cs="Arial" w:eastAsia="Arial" w:hAnsi="Arial"/>
                <w:sz w:val="18"/>
                <w:szCs w:val="18"/>
                <w:color w:val="auto"/>
              </w:rPr>
              <w:t>$ 94</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6"/>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selling, general and administrative</w:t>
            </w:r>
          </w:p>
        </w:tc>
        <w:tc>
          <w:tcPr>
            <w:tcW w:w="5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520</w:t>
            </w:r>
          </w:p>
        </w:tc>
        <w:tc>
          <w:tcPr>
            <w:tcW w:w="1040" w:type="dxa"/>
            <w:vAlign w:val="bottom"/>
            <w:tcBorders>
              <w:bottom w:val="single" w:sz="8" w:color="auto"/>
            </w:tcBorders>
          </w:tcPr>
          <w:p>
            <w:pPr>
              <w:jc w:val="right"/>
              <w:ind w:right="422"/>
              <w:spacing w:after="0"/>
              <w:rPr>
                <w:sz w:val="20"/>
                <w:szCs w:val="20"/>
                <w:color w:val="auto"/>
              </w:rPr>
            </w:pPr>
            <w:r>
              <w:rPr>
                <w:rFonts w:ascii="Arial" w:cs="Arial" w:eastAsia="Arial" w:hAnsi="Arial"/>
                <w:sz w:val="18"/>
                <w:szCs w:val="18"/>
                <w:color w:val="auto"/>
              </w:rPr>
              <w:t>46</w:t>
            </w: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273</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b w:val="1"/>
                <w:bCs w:val="1"/>
                <w:color w:val="auto"/>
              </w:rPr>
              <w:t>225</w:t>
            </w:r>
          </w:p>
        </w:tc>
        <w:tc>
          <w:tcPr>
            <w:tcW w:w="1040" w:type="dxa"/>
            <w:vAlign w:val="bottom"/>
            <w:tcBorders>
              <w:bottom w:val="single" w:sz="8" w:color="auto"/>
            </w:tcBorders>
            <w:shd w:val="clear" w:color="auto" w:fill="E5E5E5"/>
          </w:tcPr>
          <w:p>
            <w:pPr>
              <w:jc w:val="right"/>
              <w:ind w:right="422"/>
              <w:spacing w:after="0"/>
              <w:rPr>
                <w:sz w:val="20"/>
                <w:szCs w:val="20"/>
                <w:color w:val="auto"/>
              </w:rPr>
            </w:pPr>
            <w:r>
              <w:rPr>
                <w:rFonts w:ascii="Arial" w:cs="Arial" w:eastAsia="Arial" w:hAnsi="Arial"/>
                <w:sz w:val="18"/>
                <w:szCs w:val="18"/>
                <w:b w:val="1"/>
                <w:bCs w:val="1"/>
                <w:color w:val="auto"/>
              </w:rPr>
              <w:t>$ 48</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0"/>
              </w:rPr>
              <w:t>21.5%</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 Segment Revenue</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Programming revenue increased during the three and six months ended June 30, 2010 compared to same periods in 2009 primarily due to growth in advertising revenue and programming license fee revenue. For each of the three and six months ended June 30, 2010 and 2009, advertising accounted for approximately 42% and 41%, respectively, of total Programming revenue. For the three and six months ended June 30, 2010, approximately 11% and 12%, respectively, of our Programming revenue was generated from our Cable segment. For both the three and six months ended June 30, 2009, approximately 12% of our Programming revenue was generated from our Cable segment. These amounts are eliminated in our consolidated financial statements but are included in the amounts presented above.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gridSpan w:val="3"/>
          </w:tcPr>
          <w:p>
            <w:pPr>
              <w:jc w:val="right"/>
              <w:ind w:right="436"/>
              <w:spacing w:after="0"/>
              <w:rPr>
                <w:sz w:val="20"/>
                <w:szCs w:val="20"/>
                <w:color w:val="auto"/>
              </w:rPr>
            </w:pPr>
            <w:r>
              <w:rPr>
                <w:rFonts w:ascii="Arial" w:cs="Arial" w:eastAsia="Arial" w:hAnsi="Arial"/>
                <w:sz w:val="14"/>
                <w:szCs w:val="14"/>
                <w:color w:val="auto"/>
                <w:w w:val="94"/>
              </w:rPr>
              <w:t>Three Months Ended</w:t>
            </w:r>
          </w:p>
        </w:tc>
        <w:tc>
          <w:tcPr>
            <w:tcW w:w="1980" w:type="dxa"/>
            <w:vAlign w:val="bottom"/>
            <w:gridSpan w:val="2"/>
          </w:tcPr>
          <w:p>
            <w:pPr>
              <w:jc w:val="right"/>
              <w:ind w:right="336"/>
              <w:spacing w:after="0"/>
              <w:rPr>
                <w:sz w:val="20"/>
                <w:szCs w:val="20"/>
                <w:color w:val="auto"/>
              </w:rPr>
            </w:pPr>
            <w:r>
              <w:rPr>
                <w:rFonts w:ascii="Arial" w:cs="Arial" w:eastAsia="Arial" w:hAnsi="Arial"/>
                <w:sz w:val="14"/>
                <w:szCs w:val="14"/>
                <w:color w:val="auto"/>
              </w:rPr>
              <w:t>Six Months Ended</w:t>
            </w:r>
          </w:p>
        </w:tc>
      </w:tr>
      <w:tr>
        <w:trPr>
          <w:trHeight w:val="172"/>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680" w:type="dxa"/>
            <w:vAlign w:val="bottom"/>
            <w:tcBorders>
              <w:bottom w:val="single" w:sz="8" w:color="auto"/>
            </w:tcBorders>
          </w:tcPr>
          <w:p>
            <w:pPr>
              <w:spacing w:after="0"/>
              <w:rPr>
                <w:sz w:val="14"/>
                <w:szCs w:val="14"/>
                <w:color w:val="auto"/>
              </w:rPr>
            </w:pPr>
          </w:p>
        </w:tc>
      </w:tr>
      <w:tr>
        <w:trPr>
          <w:trHeight w:val="143"/>
        </w:trPr>
        <w:tc>
          <w:tcPr>
            <w:tcW w:w="7120" w:type="dxa"/>
            <w:vAlign w:val="bottom"/>
            <w:gridSpan w:val="2"/>
          </w:tcPr>
          <w:p>
            <w:pPr>
              <w:spacing w:after="0" w:line="143" w:lineRule="exact"/>
              <w:rPr>
                <w:sz w:val="20"/>
                <w:szCs w:val="20"/>
                <w:color w:val="auto"/>
              </w:rPr>
            </w:pPr>
            <w:r>
              <w:rPr>
                <w:rFonts w:ascii="Arial" w:cs="Arial" w:eastAsia="Arial" w:hAnsi="Arial"/>
                <w:sz w:val="14"/>
                <w:szCs w:val="14"/>
                <w:color w:val="auto"/>
              </w:rPr>
              <w:t>(in millions)</w:t>
            </w:r>
          </w:p>
        </w:tc>
        <w:tc>
          <w:tcPr>
            <w:tcW w:w="540" w:type="dxa"/>
            <w:vAlign w:val="bottom"/>
          </w:tcPr>
          <w:p>
            <w:pPr>
              <w:spacing w:after="0"/>
              <w:rPr>
                <w:sz w:val="12"/>
                <w:szCs w:val="12"/>
                <w:color w:val="auto"/>
              </w:rPr>
            </w:pPr>
          </w:p>
        </w:tc>
        <w:tc>
          <w:tcPr>
            <w:tcW w:w="920" w:type="dxa"/>
            <w:vAlign w:val="bottom"/>
          </w:tcPr>
          <w:p>
            <w:pPr>
              <w:jc w:val="right"/>
              <w:ind w:right="560"/>
              <w:spacing w:after="0" w:line="143" w:lineRule="exact"/>
              <w:rPr>
                <w:sz w:val="20"/>
                <w:szCs w:val="20"/>
                <w:color w:val="auto"/>
              </w:rPr>
            </w:pPr>
            <w:r>
              <w:rPr>
                <w:rFonts w:ascii="Arial" w:cs="Arial" w:eastAsia="Arial" w:hAnsi="Arial"/>
                <w:sz w:val="14"/>
                <w:szCs w:val="14"/>
                <w:color w:val="auto"/>
                <w:w w:val="83"/>
              </w:rPr>
              <w:t>2010</w:t>
            </w:r>
          </w:p>
        </w:tc>
        <w:tc>
          <w:tcPr>
            <w:tcW w:w="140" w:type="dxa"/>
            <w:vAlign w:val="bottom"/>
          </w:tcPr>
          <w:p>
            <w:pPr>
              <w:spacing w:after="0"/>
              <w:rPr>
                <w:sz w:val="12"/>
                <w:szCs w:val="12"/>
                <w:color w:val="auto"/>
              </w:rPr>
            </w:pPr>
          </w:p>
        </w:tc>
        <w:tc>
          <w:tcPr>
            <w:tcW w:w="720" w:type="dxa"/>
            <w:vAlign w:val="bottom"/>
          </w:tcPr>
          <w:p>
            <w:pPr>
              <w:jc w:val="right"/>
              <w:ind w:right="336"/>
              <w:spacing w:after="0" w:line="143" w:lineRule="exact"/>
              <w:rPr>
                <w:sz w:val="20"/>
                <w:szCs w:val="20"/>
                <w:color w:val="auto"/>
              </w:rPr>
            </w:pPr>
            <w:r>
              <w:rPr>
                <w:rFonts w:ascii="Arial" w:cs="Arial" w:eastAsia="Arial" w:hAnsi="Arial"/>
                <w:sz w:val="14"/>
                <w:szCs w:val="14"/>
                <w:color w:val="auto"/>
                <w:w w:val="89"/>
              </w:rPr>
              <w:t>2009</w:t>
            </w:r>
          </w:p>
        </w:tc>
        <w:tc>
          <w:tcPr>
            <w:tcW w:w="1300" w:type="dxa"/>
            <w:vAlign w:val="bottom"/>
          </w:tcPr>
          <w:p>
            <w:pPr>
              <w:jc w:val="right"/>
              <w:ind w:right="580"/>
              <w:spacing w:after="0" w:line="143" w:lineRule="exact"/>
              <w:rPr>
                <w:sz w:val="20"/>
                <w:szCs w:val="20"/>
                <w:color w:val="auto"/>
              </w:rPr>
            </w:pPr>
            <w:r>
              <w:rPr>
                <w:rFonts w:ascii="Arial" w:cs="Arial" w:eastAsia="Arial" w:hAnsi="Arial"/>
                <w:sz w:val="14"/>
                <w:szCs w:val="14"/>
                <w:color w:val="auto"/>
              </w:rPr>
              <w:t>2010</w:t>
            </w:r>
          </w:p>
        </w:tc>
        <w:tc>
          <w:tcPr>
            <w:tcW w:w="680" w:type="dxa"/>
            <w:vAlign w:val="bottom"/>
          </w:tcPr>
          <w:p>
            <w:pPr>
              <w:jc w:val="right"/>
              <w:ind w:right="156"/>
              <w:spacing w:after="0" w:line="143" w:lineRule="exact"/>
              <w:rPr>
                <w:sz w:val="20"/>
                <w:szCs w:val="20"/>
                <w:color w:val="auto"/>
              </w:rPr>
            </w:pPr>
            <w:r>
              <w:rPr>
                <w:rFonts w:ascii="Arial" w:cs="Arial" w:eastAsia="Arial" w:hAnsi="Arial"/>
                <w:sz w:val="14"/>
                <w:szCs w:val="14"/>
                <w:color w:val="auto"/>
              </w:rPr>
              <w:t>2009</w:t>
            </w:r>
          </w:p>
        </w:tc>
      </w:tr>
      <w:tr>
        <w:trPr>
          <w:trHeight w:val="210"/>
        </w:trPr>
        <w:tc>
          <w:tcPr>
            <w:tcW w:w="20" w:type="dxa"/>
            <w:vAlign w:val="bottom"/>
          </w:tcPr>
          <w:p>
            <w:pPr>
              <w:spacing w:after="0"/>
              <w:rPr>
                <w:sz w:val="18"/>
                <w:szCs w:val="18"/>
                <w:color w:val="auto"/>
              </w:rPr>
            </w:pPr>
          </w:p>
        </w:tc>
        <w:tc>
          <w:tcPr>
            <w:tcW w:w="71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E5E5E5"/>
          </w:tcPr>
          <w:p>
            <w:pPr>
              <w:jc w:val="right"/>
              <w:ind w:right="360"/>
              <w:spacing w:after="0"/>
              <w:rPr>
                <w:sz w:val="20"/>
                <w:szCs w:val="20"/>
                <w:color w:val="auto"/>
              </w:rPr>
            </w:pPr>
            <w:r>
              <w:rPr>
                <w:rFonts w:ascii="Arial" w:cs="Arial" w:eastAsia="Arial" w:hAnsi="Arial"/>
                <w:sz w:val="18"/>
                <w:szCs w:val="18"/>
                <w:color w:val="auto"/>
              </w:rPr>
              <w:t>(543)</w:t>
            </w:r>
          </w:p>
        </w:tc>
        <w:tc>
          <w:tcPr>
            <w:tcW w:w="1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(551)</w:t>
            </w:r>
          </w:p>
        </w:tc>
        <w:tc>
          <w:tcPr>
            <w:tcW w:w="1300" w:type="dxa"/>
            <w:vAlign w:val="bottom"/>
            <w:tcBorders>
              <w:top w:val="single" w:sz="8" w:color="auto"/>
            </w:tcBorders>
            <w:shd w:val="clear" w:color="auto" w:fill="E5E5E5"/>
          </w:tcPr>
          <w:p>
            <w:pPr>
              <w:jc w:val="right"/>
              <w:ind w:right="360"/>
              <w:spacing w:after="0"/>
              <w:rPr>
                <w:sz w:val="20"/>
                <w:szCs w:val="20"/>
                <w:color w:val="auto"/>
              </w:rPr>
            </w:pPr>
            <w:r>
              <w:rPr>
                <w:rFonts w:ascii="Arial" w:cs="Arial" w:eastAsia="Arial" w:hAnsi="Arial"/>
                <w:sz w:val="18"/>
                <w:szCs w:val="18"/>
                <w:color w:val="auto"/>
              </w:rPr>
              <w:t>$(1,067)</w:t>
            </w:r>
          </w:p>
        </w:tc>
        <w:tc>
          <w:tcPr>
            <w:tcW w:w="6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2"/>
              </w:rPr>
              <w:t>$(1,121)</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Investment income (loss), net</w:t>
            </w:r>
          </w:p>
        </w:tc>
        <w:tc>
          <w:tcPr>
            <w:tcW w:w="540" w:type="dxa"/>
            <w:vAlign w:val="bottom"/>
          </w:tcPr>
          <w:p>
            <w:pPr>
              <w:spacing w:after="0"/>
              <w:rPr>
                <w:sz w:val="18"/>
                <w:szCs w:val="18"/>
                <w:color w:val="auto"/>
              </w:rPr>
            </w:pPr>
          </w:p>
        </w:tc>
        <w:tc>
          <w:tcPr>
            <w:tcW w:w="920" w:type="dxa"/>
            <w:vAlign w:val="bottom"/>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ind w:right="196"/>
              <w:spacing w:after="0"/>
              <w:rPr>
                <w:sz w:val="20"/>
                <w:szCs w:val="20"/>
                <w:color w:val="auto"/>
              </w:rPr>
            </w:pPr>
            <w:r>
              <w:rPr>
                <w:rFonts w:ascii="Arial" w:cs="Arial" w:eastAsia="Arial" w:hAnsi="Arial"/>
                <w:sz w:val="18"/>
                <w:szCs w:val="18"/>
                <w:color w:val="auto"/>
              </w:rPr>
              <w:t>57</w:t>
            </w:r>
          </w:p>
        </w:tc>
        <w:tc>
          <w:tcPr>
            <w:tcW w:w="1300" w:type="dxa"/>
            <w:vAlign w:val="bottom"/>
          </w:tcPr>
          <w:p>
            <w:pPr>
              <w:jc w:val="right"/>
              <w:ind w:right="420"/>
              <w:spacing w:after="0"/>
              <w:rPr>
                <w:sz w:val="20"/>
                <w:szCs w:val="20"/>
                <w:color w:val="auto"/>
              </w:rPr>
            </w:pPr>
            <w:r>
              <w:rPr>
                <w:rFonts w:ascii="Arial" w:cs="Arial" w:eastAsia="Arial" w:hAnsi="Arial"/>
                <w:sz w:val="18"/>
                <w:szCs w:val="18"/>
                <w:color w:val="auto"/>
              </w:rPr>
              <w:t>101</w:t>
            </w: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70</w:t>
            </w:r>
          </w:p>
        </w:tc>
      </w:tr>
      <w:tr>
        <w:trPr>
          <w:trHeight w:val="216"/>
        </w:trPr>
        <w:tc>
          <w:tcPr>
            <w:tcW w:w="20" w:type="dxa"/>
            <w:vAlign w:val="bottom"/>
          </w:tcPr>
          <w:p>
            <w:pPr>
              <w:spacing w:after="0"/>
              <w:rPr>
                <w:sz w:val="18"/>
                <w:szCs w:val="18"/>
                <w:color w:val="auto"/>
              </w:rPr>
            </w:pPr>
          </w:p>
        </w:tc>
        <w:tc>
          <w:tcPr>
            <w:tcW w:w="7100" w:type="dxa"/>
            <w:vAlign w:val="bottom"/>
            <w:shd w:val="clear" w:color="auto" w:fill="E5E5E5"/>
          </w:tcPr>
          <w:p>
            <w:pPr>
              <w:spacing w:after="0"/>
              <w:rPr>
                <w:sz w:val="20"/>
                <w:szCs w:val="20"/>
                <w:color w:val="auto"/>
              </w:rPr>
            </w:pPr>
            <w:r>
              <w:rPr>
                <w:rFonts w:ascii="Arial" w:cs="Arial" w:eastAsia="Arial" w:hAnsi="Arial"/>
                <w:sz w:val="18"/>
                <w:szCs w:val="18"/>
                <w:color w:val="auto"/>
              </w:rPr>
              <w:t>Equity in net (losses) income of affiliates, net</w:t>
            </w: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6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(13)</w:t>
            </w:r>
          </w:p>
        </w:tc>
        <w:tc>
          <w:tcPr>
            <w:tcW w:w="1300" w:type="dxa"/>
            <w:vAlign w:val="bottom"/>
            <w:shd w:val="clear" w:color="auto" w:fill="E5E5E5"/>
          </w:tcPr>
          <w:p>
            <w:pPr>
              <w:jc w:val="right"/>
              <w:ind w:right="360"/>
              <w:spacing w:after="0"/>
              <w:rPr>
                <w:sz w:val="20"/>
                <w:szCs w:val="20"/>
                <w:color w:val="auto"/>
              </w:rPr>
            </w:pPr>
            <w:r>
              <w:rPr>
                <w:rFonts w:ascii="Arial" w:cs="Arial" w:eastAsia="Arial" w:hAnsi="Arial"/>
                <w:sz w:val="18"/>
                <w:szCs w:val="18"/>
                <w:color w:val="auto"/>
              </w:rPr>
              <w:t>(58)</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12</w:t>
            </w:r>
          </w:p>
        </w:tc>
        <w:tc>
          <w:tcPr>
            <w:tcW w:w="1300" w:type="dxa"/>
            <w:vAlign w:val="bottom"/>
            <w:tcBorders>
              <w:bottom w:val="single" w:sz="8" w:color="auto"/>
            </w:tcBorders>
          </w:tcPr>
          <w:p>
            <w:pPr>
              <w:jc w:val="right"/>
              <w:ind w:right="360"/>
              <w:spacing w:after="0"/>
              <w:rPr>
                <w:sz w:val="20"/>
                <w:szCs w:val="20"/>
                <w:color w:val="auto"/>
              </w:rPr>
            </w:pPr>
            <w:r>
              <w:rPr>
                <w:rFonts w:ascii="Arial" w:cs="Arial" w:eastAsia="Arial" w:hAnsi="Arial"/>
                <w:sz w:val="18"/>
                <w:szCs w:val="18"/>
                <w:color w:val="auto"/>
              </w:rPr>
              <w:t>(45)</w:t>
            </w: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11</w:t>
            </w:r>
          </w:p>
        </w:tc>
      </w:tr>
      <w:tr>
        <w:trPr>
          <w:trHeight w:val="217"/>
        </w:trPr>
        <w:tc>
          <w:tcPr>
            <w:tcW w:w="20" w:type="dxa"/>
            <w:vAlign w:val="bottom"/>
          </w:tcPr>
          <w:p>
            <w:pPr>
              <w:spacing w:after="0"/>
              <w:rPr>
                <w:sz w:val="18"/>
                <w:szCs w:val="18"/>
                <w:color w:val="auto"/>
              </w:rPr>
            </w:pPr>
          </w:p>
        </w:tc>
        <w:tc>
          <w:tcPr>
            <w:tcW w:w="71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5E5E5"/>
          </w:tcPr>
          <w:p>
            <w:pPr>
              <w:jc w:val="right"/>
              <w:ind w:right="360"/>
              <w:spacing w:after="0"/>
              <w:rPr>
                <w:sz w:val="20"/>
                <w:szCs w:val="20"/>
                <w:color w:val="auto"/>
              </w:rPr>
            </w:pPr>
            <w:r>
              <w:rPr>
                <w:rFonts w:ascii="Arial" w:cs="Arial" w:eastAsia="Arial" w:hAnsi="Arial"/>
                <w:sz w:val="18"/>
                <w:szCs w:val="18"/>
                <w:b w:val="1"/>
                <w:bCs w:val="1"/>
                <w:color w:val="auto"/>
              </w:rPr>
              <w:t>(604)</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b w:val="1"/>
                <w:bCs w:val="1"/>
                <w:color w:val="auto"/>
              </w:rPr>
              <w:t>(495)</w:t>
            </w:r>
          </w:p>
        </w:tc>
        <w:tc>
          <w:tcPr>
            <w:tcW w:w="1300" w:type="dxa"/>
            <w:vAlign w:val="bottom"/>
            <w:tcBorders>
              <w:bottom w:val="single" w:sz="8" w:color="auto"/>
            </w:tcBorders>
            <w:shd w:val="clear" w:color="auto" w:fill="E5E5E5"/>
          </w:tcPr>
          <w:p>
            <w:pPr>
              <w:jc w:val="right"/>
              <w:ind w:right="360"/>
              <w:spacing w:after="0"/>
              <w:rPr>
                <w:sz w:val="20"/>
                <w:szCs w:val="20"/>
                <w:color w:val="auto"/>
              </w:rPr>
            </w:pPr>
            <w:r>
              <w:rPr>
                <w:rFonts w:ascii="Arial" w:cs="Arial" w:eastAsia="Arial" w:hAnsi="Arial"/>
                <w:sz w:val="18"/>
                <w:szCs w:val="18"/>
                <w:b w:val="1"/>
                <w:bCs w:val="1"/>
                <w:color w:val="auto"/>
              </w:rPr>
              <w:t>$(1,069)</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2"/>
              </w:rPr>
              <w:t>$(1,067)</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decrease in interest expense for the six months ended June 30, 2010 compared to the same period in 2009 was due to the decrease in our average debt outstanding and decreases in interest rates on debt subject to variable interest rate swap agreements.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components of investment income (loss), net for the three and six months ended June 30, 2010 and 2009 are presented in a table in Note 5 to our condensed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NBC Universal transaction, we agreed to share with GE certain financing and other costs associated with NBC Universal’s debt facilities entered into at the December 2009 agreement date and with NBC Universal’s April 2010 bond offering. Other income (expense) for the three and six months ended June 30, 2010 includes expenses for our share of these costs of $35 million and $48 million, respectively.</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 Expense</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Income tax expense for the three and six months ended June 30, 2010 and 2009 reflects an effective income tax rate that differs from the federal statutory rate primarily due to state income taxes and interest on uncertain tax positions. Income tax expense for the three and six months ended June 30, 2009 was reduced by approximately $137 million and $185 million, respectively, primarily due to the favorable settlements of uncertain tax positions and related interest. We expect our 2010 annual effective tax rate to be approximately 40%.</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anticipate that we will continue to use a substantial portion of our cash flows to fund our capital expenditures, to invest in business opportunities, to meet our debt repayment obligations and to return capital to shareholders.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Activities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180" w:type="dxa"/>
            <w:vAlign w:val="bottom"/>
            <w:gridSpan w:val="3"/>
          </w:tcPr>
          <w:p>
            <w:pPr>
              <w:jc w:val="right"/>
              <w:ind w:right="334"/>
              <w:spacing w:after="0"/>
              <w:rPr>
                <w:sz w:val="20"/>
                <w:szCs w:val="20"/>
                <w:color w:val="auto"/>
              </w:rPr>
            </w:pPr>
            <w:r>
              <w:rPr>
                <w:rFonts w:ascii="Arial" w:cs="Arial" w:eastAsia="Arial" w:hAnsi="Arial"/>
                <w:sz w:val="14"/>
                <w:szCs w:val="14"/>
                <w:color w:val="auto"/>
              </w:rPr>
              <w:t>Six Months Ended</w:t>
            </w:r>
          </w:p>
        </w:tc>
      </w:tr>
      <w:tr>
        <w:trPr>
          <w:trHeight w:val="172"/>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w w:val="80"/>
              </w:rPr>
              <w:t>June 30</w:t>
            </w:r>
          </w:p>
        </w:tc>
        <w:tc>
          <w:tcPr>
            <w:tcW w:w="560" w:type="dxa"/>
            <w:vAlign w:val="bottom"/>
            <w:tcBorders>
              <w:bottom w:val="single" w:sz="8" w:color="auto"/>
            </w:tcBorders>
          </w:tcPr>
          <w:p>
            <w:pPr>
              <w:spacing w:after="0"/>
              <w:rPr>
                <w:sz w:val="14"/>
                <w:szCs w:val="14"/>
                <w:color w:val="auto"/>
              </w:rPr>
            </w:pPr>
          </w:p>
        </w:tc>
      </w:tr>
      <w:tr>
        <w:trPr>
          <w:trHeight w:val="143"/>
        </w:trPr>
        <w:tc>
          <w:tcPr>
            <w:tcW w:w="9240" w:type="dxa"/>
            <w:vAlign w:val="bottom"/>
            <w:gridSpan w:val="2"/>
          </w:tcPr>
          <w:p>
            <w:pPr>
              <w:spacing w:after="0" w:line="143" w:lineRule="exact"/>
              <w:rPr>
                <w:sz w:val="20"/>
                <w:szCs w:val="20"/>
                <w:color w:val="auto"/>
              </w:rPr>
            </w:pPr>
            <w:r>
              <w:rPr>
                <w:rFonts w:ascii="Arial" w:cs="Arial" w:eastAsia="Arial" w:hAnsi="Arial"/>
                <w:sz w:val="14"/>
                <w:szCs w:val="14"/>
                <w:color w:val="auto"/>
              </w:rPr>
              <w:t>(in millions)</w:t>
            </w:r>
          </w:p>
        </w:tc>
        <w:tc>
          <w:tcPr>
            <w:tcW w:w="1040" w:type="dxa"/>
            <w:vAlign w:val="bottom"/>
          </w:tcPr>
          <w:p>
            <w:pPr>
              <w:jc w:val="right"/>
              <w:ind w:right="115"/>
              <w:spacing w:after="0" w:line="143" w:lineRule="exact"/>
              <w:rPr>
                <w:sz w:val="20"/>
                <w:szCs w:val="20"/>
                <w:color w:val="auto"/>
              </w:rPr>
            </w:pPr>
            <w:r>
              <w:rPr>
                <w:rFonts w:ascii="Arial" w:cs="Arial" w:eastAsia="Arial" w:hAnsi="Arial"/>
                <w:sz w:val="14"/>
                <w:szCs w:val="14"/>
                <w:color w:val="auto"/>
              </w:rPr>
              <w:t>2010</w:t>
            </w:r>
          </w:p>
        </w:tc>
        <w:tc>
          <w:tcPr>
            <w:tcW w:w="580" w:type="dxa"/>
            <w:vAlign w:val="bottom"/>
          </w:tcPr>
          <w:p>
            <w:pPr>
              <w:spacing w:after="0"/>
              <w:rPr>
                <w:sz w:val="12"/>
                <w:szCs w:val="12"/>
                <w:color w:val="auto"/>
              </w:rPr>
            </w:pPr>
          </w:p>
        </w:tc>
        <w:tc>
          <w:tcPr>
            <w:tcW w:w="560" w:type="dxa"/>
            <w:vAlign w:val="bottom"/>
          </w:tcPr>
          <w:p>
            <w:pPr>
              <w:jc w:val="right"/>
              <w:ind w:right="154"/>
              <w:spacing w:after="0" w:line="143" w:lineRule="exact"/>
              <w:rPr>
                <w:sz w:val="20"/>
                <w:szCs w:val="20"/>
                <w:color w:val="auto"/>
              </w:rPr>
            </w:pPr>
            <w:r>
              <w:rPr>
                <w:rFonts w:ascii="Arial" w:cs="Arial" w:eastAsia="Arial" w:hAnsi="Arial"/>
                <w:sz w:val="14"/>
                <w:szCs w:val="14"/>
                <w:color w:val="auto"/>
                <w:w w:val="96"/>
              </w:rPr>
              <w:t>2009</w:t>
            </w:r>
          </w:p>
        </w:tc>
      </w:tr>
      <w:tr>
        <w:trPr>
          <w:trHeight w:val="210"/>
        </w:trPr>
        <w:tc>
          <w:tcPr>
            <w:tcW w:w="20" w:type="dxa"/>
            <w:vAlign w:val="bottom"/>
          </w:tcPr>
          <w:p>
            <w:pPr>
              <w:spacing w:after="0"/>
              <w:rPr>
                <w:sz w:val="18"/>
                <w:szCs w:val="18"/>
                <w:color w:val="auto"/>
              </w:rPr>
            </w:pPr>
          </w:p>
        </w:tc>
        <w:tc>
          <w:tcPr>
            <w:tcW w:w="92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10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$ 4,013</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w w:val="97"/>
              </w:rPr>
              <w:t>3,686</w:t>
            </w: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3,289</w:t>
            </w: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7"/>
              </w:rPr>
              <w:t>3,293</w:t>
            </w:r>
          </w:p>
        </w:tc>
      </w:tr>
      <w:tr>
        <w:trPr>
          <w:trHeight w:val="210"/>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before depreciation and amortization</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7,302</w:t>
            </w:r>
          </w:p>
        </w:tc>
        <w:tc>
          <w:tcPr>
            <w:tcW w:w="5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97"/>
              </w:rPr>
              <w:t>6,979</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Noncash share-based compensation expense</w:t>
            </w:r>
          </w:p>
        </w:tc>
        <w:tc>
          <w:tcPr>
            <w:tcW w:w="1040" w:type="dxa"/>
            <w:vAlign w:val="bottom"/>
          </w:tcPr>
          <w:p>
            <w:pPr>
              <w:jc w:val="right"/>
              <w:spacing w:after="0"/>
              <w:rPr>
                <w:sz w:val="20"/>
                <w:szCs w:val="20"/>
                <w:color w:val="auto"/>
              </w:rPr>
            </w:pPr>
            <w:r>
              <w:rPr>
                <w:rFonts w:ascii="Arial" w:cs="Arial" w:eastAsia="Arial" w:hAnsi="Arial"/>
                <w:sz w:val="18"/>
                <w:szCs w:val="18"/>
                <w:color w:val="auto"/>
              </w:rPr>
              <w:t>153</w:t>
            </w:r>
          </w:p>
        </w:tc>
        <w:tc>
          <w:tcPr>
            <w:tcW w:w="580" w:type="dxa"/>
            <w:vAlign w:val="bottom"/>
          </w:tcPr>
          <w:p>
            <w:pPr>
              <w:spacing w:after="0"/>
              <w:rPr>
                <w:sz w:val="18"/>
                <w:szCs w:val="18"/>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121</w:t>
            </w: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Changes in operating assets and liabilities</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(70)</w:t>
            </w:r>
          </w:p>
        </w:tc>
        <w:tc>
          <w:tcPr>
            <w:tcW w:w="5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(236)</w:t>
            </w: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basis operating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7,385</w:t>
            </w:r>
          </w:p>
        </w:tc>
        <w:tc>
          <w:tcPr>
            <w:tcW w:w="580" w:type="dxa"/>
            <w:vAlign w:val="bottom"/>
          </w:tcPr>
          <w:p>
            <w:pPr>
              <w:spacing w:after="0"/>
              <w:rPr>
                <w:sz w:val="18"/>
                <w:szCs w:val="18"/>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6,864</w:t>
            </w: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(969)</w:t>
            </w:r>
          </w:p>
        </w:tc>
        <w:tc>
          <w:tcPr>
            <w:tcW w:w="5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(1,063)</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1040" w:type="dxa"/>
            <w:vAlign w:val="bottom"/>
          </w:tcPr>
          <w:p>
            <w:pPr>
              <w:jc w:val="right"/>
              <w:spacing w:after="0"/>
              <w:rPr>
                <w:sz w:val="20"/>
                <w:szCs w:val="20"/>
                <w:color w:val="auto"/>
              </w:rPr>
            </w:pPr>
            <w:r>
              <w:rPr>
                <w:rFonts w:ascii="Arial" w:cs="Arial" w:eastAsia="Arial" w:hAnsi="Arial"/>
                <w:sz w:val="18"/>
                <w:szCs w:val="18"/>
                <w:color w:val="auto"/>
              </w:rPr>
              <w:t>(1,126)</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(746)</w:t>
            </w: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Proceeds from interest, dividends and other nonoperating items</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w:t>
            </w:r>
          </w:p>
        </w:tc>
        <w:tc>
          <w:tcPr>
            <w:tcW w:w="5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Excess tax benefit under share-based compensation presented in financing activities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17"/>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$ 5,332</w:t>
            </w: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97"/>
              </w:rPr>
              <w:t>5,113</w:t>
            </w:r>
          </w:p>
        </w:tc>
      </w:tr>
    </w:tbl>
    <w:p>
      <w:pPr>
        <w:spacing w:after="0" w:line="5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decrease in interest payments during the six months ended June 30, 2010 compared to the same period in 2009 was primarily due to the effects of our debt repayments and decreases in interest rates on debt subject to variable interest rate swap agreements.</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income tax payments during the six months ended June 30, 2010 compared to the same period in 2009 was primarily due to higher 2010 taxable income and the reversal of the benefits from the 2008 and 2009 economic stimulus acts.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for the six months ended June 30, 2010 consisted primarily of capital expenditures of $2.1 billion, cash paid for intangible assets of $237 million and acquisitions of $183 million. Capital expenditures have been our most significant recurring investing activity and we expect that this will continue in the future.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Net cash provided by financing activities for the six months ended June 30, 2010 consisted primarily of proceeds from borrowings of $2.4 billion, partially offset by debt repurchases and repayments of $638 million, repurchases of our Class A Special common stock of $600 million and dividend payments of $ 535 million.</w:t>
      </w:r>
    </w:p>
    <w:p>
      <w:pPr>
        <w:spacing w:after="0" w:line="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of our outstanding public notes and debentures, depending on various factors, such as market conditions.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traditionally maintain significant availability under our lines of credit and our commercial paper program to meet our short-term liquidity requirements. As of June 30, 2010, amounts available under all of our credit facilities totaled approximately $6.4 billion.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the six months ended June 30, 2010, we repurchased 36.4 million shares of our Class A Special common stock under our share repurchase authorization for $600 million. As of June 30, 2010, we had $2.7 billion of availability remaining under our share repurchase authorization. We intend to complete repurchases under the current share repurchase authorization by the end of 2012, subject to market conditions.</w:t>
      </w:r>
    </w:p>
    <w:p>
      <w:pPr>
        <w:spacing w:after="0" w:line="12"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In February, May and July 2010, our Board of Directors approved a quarterly dividend of $0.0945 per share as part of our planned annual dividend of $0.378 per share. We expect to continue to pay quarterly dividends, although each dividend is subject to approval by our Board of Directors.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Dividends Declared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120" w:type="dxa"/>
            <w:vAlign w:val="bottom"/>
            <w:gridSpan w:val="2"/>
          </w:tcPr>
          <w:p>
            <w:pPr>
              <w:ind w:left="3300"/>
              <w:spacing w:after="0"/>
              <w:rPr>
                <w:sz w:val="20"/>
                <w:szCs w:val="20"/>
                <w:color w:val="auto"/>
              </w:rPr>
            </w:pPr>
            <w:r>
              <w:rPr>
                <w:rFonts w:ascii="Arial" w:cs="Arial" w:eastAsia="Arial" w:hAnsi="Arial"/>
                <w:sz w:val="14"/>
                <w:szCs w:val="14"/>
                <w:color w:val="auto"/>
              </w:rPr>
              <w:t>Amount</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Month of Payment</w:t>
            </w:r>
          </w:p>
        </w:tc>
      </w:tr>
      <w:tr>
        <w:trPr>
          <w:trHeight w:val="210"/>
        </w:trPr>
        <w:tc>
          <w:tcPr>
            <w:tcW w:w="20" w:type="dxa"/>
            <w:vAlign w:val="bottom"/>
          </w:tcPr>
          <w:p>
            <w:pPr>
              <w:spacing w:after="0"/>
              <w:rPr>
                <w:sz w:val="18"/>
                <w:szCs w:val="18"/>
                <w:color w:val="auto"/>
              </w:rPr>
            </w:pPr>
          </w:p>
        </w:tc>
        <w:tc>
          <w:tcPr>
            <w:tcW w:w="5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Three months ended March 31, 2010</w:t>
            </w:r>
          </w:p>
        </w:tc>
        <w:tc>
          <w:tcPr>
            <w:tcW w:w="3440" w:type="dxa"/>
            <w:vAlign w:val="bottom"/>
            <w:tcBorders>
              <w:top w:val="single" w:sz="8" w:color="auto"/>
            </w:tcBorders>
            <w:shd w:val="clear" w:color="auto" w:fill="E5E5E5"/>
          </w:tcPr>
          <w:p>
            <w:pPr>
              <w:ind w:left="330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272"/>
              <w:spacing w:after="0"/>
              <w:rPr>
                <w:sz w:val="20"/>
                <w:szCs w:val="20"/>
                <w:color w:val="auto"/>
              </w:rPr>
            </w:pPr>
            <w:r>
              <w:rPr>
                <w:rFonts w:ascii="Arial" w:cs="Arial" w:eastAsia="Arial" w:hAnsi="Arial"/>
                <w:sz w:val="18"/>
                <w:szCs w:val="18"/>
                <w:color w:val="auto"/>
                <w:w w:val="99"/>
              </w:rPr>
              <w:t>267</w:t>
            </w:r>
          </w:p>
        </w:tc>
        <w:tc>
          <w:tcPr>
            <w:tcW w:w="1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April</w:t>
            </w:r>
          </w:p>
        </w:tc>
        <w:tc>
          <w:tcPr>
            <w:tcW w:w="20" w:type="dxa"/>
            <w:vAlign w:val="bottom"/>
          </w:tcPr>
          <w:p>
            <w:pPr>
              <w:spacing w:after="0"/>
              <w:rPr>
                <w:sz w:val="18"/>
                <w:szCs w:val="18"/>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Three months ended June 30, 2010</w:t>
            </w:r>
          </w:p>
        </w:tc>
        <w:tc>
          <w:tcPr>
            <w:tcW w:w="3440" w:type="dxa"/>
            <w:vAlign w:val="bottom"/>
            <w:tcBorders>
              <w:bottom w:val="single" w:sz="8" w:color="auto"/>
            </w:tcBorders>
          </w:tcPr>
          <w:p>
            <w:pPr>
              <w:ind w:left="3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99"/>
              </w:rPr>
              <w:t>265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July</w:t>
            </w:r>
          </w:p>
        </w:tc>
        <w:tc>
          <w:tcPr>
            <w:tcW w:w="20" w:type="dxa"/>
            <w:vAlign w:val="bottom"/>
            <w:tcBorders>
              <w:bottom w:val="single" w:sz="8" w:color="auto"/>
            </w:tcBorders>
          </w:tcPr>
          <w:p>
            <w:pPr>
              <w:spacing w:after="0"/>
              <w:rPr>
                <w:sz w:val="18"/>
                <w:szCs w:val="18"/>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in July 2010 are expected to be paid in October 2010.</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our cable franchise rights and the accounting for income taxes are critical in the preparation of our condensed consolidated financial statements.</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a full discussion of the accounting judgments and estimates that we have identified as critical in the preparation of our consolidated financial statements, please refer to our 2009 Annual Report on Form 10-K.</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evaluated the information required under this item that was disclosed in our 2009 Annual Report on Form 10-K and believe there have been no significant changes to this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Conclusions regarding disclosure controls and procedures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principal executive and principal financial officers, after evaluating the effectiveness of our disclosure controls and procedures (as defined in Rules 13a-15(e) and 15d-15(e) under the Securities Exchange Act of 1934, as amended (the “Exchange Act”)) as of the end of the period covered by this report, have concluded that, based on the evaluation of these controls and procedures required by paragraph (b) of Exchange Act Rules 13a-15 or 15d-15, our disclosure controls and procedures were effective.</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Refer to Note 12 to our condensed consolidated financial statements of this Quarterly Report on Form 10-Q for a discussion of recent developments related to our legal proceedings.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2009 Annual Report on Form 10-K.</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repurchases under our existing share repurchase authorization during the three months ended June 30, 2010.</w:t>
      </w:r>
    </w:p>
    <w:p>
      <w:pPr>
        <w:spacing w:after="0" w:line="15"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Purchases of Equity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89"/>
              </w:rPr>
              <w:t>Total Number of</w:t>
            </w:r>
          </w:p>
        </w:tc>
        <w:tc>
          <w:tcPr>
            <w:tcW w:w="320" w:type="dxa"/>
            <w:vAlign w:val="bottom"/>
          </w:tcPr>
          <w:p>
            <w:pPr>
              <w:spacing w:after="0"/>
              <w:rPr>
                <w:sz w:val="14"/>
                <w:szCs w:val="14"/>
                <w:color w:val="auto"/>
              </w:rPr>
            </w:pPr>
          </w:p>
        </w:tc>
        <w:tc>
          <w:tcPr>
            <w:tcW w:w="1120" w:type="dxa"/>
            <w:vAlign w:val="bottom"/>
          </w:tcPr>
          <w:p>
            <w:pPr>
              <w:jc w:val="center"/>
              <w:ind w:right="223"/>
              <w:spacing w:after="0"/>
              <w:rPr>
                <w:sz w:val="20"/>
                <w:szCs w:val="20"/>
                <w:color w:val="auto"/>
              </w:rPr>
            </w:pPr>
            <w:r>
              <w:rPr>
                <w:rFonts w:ascii="Arial" w:cs="Arial" w:eastAsia="Arial" w:hAnsi="Arial"/>
                <w:sz w:val="14"/>
                <w:szCs w:val="14"/>
                <w:color w:val="auto"/>
                <w:w w:val="92"/>
              </w:rPr>
              <w:t>Total Dollar</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720" w:type="dxa"/>
            <w:vAlign w:val="bottom"/>
          </w:tcPr>
          <w:p>
            <w:pPr>
              <w:jc w:val="center"/>
              <w:ind w:left="1362"/>
              <w:spacing w:after="0" w:line="149" w:lineRule="exact"/>
              <w:rPr>
                <w:sz w:val="20"/>
                <w:szCs w:val="20"/>
                <w:color w:val="auto"/>
              </w:rPr>
            </w:pPr>
            <w:r>
              <w:rPr>
                <w:rFonts w:ascii="Arial" w:cs="Arial" w:eastAsia="Arial" w:hAnsi="Arial"/>
                <w:sz w:val="14"/>
                <w:szCs w:val="14"/>
                <w:color w:val="auto"/>
                <w:w w:val="89"/>
              </w:rPr>
              <w:t>Total</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82"/>
              </w:rPr>
              <w:t>Shares Purchased as</w:t>
            </w:r>
          </w:p>
        </w:tc>
        <w:tc>
          <w:tcPr>
            <w:tcW w:w="320" w:type="dxa"/>
            <w:vAlign w:val="bottom"/>
          </w:tcPr>
          <w:p>
            <w:pPr>
              <w:spacing w:after="0"/>
              <w:rPr>
                <w:sz w:val="12"/>
                <w:szCs w:val="12"/>
                <w:color w:val="auto"/>
              </w:rPr>
            </w:pPr>
          </w:p>
        </w:tc>
        <w:tc>
          <w:tcPr>
            <w:tcW w:w="1120" w:type="dxa"/>
            <w:vAlign w:val="bottom"/>
          </w:tcPr>
          <w:p>
            <w:pPr>
              <w:jc w:val="center"/>
              <w:ind w:right="243"/>
              <w:spacing w:after="0" w:line="149" w:lineRule="exact"/>
              <w:rPr>
                <w:sz w:val="20"/>
                <w:szCs w:val="20"/>
                <w:color w:val="auto"/>
              </w:rPr>
            </w:pPr>
            <w:r>
              <w:rPr>
                <w:rFonts w:ascii="Arial" w:cs="Arial" w:eastAsia="Arial" w:hAnsi="Arial"/>
                <w:sz w:val="14"/>
                <w:szCs w:val="14"/>
                <w:color w:val="auto"/>
                <w:w w:val="91"/>
              </w:rPr>
              <w:t>Amount</w:t>
            </w:r>
          </w:p>
        </w:tc>
        <w:tc>
          <w:tcPr>
            <w:tcW w:w="1600" w:type="dxa"/>
            <w:vAlign w:val="bottom"/>
            <w:gridSpan w:val="3"/>
          </w:tcPr>
          <w:p>
            <w:pPr>
              <w:jc w:val="center"/>
              <w:ind w:left="119"/>
              <w:spacing w:after="0" w:line="149" w:lineRule="exact"/>
              <w:rPr>
                <w:sz w:val="20"/>
                <w:szCs w:val="20"/>
                <w:color w:val="auto"/>
              </w:rPr>
            </w:pPr>
            <w:r>
              <w:rPr>
                <w:rFonts w:ascii="Arial" w:cs="Arial" w:eastAsia="Arial" w:hAnsi="Arial"/>
                <w:sz w:val="14"/>
                <w:szCs w:val="14"/>
                <w:color w:val="auto"/>
                <w:w w:val="90"/>
              </w:rPr>
              <w:t>Maximum Dollar Value</w:t>
            </w: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720" w:type="dxa"/>
            <w:vAlign w:val="bottom"/>
          </w:tcPr>
          <w:p>
            <w:pPr>
              <w:jc w:val="center"/>
              <w:ind w:left="1362"/>
              <w:spacing w:after="0" w:line="149" w:lineRule="exact"/>
              <w:rPr>
                <w:sz w:val="20"/>
                <w:szCs w:val="20"/>
                <w:color w:val="auto"/>
              </w:rPr>
            </w:pPr>
            <w:r>
              <w:rPr>
                <w:rFonts w:ascii="Arial" w:cs="Arial" w:eastAsia="Arial" w:hAnsi="Arial"/>
                <w:sz w:val="14"/>
                <w:szCs w:val="14"/>
                <w:color w:val="auto"/>
                <w:w w:val="88"/>
              </w:rPr>
              <w:t>Number</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2"/>
              </w:rPr>
              <w:t>Part of Publicly</w:t>
            </w:r>
          </w:p>
        </w:tc>
        <w:tc>
          <w:tcPr>
            <w:tcW w:w="320" w:type="dxa"/>
            <w:vAlign w:val="bottom"/>
          </w:tcPr>
          <w:p>
            <w:pPr>
              <w:spacing w:after="0"/>
              <w:rPr>
                <w:sz w:val="12"/>
                <w:szCs w:val="12"/>
                <w:color w:val="auto"/>
              </w:rPr>
            </w:pPr>
          </w:p>
        </w:tc>
        <w:tc>
          <w:tcPr>
            <w:tcW w:w="1120" w:type="dxa"/>
            <w:vAlign w:val="bottom"/>
          </w:tcPr>
          <w:p>
            <w:pPr>
              <w:jc w:val="center"/>
              <w:ind w:right="243"/>
              <w:spacing w:after="0" w:line="149" w:lineRule="exact"/>
              <w:rPr>
                <w:sz w:val="20"/>
                <w:szCs w:val="20"/>
                <w:color w:val="auto"/>
              </w:rPr>
            </w:pPr>
            <w:r>
              <w:rPr>
                <w:rFonts w:ascii="Arial" w:cs="Arial" w:eastAsia="Arial" w:hAnsi="Arial"/>
                <w:sz w:val="14"/>
                <w:szCs w:val="14"/>
                <w:color w:val="auto"/>
                <w:w w:val="83"/>
              </w:rPr>
              <w:t>Purchased</w:t>
            </w:r>
          </w:p>
        </w:tc>
        <w:tc>
          <w:tcPr>
            <w:tcW w:w="1600" w:type="dxa"/>
            <w:vAlign w:val="bottom"/>
            <w:gridSpan w:val="3"/>
          </w:tcPr>
          <w:p>
            <w:pPr>
              <w:jc w:val="center"/>
              <w:ind w:left="119"/>
              <w:spacing w:after="0" w:line="149" w:lineRule="exact"/>
              <w:rPr>
                <w:sz w:val="20"/>
                <w:szCs w:val="20"/>
                <w:color w:val="auto"/>
              </w:rPr>
            </w:pPr>
            <w:r>
              <w:rPr>
                <w:rFonts w:ascii="Arial" w:cs="Arial" w:eastAsia="Arial" w:hAnsi="Arial"/>
                <w:sz w:val="14"/>
                <w:szCs w:val="14"/>
                <w:color w:val="auto"/>
                <w:w w:val="87"/>
              </w:rPr>
              <w:t>of Shares That May Yet</w:t>
            </w: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720" w:type="dxa"/>
            <w:vAlign w:val="bottom"/>
          </w:tcPr>
          <w:p>
            <w:pPr>
              <w:jc w:val="center"/>
              <w:ind w:left="1382"/>
              <w:spacing w:after="0" w:line="149" w:lineRule="exact"/>
              <w:rPr>
                <w:sz w:val="20"/>
                <w:szCs w:val="20"/>
                <w:color w:val="auto"/>
              </w:rPr>
            </w:pPr>
            <w:r>
              <w:rPr>
                <w:rFonts w:ascii="Arial" w:cs="Arial" w:eastAsia="Arial" w:hAnsi="Arial"/>
                <w:sz w:val="14"/>
                <w:szCs w:val="14"/>
                <w:color w:val="auto"/>
                <w:w w:val="83"/>
              </w:rPr>
              <w:t>of Shares</w:t>
            </w:r>
          </w:p>
        </w:tc>
        <w:tc>
          <w:tcPr>
            <w:tcW w:w="12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Average Price</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87"/>
              </w:rPr>
              <w:t>Announced</w:t>
            </w:r>
          </w:p>
        </w:tc>
        <w:tc>
          <w:tcPr>
            <w:tcW w:w="320" w:type="dxa"/>
            <w:vAlign w:val="bottom"/>
          </w:tcPr>
          <w:p>
            <w:pPr>
              <w:spacing w:after="0"/>
              <w:rPr>
                <w:sz w:val="12"/>
                <w:szCs w:val="12"/>
                <w:color w:val="auto"/>
              </w:rPr>
            </w:pPr>
          </w:p>
        </w:tc>
        <w:tc>
          <w:tcPr>
            <w:tcW w:w="1120" w:type="dxa"/>
            <w:vAlign w:val="bottom"/>
          </w:tcPr>
          <w:p>
            <w:pPr>
              <w:jc w:val="center"/>
              <w:ind w:right="223"/>
              <w:spacing w:after="0" w:line="149" w:lineRule="exact"/>
              <w:rPr>
                <w:sz w:val="20"/>
                <w:szCs w:val="20"/>
                <w:color w:val="auto"/>
              </w:rPr>
            </w:pPr>
            <w:r>
              <w:rPr>
                <w:rFonts w:ascii="Arial" w:cs="Arial" w:eastAsia="Arial" w:hAnsi="Arial"/>
                <w:sz w:val="14"/>
                <w:szCs w:val="14"/>
                <w:color w:val="auto"/>
                <w:w w:val="87"/>
              </w:rPr>
              <w:t>Under the</w:t>
            </w:r>
          </w:p>
        </w:tc>
        <w:tc>
          <w:tcPr>
            <w:tcW w:w="3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6"/>
              </w:rPr>
              <w:t>Be Purchased Under</w:t>
            </w:r>
          </w:p>
        </w:tc>
      </w:tr>
      <w:tr>
        <w:trPr>
          <w:trHeight w:val="159"/>
        </w:trPr>
        <w:tc>
          <w:tcPr>
            <w:tcW w:w="2880" w:type="dxa"/>
            <w:vAlign w:val="bottom"/>
            <w:gridSpan w:val="2"/>
          </w:tcPr>
          <w:p>
            <w:pPr>
              <w:spacing w:after="0" w:line="159" w:lineRule="exact"/>
              <w:rPr>
                <w:sz w:val="20"/>
                <w:szCs w:val="20"/>
                <w:color w:val="auto"/>
              </w:rPr>
            </w:pPr>
            <w:r>
              <w:rPr>
                <w:rFonts w:ascii="Arial" w:cs="Arial" w:eastAsia="Arial" w:hAnsi="Arial"/>
                <w:sz w:val="14"/>
                <w:szCs w:val="14"/>
                <w:color w:val="auto"/>
              </w:rPr>
              <w:t>Period</w:t>
            </w:r>
          </w:p>
        </w:tc>
        <w:tc>
          <w:tcPr>
            <w:tcW w:w="2720" w:type="dxa"/>
            <w:vAlign w:val="bottom"/>
          </w:tcPr>
          <w:p>
            <w:pPr>
              <w:jc w:val="center"/>
              <w:ind w:left="1362"/>
              <w:spacing w:after="0" w:line="159" w:lineRule="exact"/>
              <w:rPr>
                <w:sz w:val="20"/>
                <w:szCs w:val="20"/>
                <w:color w:val="auto"/>
              </w:rPr>
            </w:pPr>
            <w:r>
              <w:rPr>
                <w:rFonts w:ascii="Arial" w:cs="Arial" w:eastAsia="Arial" w:hAnsi="Arial"/>
                <w:sz w:val="14"/>
                <w:szCs w:val="14"/>
                <w:color w:val="auto"/>
                <w:w w:val="83"/>
              </w:rPr>
              <w:t>Purchased</w:t>
            </w:r>
          </w:p>
        </w:tc>
        <w:tc>
          <w:tcPr>
            <w:tcW w:w="320" w:type="dxa"/>
            <w:vAlign w:val="bottom"/>
          </w:tcPr>
          <w:p>
            <w:pPr>
              <w:spacing w:after="0"/>
              <w:rPr>
                <w:sz w:val="13"/>
                <w:szCs w:val="13"/>
                <w:color w:val="auto"/>
              </w:rPr>
            </w:pPr>
          </w:p>
        </w:tc>
        <w:tc>
          <w:tcPr>
            <w:tcW w:w="920" w:type="dxa"/>
            <w:vAlign w:val="bottom"/>
          </w:tcPr>
          <w:p>
            <w:pPr>
              <w:jc w:val="right"/>
              <w:ind w:right="296"/>
              <w:spacing w:after="0" w:line="159" w:lineRule="exact"/>
              <w:rPr>
                <w:sz w:val="20"/>
                <w:szCs w:val="20"/>
                <w:color w:val="auto"/>
              </w:rPr>
            </w:pPr>
            <w:r>
              <w:rPr>
                <w:rFonts w:ascii="Arial" w:cs="Arial" w:eastAsia="Arial" w:hAnsi="Arial"/>
                <w:sz w:val="14"/>
                <w:szCs w:val="14"/>
                <w:color w:val="auto"/>
                <w:w w:val="82"/>
              </w:rPr>
              <w:t>Per Share</w:t>
            </w:r>
          </w:p>
        </w:tc>
        <w:tc>
          <w:tcPr>
            <w:tcW w:w="1560" w:type="dxa"/>
            <w:vAlign w:val="bottom"/>
          </w:tcPr>
          <w:p>
            <w:pPr>
              <w:jc w:val="center"/>
              <w:spacing w:after="0" w:line="159" w:lineRule="exact"/>
              <w:rPr>
                <w:sz w:val="20"/>
                <w:szCs w:val="20"/>
                <w:color w:val="auto"/>
              </w:rPr>
            </w:pPr>
            <w:r>
              <w:rPr>
                <w:rFonts w:ascii="Arial" w:cs="Arial" w:eastAsia="Arial" w:hAnsi="Arial"/>
                <w:sz w:val="14"/>
                <w:szCs w:val="14"/>
                <w:color w:val="auto"/>
                <w:w w:val="90"/>
              </w:rPr>
              <w:t>Authorization</w:t>
            </w:r>
          </w:p>
        </w:tc>
        <w:tc>
          <w:tcPr>
            <w:tcW w:w="320" w:type="dxa"/>
            <w:vAlign w:val="bottom"/>
          </w:tcPr>
          <w:p>
            <w:pPr>
              <w:spacing w:after="0"/>
              <w:rPr>
                <w:sz w:val="13"/>
                <w:szCs w:val="13"/>
                <w:color w:val="auto"/>
              </w:rPr>
            </w:pPr>
          </w:p>
        </w:tc>
        <w:tc>
          <w:tcPr>
            <w:tcW w:w="1120" w:type="dxa"/>
            <w:vAlign w:val="bottom"/>
          </w:tcPr>
          <w:p>
            <w:pPr>
              <w:jc w:val="center"/>
              <w:ind w:right="243"/>
              <w:spacing w:after="0" w:line="159" w:lineRule="exact"/>
              <w:rPr>
                <w:sz w:val="20"/>
                <w:szCs w:val="20"/>
                <w:color w:val="auto"/>
              </w:rPr>
            </w:pPr>
            <w:r>
              <w:rPr>
                <w:rFonts w:ascii="Arial" w:cs="Arial" w:eastAsia="Arial" w:hAnsi="Arial"/>
                <w:sz w:val="14"/>
                <w:szCs w:val="14"/>
                <w:color w:val="auto"/>
                <w:w w:val="92"/>
              </w:rPr>
              <w:t>Authorization</w:t>
            </w:r>
          </w:p>
        </w:tc>
        <w:tc>
          <w:tcPr>
            <w:tcW w:w="320" w:type="dxa"/>
            <w:vAlign w:val="bottom"/>
          </w:tcPr>
          <w:p>
            <w:pPr>
              <w:spacing w:after="0"/>
              <w:rPr>
                <w:sz w:val="13"/>
                <w:szCs w:val="13"/>
                <w:color w:val="auto"/>
              </w:rPr>
            </w:pPr>
          </w:p>
        </w:tc>
        <w:tc>
          <w:tcPr>
            <w:tcW w:w="128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90"/>
              </w:rPr>
              <w:t>the Authorization (a)</w:t>
            </w: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April 1-30, 2010</w:t>
            </w:r>
          </w:p>
        </w:tc>
        <w:tc>
          <w:tcPr>
            <w:tcW w:w="2720" w:type="dxa"/>
            <w:vAlign w:val="bottom"/>
            <w:tcBorders>
              <w:top w:val="single" w:sz="8" w:color="auto"/>
            </w:tcBorders>
            <w:shd w:val="clear" w:color="auto" w:fill="E5E5E5"/>
          </w:tcPr>
          <w:p>
            <w:pPr>
              <w:jc w:val="right"/>
              <w:ind w:right="162"/>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E5E5E5"/>
          </w:tcPr>
          <w:p>
            <w:pPr>
              <w:jc w:val="right"/>
              <w:ind w:right="143"/>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E5E5E5"/>
          </w:tcPr>
          <w:p>
            <w:pPr>
              <w:jc w:val="right"/>
              <w:ind w:right="143"/>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3,040,975,279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May 1-31, 2010</w:t>
            </w:r>
          </w:p>
        </w:tc>
        <w:tc>
          <w:tcPr>
            <w:tcW w:w="2720" w:type="dxa"/>
            <w:vAlign w:val="bottom"/>
          </w:tcPr>
          <w:p>
            <w:pPr>
              <w:jc w:val="right"/>
              <w:ind w:right="162"/>
              <w:spacing w:after="0"/>
              <w:rPr>
                <w:sz w:val="20"/>
                <w:szCs w:val="20"/>
                <w:color w:val="auto"/>
              </w:rPr>
            </w:pPr>
            <w:r>
              <w:rPr>
                <w:rFonts w:ascii="Arial" w:cs="Arial" w:eastAsia="Arial" w:hAnsi="Arial"/>
                <w:sz w:val="18"/>
                <w:szCs w:val="18"/>
                <w:color w:val="auto"/>
              </w:rPr>
              <w:t>12,852,703</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56"/>
              <w:spacing w:after="0"/>
              <w:rPr>
                <w:sz w:val="20"/>
                <w:szCs w:val="20"/>
                <w:color w:val="auto"/>
              </w:rPr>
            </w:pPr>
            <w:r>
              <w:rPr>
                <w:rFonts w:ascii="Arial" w:cs="Arial" w:eastAsia="Arial" w:hAnsi="Arial"/>
                <w:sz w:val="18"/>
                <w:szCs w:val="18"/>
                <w:color w:val="auto"/>
              </w:rPr>
              <w:t>17.48</w:t>
            </w:r>
          </w:p>
        </w:tc>
        <w:tc>
          <w:tcPr>
            <w:tcW w:w="1560" w:type="dxa"/>
            <w:vAlign w:val="bottom"/>
          </w:tcPr>
          <w:p>
            <w:pPr>
              <w:jc w:val="right"/>
              <w:ind w:right="143"/>
              <w:spacing w:after="0"/>
              <w:rPr>
                <w:sz w:val="20"/>
                <w:szCs w:val="20"/>
                <w:color w:val="auto"/>
              </w:rPr>
            </w:pPr>
            <w:r>
              <w:rPr>
                <w:rFonts w:ascii="Arial" w:cs="Arial" w:eastAsia="Arial" w:hAnsi="Arial"/>
                <w:sz w:val="18"/>
                <w:szCs w:val="18"/>
                <w:color w:val="auto"/>
              </w:rPr>
              <w:t>12,852,703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3"/>
              <w:spacing w:after="0"/>
              <w:rPr>
                <w:sz w:val="20"/>
                <w:szCs w:val="20"/>
                <w:color w:val="auto"/>
              </w:rPr>
            </w:pPr>
            <w:r>
              <w:rPr>
                <w:rFonts w:ascii="Arial" w:cs="Arial" w:eastAsia="Arial" w:hAnsi="Arial"/>
                <w:sz w:val="18"/>
                <w:szCs w:val="18"/>
                <w:color w:val="auto"/>
                <w:w w:val="87"/>
              </w:rPr>
              <w:t>224,723,855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2,816,251,424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June 1-30, 2010</w:t>
            </w:r>
          </w:p>
        </w:tc>
        <w:tc>
          <w:tcPr>
            <w:tcW w:w="2720" w:type="dxa"/>
            <w:vAlign w:val="bottom"/>
            <w:tcBorders>
              <w:bottom w:val="single" w:sz="8" w:color="auto"/>
            </w:tcBorders>
            <w:shd w:val="clear" w:color="auto" w:fill="E5E5E5"/>
          </w:tcPr>
          <w:p>
            <w:pPr>
              <w:jc w:val="right"/>
              <w:ind w:right="162"/>
              <w:spacing w:after="0"/>
              <w:rPr>
                <w:sz w:val="20"/>
                <w:szCs w:val="20"/>
                <w:color w:val="auto"/>
              </w:rPr>
            </w:pPr>
            <w:r>
              <w:rPr>
                <w:rFonts w:ascii="Arial" w:cs="Arial" w:eastAsia="Arial" w:hAnsi="Arial"/>
                <w:sz w:val="18"/>
                <w:szCs w:val="18"/>
                <w:color w:val="auto"/>
              </w:rPr>
              <w:t>4,401,900</w:t>
            </w:r>
          </w:p>
        </w:tc>
        <w:tc>
          <w:tcPr>
            <w:tcW w:w="3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17.10</w:t>
            </w:r>
          </w:p>
        </w:tc>
        <w:tc>
          <w:tcPr>
            <w:tcW w:w="1560" w:type="dxa"/>
            <w:vAlign w:val="bottom"/>
            <w:tcBorders>
              <w:bottom w:val="single" w:sz="8" w:color="auto"/>
            </w:tcBorders>
            <w:shd w:val="clear" w:color="auto" w:fill="E5E5E5"/>
          </w:tcPr>
          <w:p>
            <w:pPr>
              <w:jc w:val="right"/>
              <w:ind w:right="143"/>
              <w:spacing w:after="0"/>
              <w:rPr>
                <w:sz w:val="20"/>
                <w:szCs w:val="20"/>
                <w:color w:val="auto"/>
              </w:rPr>
            </w:pPr>
            <w:r>
              <w:rPr>
                <w:rFonts w:ascii="Arial" w:cs="Arial" w:eastAsia="Arial" w:hAnsi="Arial"/>
                <w:sz w:val="18"/>
                <w:szCs w:val="18"/>
                <w:color w:val="auto"/>
              </w:rPr>
              <w:t>4,401,900</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E5E5E5"/>
          </w:tcPr>
          <w:p>
            <w:pPr>
              <w:jc w:val="right"/>
              <w:ind w:right="143"/>
              <w:spacing w:after="0"/>
              <w:rPr>
                <w:sz w:val="20"/>
                <w:szCs w:val="20"/>
                <w:color w:val="auto"/>
              </w:rPr>
            </w:pPr>
            <w:r>
              <w:rPr>
                <w:rFonts w:ascii="Arial" w:cs="Arial" w:eastAsia="Arial" w:hAnsi="Arial"/>
                <w:sz w:val="18"/>
                <w:szCs w:val="18"/>
                <w:color w:val="auto"/>
                <w:w w:val="97"/>
              </w:rPr>
              <w:t>75,276,714</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2,740,974,710</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72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b w:val="1"/>
                <w:bCs w:val="1"/>
                <w:color w:val="auto"/>
              </w:rPr>
              <w:t>17,254,603</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17.39</w:t>
            </w:r>
          </w:p>
        </w:tc>
        <w:tc>
          <w:tcPr>
            <w:tcW w:w="1560" w:type="dxa"/>
            <w:vAlign w:val="bottom"/>
            <w:tcBorders>
              <w:bottom w:val="single" w:sz="8" w:color="auto"/>
            </w:tcBorders>
          </w:tcPr>
          <w:p>
            <w:pPr>
              <w:jc w:val="right"/>
              <w:ind w:right="143"/>
              <w:spacing w:after="0"/>
              <w:rPr>
                <w:sz w:val="20"/>
                <w:szCs w:val="20"/>
                <w:color w:val="auto"/>
              </w:rPr>
            </w:pPr>
            <w:r>
              <w:rPr>
                <w:rFonts w:ascii="Arial" w:cs="Arial" w:eastAsia="Arial" w:hAnsi="Arial"/>
                <w:sz w:val="18"/>
                <w:szCs w:val="18"/>
                <w:b w:val="1"/>
                <w:bCs w:val="1"/>
                <w:color w:val="auto"/>
              </w:rPr>
              <w:t>17,254,603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8"/>
                <w:szCs w:val="18"/>
                <w:b w:val="1"/>
                <w:bCs w:val="1"/>
                <w:color w:val="auto"/>
                <w:w w:val="87"/>
              </w:rPr>
              <w:t>300,000,569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2,740,974,710</w:t>
            </w:r>
          </w:p>
        </w:tc>
        <w:tc>
          <w:tcPr>
            <w:tcW w:w="20" w:type="dxa"/>
            <w:vAlign w:val="bottom"/>
            <w:tcBorders>
              <w:bottom w:val="single" w:sz="8" w:color="auto"/>
            </w:tcBorders>
          </w:tcPr>
          <w:p>
            <w:pPr>
              <w:spacing w:after="0"/>
              <w:rPr>
                <w:sz w:val="18"/>
                <w:szCs w:val="18"/>
                <w:color w:val="auto"/>
              </w:rPr>
            </w:pPr>
          </w:p>
        </w:tc>
      </w:tr>
    </w:tbl>
    <w:p>
      <w:pPr>
        <w:spacing w:after="0" w:line="57" w:lineRule="exact"/>
        <w:rPr>
          <w:sz w:val="20"/>
          <w:szCs w:val="20"/>
          <w:color w:val="auto"/>
        </w:rPr>
      </w:pPr>
    </w:p>
    <w:p>
      <w:pPr>
        <w:jc w:val="both"/>
        <w:ind w:left="340" w:hanging="332"/>
        <w:spacing w:after="0" w:line="288" w:lineRule="auto"/>
        <w:tabs>
          <w:tab w:leader="none" w:pos="3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 2007, our Board of Directors authorized a $7 billion addition to the existing share repurchase authorization. Under this authorization, we may repurchase shares in the open market or in private transactions, subject to market conditions. The current share repurchase authorization does not have an expiration date. As of June 30, 2010, we had approximately $2.7 billion of availability remaining under our share repurchase authorization. We intend to complete repurchases under the current share repurchase authorization by the end of 2012, subject to market conditions.</w:t>
      </w:r>
    </w:p>
    <w:p>
      <w:pPr>
        <w:spacing w:after="0" w:line="5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total number of shares purchased during the three months ended June 30, 2010 does not include any shares received in the administration of employee share-based compensation plans.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79" w:lineRule="exact"/>
        <w:rPr>
          <w:sz w:val="20"/>
          <w:szCs w:val="20"/>
          <w:color w:val="auto"/>
        </w:rPr>
      </w:pPr>
    </w:p>
    <w:p>
      <w:pPr>
        <w:ind w:left="40"/>
        <w:spacing w:after="0"/>
        <w:tabs>
          <w:tab w:leader="none" w:pos="6040" w:val="left"/>
        </w:tabs>
        <w:rPr>
          <w:sz w:val="20"/>
          <w:szCs w:val="20"/>
          <w:color w:val="auto"/>
        </w:rPr>
      </w:pPr>
      <w:r>
        <w:rPr>
          <w:rFonts w:ascii="Arial" w:cs="Arial" w:eastAsia="Arial" w:hAnsi="Arial"/>
          <w:sz w:val="14"/>
          <w:szCs w:val="14"/>
          <w:u w:val="single" w:color="auto"/>
          <w:color w:val="auto"/>
        </w:rPr>
        <w:t>Exhibit No.</w:t>
      </w:r>
      <w:r>
        <w:rPr>
          <w:sz w:val="20"/>
          <w:szCs w:val="20"/>
          <w:color w:val="auto"/>
        </w:rPr>
        <w:tab/>
      </w:r>
      <w:r>
        <w:rPr>
          <w:rFonts w:ascii="Arial" w:cs="Arial" w:eastAsia="Arial" w:hAnsi="Arial"/>
          <w:sz w:val="12"/>
          <w:szCs w:val="12"/>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7620</wp:posOffset>
            </wp:positionV>
            <wp:extent cx="63976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97625" cy="8890"/>
                    </a:xfrm>
                    <a:prstGeom prst="rect">
                      <a:avLst/>
                    </a:prstGeom>
                    <a:noFill/>
                  </pic:spPr>
                </pic:pic>
              </a:graphicData>
            </a:graphic>
          </wp:anchor>
        </w:drawing>
      </w:r>
    </w:p>
    <w:p>
      <w:pPr>
        <w:spacing w:after="0" w:line="5" w:lineRule="exact"/>
        <w:rPr>
          <w:sz w:val="20"/>
          <w:szCs w:val="20"/>
          <w:color w:val="auto"/>
        </w:rPr>
      </w:pPr>
    </w:p>
    <w:p>
      <w:pPr>
        <w:ind w:left="1340" w:hanging="1332"/>
        <w:spacing w:after="0"/>
        <w:tabs>
          <w:tab w:leader="none" w:pos="1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Certifications of Chief Executive Officer and Chief Financial Officer pursuant to Section 302 of the Sarbanes-Oxley Act of 2002.</w:t>
      </w:r>
    </w:p>
    <w:p>
      <w:pPr>
        <w:spacing w:after="0" w:line="30" w:lineRule="exact"/>
        <w:rPr>
          <w:rFonts w:ascii="Arial" w:cs="Arial" w:eastAsia="Arial" w:hAnsi="Arial"/>
          <w:sz w:val="16"/>
          <w:szCs w:val="16"/>
          <w:color w:val="auto"/>
        </w:rPr>
      </w:pPr>
    </w:p>
    <w:p>
      <w:pPr>
        <w:ind w:left="1340" w:hanging="1332"/>
        <w:spacing w:after="0"/>
        <w:tabs>
          <w:tab w:leader="none" w:pos="1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Certifications of Chief Executive Officer and Chief Financial Officer pursuant to Section 906 of the Sarbanes-Oxley Act of 2002.</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 w:type="dxa"/>
            <w:vAlign w:val="bottom"/>
          </w:tcPr>
          <w:p>
            <w:pPr>
              <w:jc w:val="right"/>
              <w:ind w:right="392"/>
              <w:spacing w:after="0"/>
              <w:rPr>
                <w:sz w:val="20"/>
                <w:szCs w:val="20"/>
                <w:color w:val="auto"/>
              </w:rPr>
            </w:pPr>
            <w:r>
              <w:rPr>
                <w:rFonts w:ascii="Arial" w:cs="Arial" w:eastAsia="Arial" w:hAnsi="Arial"/>
                <w:sz w:val="18"/>
                <w:szCs w:val="18"/>
                <w:color w:val="auto"/>
                <w:w w:val="90"/>
              </w:rPr>
              <w:t>10.1*</w:t>
            </w:r>
          </w:p>
        </w:tc>
        <w:tc>
          <w:tcPr>
            <w:tcW w:w="10540" w:type="dxa"/>
            <w:vAlign w:val="bottom"/>
          </w:tcPr>
          <w:p>
            <w:pPr>
              <w:ind w:left="460"/>
              <w:spacing w:after="0"/>
              <w:rPr>
                <w:sz w:val="20"/>
                <w:szCs w:val="20"/>
                <w:color w:val="auto"/>
              </w:rPr>
            </w:pPr>
            <w:r>
              <w:rPr>
                <w:rFonts w:ascii="Arial" w:cs="Arial" w:eastAsia="Arial" w:hAnsi="Arial"/>
                <w:sz w:val="18"/>
                <w:szCs w:val="18"/>
                <w:color w:val="auto"/>
              </w:rPr>
              <w:t>Comcast Corporation 2002 Employee Stock Purchase Plan, as amended and restated effective May 19, 2010.</w:t>
            </w:r>
          </w:p>
        </w:tc>
      </w:tr>
      <w:tr>
        <w:trPr>
          <w:trHeight w:val="216"/>
        </w:trPr>
        <w:tc>
          <w:tcPr>
            <w:tcW w:w="880" w:type="dxa"/>
            <w:vAlign w:val="bottom"/>
          </w:tcPr>
          <w:p>
            <w:pPr>
              <w:jc w:val="right"/>
              <w:ind w:right="392"/>
              <w:spacing w:after="0"/>
              <w:rPr>
                <w:sz w:val="20"/>
                <w:szCs w:val="20"/>
                <w:color w:val="auto"/>
              </w:rPr>
            </w:pPr>
            <w:r>
              <w:rPr>
                <w:rFonts w:ascii="Arial" w:cs="Arial" w:eastAsia="Arial" w:hAnsi="Arial"/>
                <w:sz w:val="18"/>
                <w:szCs w:val="18"/>
                <w:color w:val="auto"/>
                <w:w w:val="90"/>
              </w:rPr>
              <w:t>10.2*</w:t>
            </w:r>
          </w:p>
        </w:tc>
        <w:tc>
          <w:tcPr>
            <w:tcW w:w="10540" w:type="dxa"/>
            <w:vAlign w:val="bottom"/>
          </w:tcPr>
          <w:p>
            <w:pPr>
              <w:ind w:left="460"/>
              <w:spacing w:after="0"/>
              <w:rPr>
                <w:sz w:val="20"/>
                <w:szCs w:val="20"/>
                <w:color w:val="auto"/>
              </w:rPr>
            </w:pPr>
            <w:r>
              <w:rPr>
                <w:rFonts w:ascii="Arial" w:cs="Arial" w:eastAsia="Arial" w:hAnsi="Arial"/>
                <w:sz w:val="18"/>
                <w:szCs w:val="18"/>
                <w:color w:val="auto"/>
                <w:w w:val="90"/>
              </w:rPr>
              <w:t>Amendment No. 3 to Employment Agreement with Brian L. Roberts, dated as of June 30, 2010 (incorporated by reference to Exhibit 99.1 to</w:t>
            </w:r>
          </w:p>
        </w:tc>
      </w:tr>
      <w:tr>
        <w:trPr>
          <w:trHeight w:val="222"/>
        </w:trPr>
        <w:tc>
          <w:tcPr>
            <w:tcW w:w="880" w:type="dxa"/>
            <w:vAlign w:val="bottom"/>
          </w:tcPr>
          <w:p>
            <w:pPr>
              <w:spacing w:after="0"/>
              <w:rPr>
                <w:sz w:val="19"/>
                <w:szCs w:val="19"/>
                <w:color w:val="auto"/>
              </w:rPr>
            </w:pPr>
          </w:p>
        </w:tc>
        <w:tc>
          <w:tcPr>
            <w:tcW w:w="10540" w:type="dxa"/>
            <w:vAlign w:val="bottom"/>
          </w:tcPr>
          <w:p>
            <w:pPr>
              <w:ind w:left="460"/>
              <w:spacing w:after="0"/>
              <w:rPr>
                <w:sz w:val="20"/>
                <w:szCs w:val="20"/>
                <w:color w:val="auto"/>
              </w:rPr>
            </w:pPr>
            <w:r>
              <w:rPr>
                <w:rFonts w:ascii="Arial" w:cs="Arial" w:eastAsia="Arial" w:hAnsi="Arial"/>
                <w:sz w:val="18"/>
                <w:szCs w:val="18"/>
                <w:color w:val="auto"/>
              </w:rPr>
              <w:t>our Current Report on Form 8-K filed on July 7, 2010).</w:t>
            </w:r>
          </w:p>
        </w:tc>
      </w:tr>
    </w:tbl>
    <w:p>
      <w:pPr>
        <w:jc w:val="both"/>
        <w:ind w:left="1340" w:hanging="1332"/>
        <w:spacing w:after="0" w:line="292" w:lineRule="auto"/>
        <w:tabs>
          <w:tab w:leader="none" w:pos="1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following financial statements from Comcast Corporation’s Quarterly Report on Form 10-Q for the three and six months ended June 30, 2010, filed with the Securities and Exchange Commission on July 28, 2010, formatted in XBRL (eXtensible Business Reporting Language): (i) the Condensed Consolidated Balance Sheet; (ii) the Condensed Consolidated Statement of Operations; (iii) the Condensed Consolidated Statement of Cash Flows; (iv) the Condensed Consolidated Statement of Changes in Equity; (v) the Condensed Consolidated Statement of Comprehensive Income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 Constitutes a management contract or compensatory plan or arrangement.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3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28, 2010</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EMPLOYEE STOCK PURCHASE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May 19, 2010)</w:t>
      </w:r>
    </w:p>
    <w:p>
      <w:pPr>
        <w:spacing w:after="0" w:line="90"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COMCAST CORPORATION, a Pennsylvania corporation, hereby amends and restates the Comcast Corporation 2002 Employee Stock Purchase Plan (the “Plan”), effective May 19, 2010, except as specifically provided otherwise in the Plan. The Plan is intended to encourage and facilitate the purchase of shares of common stock of Comcast Corporation by Eligible Employees of the Company and any Participating Companies, thereby providing such Eligible Employees with a personal stake in the Company and a long-range inducement to remain in the employ of the Company and Participating Companies. It is the intention of the Company that the Plan qualify as an “employee stock purchase plan” within the meaning of section 423 of the Code.</w:t>
      </w:r>
    </w:p>
    <w:p>
      <w:pPr>
        <w:spacing w:after="0" w:line="191"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700" w:hanging="236"/>
        <w:spacing w:after="0"/>
        <w:tabs>
          <w:tab w:leader="none" w:pos="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a bookkeeping account established by the Committee on behalf of a Participant to hold Payroll Deductions.</w:t>
      </w:r>
    </w:p>
    <w:p>
      <w:pPr>
        <w:spacing w:after="0" w:line="171" w:lineRule="exact"/>
        <w:rPr>
          <w:rFonts w:ascii="Arial" w:cs="Arial" w:eastAsia="Arial" w:hAnsi="Arial"/>
          <w:sz w:val="18"/>
          <w:szCs w:val="18"/>
          <w:color w:val="auto"/>
        </w:rPr>
      </w:pPr>
    </w:p>
    <w:p>
      <w:pPr>
        <w:ind w:right="100" w:firstLine="464"/>
        <w:spacing w:after="0" w:line="256" w:lineRule="auto"/>
        <w:tabs>
          <w:tab w:leader="none" w:pos="705"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rFonts w:ascii="Arial" w:cs="Arial" w:eastAsia="Arial" w:hAnsi="Arial"/>
          <w:sz w:val="18"/>
          <w:szCs w:val="18"/>
          <w:color w:val="auto"/>
        </w:rPr>
      </w:pPr>
    </w:p>
    <w:p>
      <w:pPr>
        <w:ind w:left="700" w:hanging="236"/>
        <w:spacing w:after="0"/>
        <w:tabs>
          <w:tab w:leader="none" w:pos="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right="180" w:firstLine="464"/>
        <w:spacing w:after="0" w:line="268" w:lineRule="auto"/>
        <w:tabs>
          <w:tab w:leader="none" w:pos="705"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Brokerage Account</w:t>
      </w:r>
      <w:r>
        <w:rPr>
          <w:rFonts w:ascii="Arial" w:cs="Arial" w:eastAsia="Arial" w:hAnsi="Arial"/>
          <w:sz w:val="18"/>
          <w:szCs w:val="18"/>
          <w:color w:val="auto"/>
        </w:rPr>
        <w:t>” means the brokerage account established under the Plan by the Company for each Participant, to which Shares purchased under the Plan shall be credited.</w:t>
      </w:r>
    </w:p>
    <w:p>
      <w:pPr>
        <w:spacing w:after="0" w:line="131" w:lineRule="exact"/>
        <w:rPr>
          <w:rFonts w:ascii="Arial" w:cs="Arial" w:eastAsia="Arial" w:hAnsi="Arial"/>
          <w:sz w:val="18"/>
          <w:szCs w:val="18"/>
          <w:color w:val="auto"/>
        </w:rPr>
      </w:pPr>
    </w:p>
    <w:p>
      <w:pPr>
        <w:ind w:right="180" w:firstLine="464"/>
        <w:spacing w:after="0" w:line="298" w:lineRule="auto"/>
        <w:tabs>
          <w:tab w:leader="none" w:pos="695" w:val="left"/>
        </w:tabs>
        <w:numPr>
          <w:ilvl w:val="1"/>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12" w:lineRule="exact"/>
        <w:rPr>
          <w:rFonts w:ascii="Arial" w:cs="Arial" w:eastAsia="Arial" w:hAnsi="Arial"/>
          <w:sz w:val="16"/>
          <w:szCs w:val="16"/>
          <w:color w:val="auto"/>
        </w:rPr>
      </w:pPr>
    </w:p>
    <w:p>
      <w:pPr>
        <w:ind w:left="680" w:hanging="216"/>
        <w:spacing w:after="0"/>
        <w:tabs>
          <w:tab w:leader="none" w:pos="6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ectPr>
          <w:pgSz w:w="11900" w:h="16838" w:orient="portrait"/>
          <w:cols w:equalWidth="0" w:num="1">
            <w:col w:w="11420"/>
          </w:cols>
          <w:pgMar w:left="240" w:top="125" w:right="239" w:bottom="1440" w:gutter="0" w:footer="0" w:header="0"/>
        </w:sectPr>
      </w:pPr>
    </w:p>
    <w:bookmarkStart w:id="38" w:name="page39"/>
    <w:bookmarkEnd w:id="38"/>
    <w:p>
      <w:pPr>
        <w:ind w:left="-80" w:right="220" w:firstLine="464"/>
        <w:spacing w:after="0" w:line="268" w:lineRule="auto"/>
        <w:tabs>
          <w:tab w:leader="none" w:pos="625"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1" w:lineRule="exact"/>
        <w:rPr>
          <w:rFonts w:ascii="Arial" w:cs="Arial" w:eastAsia="Arial" w:hAnsi="Arial"/>
          <w:sz w:val="18"/>
          <w:szCs w:val="18"/>
          <w:color w:val="auto"/>
        </w:rPr>
      </w:pPr>
    </w:p>
    <w:p>
      <w:pPr>
        <w:ind w:left="-80" w:firstLine="464"/>
        <w:spacing w:after="0" w:line="255" w:lineRule="auto"/>
        <w:tabs>
          <w:tab w:leader="none" w:pos="5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an Eligible Employee’s wages as reported on Form W-2 (</w:t>
      </w:r>
      <w:r>
        <w:rPr>
          <w:rFonts w:ascii="Arial" w:cs="Arial" w:eastAsia="Arial" w:hAnsi="Arial"/>
          <w:sz w:val="18"/>
          <w:szCs w:val="18"/>
          <w:u w:val="single" w:color="auto"/>
          <w:color w:val="auto"/>
        </w:rPr>
        <w:t>i.e.</w:t>
      </w:r>
      <w:r>
        <w:rPr>
          <w:rFonts w:ascii="Arial" w:cs="Arial" w:eastAsia="Arial" w:hAnsi="Arial"/>
          <w:sz w:val="18"/>
          <w:szCs w:val="18"/>
          <w:color w:val="auto"/>
        </w:rPr>
        <w:t>, wages as defined in section 3401(a) of the Code and all other payments of compensation for which the Participating Company is required to furnish the employee a written statement under sections 6041(d) and 6051(a)(3) of the Code) from a Participating Company, reduced by reimbursements or other expense allowances, fringe benefits (cash and non-cash), moving expenses, deferred compensation, and welfare benefits, but including salary reduction contributions and elective contributions that are not includible in gross income under sections 125 or 402(a)(8) of the Code.</w:t>
      </w:r>
    </w:p>
    <w:p>
      <w:pPr>
        <w:spacing w:after="0" w:line="142" w:lineRule="exact"/>
        <w:rPr>
          <w:rFonts w:ascii="Arial" w:cs="Arial" w:eastAsia="Arial" w:hAnsi="Arial"/>
          <w:sz w:val="18"/>
          <w:szCs w:val="18"/>
          <w:color w:val="auto"/>
        </w:rPr>
      </w:pPr>
    </w:p>
    <w:p>
      <w:pPr>
        <w:ind w:left="-80" w:right="580" w:firstLine="464"/>
        <w:spacing w:after="0" w:line="268" w:lineRule="auto"/>
        <w:tabs>
          <w:tab w:leader="none" w:pos="5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Form</w:t>
      </w:r>
      <w:r>
        <w:rPr>
          <w:rFonts w:ascii="Arial" w:cs="Arial" w:eastAsia="Arial" w:hAnsi="Arial"/>
          <w:sz w:val="18"/>
          <w:szCs w:val="18"/>
          <w:color w:val="auto"/>
        </w:rPr>
        <w:t>” means the written or electronic form acceptable to the Committee which an Eligible Employee shall use to make an election to purchase Shares through Payroll Deductions pursuant to the Plan.</w:t>
      </w:r>
    </w:p>
    <w:p>
      <w:pPr>
        <w:spacing w:after="0" w:line="131" w:lineRule="exact"/>
        <w:rPr>
          <w:rFonts w:ascii="Arial" w:cs="Arial" w:eastAsia="Arial" w:hAnsi="Arial"/>
          <w:sz w:val="18"/>
          <w:szCs w:val="18"/>
          <w:color w:val="auto"/>
        </w:rPr>
      </w:pPr>
    </w:p>
    <w:p>
      <w:pPr>
        <w:ind w:left="640" w:hanging="25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who is not an Ineligible Employee.</w:t>
      </w:r>
    </w:p>
    <w:p>
      <w:pPr>
        <w:spacing w:after="0" w:line="171" w:lineRule="exact"/>
        <w:rPr>
          <w:rFonts w:ascii="Arial" w:cs="Arial" w:eastAsia="Arial" w:hAnsi="Arial"/>
          <w:sz w:val="18"/>
          <w:szCs w:val="18"/>
          <w:color w:val="auto"/>
        </w:rPr>
      </w:pPr>
    </w:p>
    <w:p>
      <w:pPr>
        <w:ind w:left="600" w:hanging="216"/>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Employer</w:t>
      </w:r>
      <w:r>
        <w:rPr>
          <w:rFonts w:ascii="Arial" w:cs="Arial" w:eastAsia="Arial" w:hAnsi="Arial"/>
          <w:sz w:val="18"/>
          <w:szCs w:val="18"/>
          <w:color w:val="auto"/>
        </w:rPr>
        <w:t>” means the Company and any subsidiary of the Company, within the meaning of section 424(f) of the Code.</w:t>
      </w:r>
    </w:p>
    <w:p>
      <w:pPr>
        <w:spacing w:after="0" w:line="171" w:lineRule="exact"/>
        <w:rPr>
          <w:rFonts w:ascii="Arial" w:cs="Arial" w:eastAsia="Arial" w:hAnsi="Arial"/>
          <w:sz w:val="18"/>
          <w:szCs w:val="18"/>
          <w:color w:val="auto"/>
        </w:rPr>
      </w:pPr>
    </w:p>
    <w:p>
      <w:pPr>
        <w:ind w:left="680" w:hanging="296"/>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 person who is an employee of a Participating Company.</w:t>
      </w:r>
    </w:p>
    <w:p>
      <w:pPr>
        <w:spacing w:after="0" w:line="171" w:lineRule="exact"/>
        <w:rPr>
          <w:rFonts w:ascii="Arial" w:cs="Arial" w:eastAsia="Arial" w:hAnsi="Arial"/>
          <w:sz w:val="18"/>
          <w:szCs w:val="18"/>
          <w:color w:val="auto"/>
        </w:rPr>
      </w:pPr>
    </w:p>
    <w:p>
      <w:pPr>
        <w:ind w:left="-80" w:right="80" w:firstLine="464"/>
        <w:spacing w:after="0" w:line="256" w:lineRule="auto"/>
        <w:tabs>
          <w:tab w:leader="none" w:pos="62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closing price per Share on the principal national securities exchange on which the Shares are listed or admitted to trading or, if not listed or traded on any such exchange, on the National Market System of the National Association of Securities Dealers Automated Quotation System (“NASDAQ”), or if not listed or traded on any such exchange or system, the fair market value as reasonably determined by the Board or the Committee, which determination shall be conclusive.</w:t>
      </w:r>
    </w:p>
    <w:p>
      <w:pPr>
        <w:spacing w:after="0" w:line="143" w:lineRule="exact"/>
        <w:rPr>
          <w:rFonts w:ascii="Arial" w:cs="Arial" w:eastAsia="Arial" w:hAnsi="Arial"/>
          <w:sz w:val="18"/>
          <w:szCs w:val="18"/>
          <w:color w:val="auto"/>
        </w:rPr>
      </w:pPr>
    </w:p>
    <w:p>
      <w:pPr>
        <w:ind w:left="640" w:hanging="256"/>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Five Percent Owner</w:t>
      </w:r>
      <w:r>
        <w:rPr>
          <w:rFonts w:ascii="Arial" w:cs="Arial" w:eastAsia="Arial" w:hAnsi="Arial"/>
          <w:sz w:val="16"/>
          <w:szCs w:val="16"/>
          <w:color w:val="auto"/>
        </w:rPr>
        <w:t>” means an Employee who, with respect to a Participating Company, is described in section 423(b)(3) of the Code.</w:t>
      </w:r>
    </w:p>
    <w:p>
      <w:pPr>
        <w:spacing w:after="0" w:line="194" w:lineRule="exact"/>
        <w:rPr>
          <w:rFonts w:ascii="Arial" w:cs="Arial" w:eastAsia="Arial" w:hAnsi="Arial"/>
          <w:sz w:val="16"/>
          <w:szCs w:val="16"/>
          <w:color w:val="auto"/>
        </w:rPr>
      </w:pPr>
    </w:p>
    <w:p>
      <w:pPr>
        <w:ind w:left="640" w:hanging="25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Employee</w:t>
      </w:r>
      <w:r>
        <w:rPr>
          <w:rFonts w:ascii="Arial" w:cs="Arial" w:eastAsia="Arial" w:hAnsi="Arial"/>
          <w:sz w:val="18"/>
          <w:szCs w:val="18"/>
          <w:color w:val="auto"/>
        </w:rPr>
        <w:t>” means an Employee who, as of an Offering Commencement Date:</w:t>
      </w:r>
    </w:p>
    <w:p>
      <w:pPr>
        <w:spacing w:after="0" w:line="171" w:lineRule="exact"/>
        <w:rPr>
          <w:rFonts w:ascii="Arial" w:cs="Arial" w:eastAsia="Arial" w:hAnsi="Arial"/>
          <w:sz w:val="18"/>
          <w:szCs w:val="18"/>
          <w:color w:val="auto"/>
        </w:rPr>
      </w:pPr>
    </w:p>
    <w:p>
      <w:pPr>
        <w:ind w:left="1080" w:hanging="239"/>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is a Five Percent Owner;</w:t>
      </w:r>
    </w:p>
    <w:p>
      <w:pPr>
        <w:spacing w:after="0" w:line="171" w:lineRule="exact"/>
        <w:rPr>
          <w:rFonts w:ascii="Arial" w:cs="Arial" w:eastAsia="Arial" w:hAnsi="Arial"/>
          <w:sz w:val="18"/>
          <w:szCs w:val="18"/>
          <w:color w:val="auto"/>
        </w:rPr>
      </w:pPr>
    </w:p>
    <w:p>
      <w:pPr>
        <w:ind w:left="1080" w:hanging="239"/>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full-time basis for less than 90 days;</w:t>
      </w:r>
    </w:p>
    <w:p>
      <w:pPr>
        <w:spacing w:after="0" w:line="171" w:lineRule="exact"/>
        <w:rPr>
          <w:rFonts w:ascii="Arial" w:cs="Arial" w:eastAsia="Arial" w:hAnsi="Arial"/>
          <w:sz w:val="18"/>
          <w:szCs w:val="18"/>
          <w:color w:val="auto"/>
        </w:rPr>
      </w:pPr>
    </w:p>
    <w:p>
      <w:pPr>
        <w:ind w:left="1080" w:hanging="239"/>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part-time basis for less than one year; or</w:t>
      </w:r>
    </w:p>
    <w:p>
      <w:pPr>
        <w:spacing w:after="0" w:line="171" w:lineRule="exact"/>
        <w:rPr>
          <w:rFonts w:ascii="Arial" w:cs="Arial" w:eastAsia="Arial" w:hAnsi="Arial"/>
          <w:sz w:val="18"/>
          <w:szCs w:val="18"/>
          <w:color w:val="auto"/>
        </w:rPr>
      </w:pPr>
    </w:p>
    <w:p>
      <w:pPr>
        <w:ind w:left="1080" w:hanging="239"/>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is restricted from participating under Paragraph 3(b).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320" w:top="280" w:right="299" w:bottom="1440" w:gutter="0" w:footer="0" w:header="0"/>
        </w:sectPr>
      </w:pPr>
    </w:p>
    <w:bookmarkStart w:id="39" w:name="page40"/>
    <w:bookmarkEnd w:id="39"/>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Paragraph 2(p), an Employee is employed on a part-time basis if the Employee customarily works less than 20 hours per week. For purposes of this Paragraph 2(p), an Employee is employed on a full-time basis if the Employee customarily works 20 or more hours per week.</w:t>
      </w:r>
    </w:p>
    <w:p>
      <w:pPr>
        <w:spacing w:after="0" w:line="85" w:lineRule="exact"/>
        <w:rPr>
          <w:sz w:val="20"/>
          <w:szCs w:val="20"/>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w:t>
      </w:r>
      <w:r>
        <w:rPr>
          <w:rFonts w:ascii="Arial" w:cs="Arial" w:eastAsia="Arial" w:hAnsi="Arial"/>
          <w:sz w:val="18"/>
          <w:szCs w:val="18"/>
          <w:color w:val="auto"/>
        </w:rPr>
        <w:t>” means an offering of Shares by the Company to Eligible Employees pursuant to the Plan.</w:t>
      </w:r>
    </w:p>
    <w:p>
      <w:pPr>
        <w:spacing w:after="0" w:line="171" w:lineRule="exact"/>
        <w:rPr>
          <w:rFonts w:ascii="Arial" w:cs="Arial" w:eastAsia="Arial" w:hAnsi="Arial"/>
          <w:sz w:val="18"/>
          <w:szCs w:val="18"/>
          <w:color w:val="auto"/>
        </w:rPr>
      </w:pPr>
    </w:p>
    <w:p>
      <w:pPr>
        <w:ind w:right="40" w:firstLine="464"/>
        <w:spacing w:after="0" w:line="332" w:lineRule="auto"/>
        <w:tabs>
          <w:tab w:leader="none" w:pos="676" w:val="left"/>
        </w:tabs>
        <w:numPr>
          <w:ilvl w:val="0"/>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Commencement Date</w:t>
      </w:r>
      <w:r>
        <w:rPr>
          <w:rFonts w:ascii="Arial" w:cs="Arial" w:eastAsia="Arial" w:hAnsi="Arial"/>
          <w:sz w:val="16"/>
          <w:szCs w:val="16"/>
          <w:color w:val="auto"/>
        </w:rPr>
        <w:t>” means the first day of each January 1, April 1, July 1 and October 1 beginning on or after Offerings are authorized by the Board or the Committee, until the Plan Termination Date, provided that the first Offering Commencement Date shall be on the Effective Date.</w:t>
      </w:r>
    </w:p>
    <w:p>
      <w:pPr>
        <w:spacing w:after="0" w:line="85" w:lineRule="exact"/>
        <w:rPr>
          <w:rFonts w:ascii="Arial" w:cs="Arial" w:eastAsia="Arial" w:hAnsi="Arial"/>
          <w:sz w:val="16"/>
          <w:szCs w:val="16"/>
          <w:color w:val="auto"/>
        </w:rPr>
      </w:pPr>
    </w:p>
    <w:p>
      <w:pPr>
        <w:ind w:left="700" w:hanging="23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Period</w:t>
      </w:r>
      <w:r>
        <w:rPr>
          <w:rFonts w:ascii="Arial" w:cs="Arial" w:eastAsia="Arial" w:hAnsi="Arial"/>
          <w:sz w:val="18"/>
          <w:szCs w:val="18"/>
          <w:color w:val="auto"/>
        </w:rPr>
        <w:t>” means the period extending from an Offering Commencement Date through the following Offering Termination Date.</w:t>
      </w:r>
    </w:p>
    <w:p>
      <w:pPr>
        <w:spacing w:after="0" w:line="171" w:lineRule="exact"/>
        <w:rPr>
          <w:rFonts w:ascii="Arial" w:cs="Arial" w:eastAsia="Arial" w:hAnsi="Arial"/>
          <w:sz w:val="18"/>
          <w:szCs w:val="18"/>
          <w:color w:val="auto"/>
        </w:rPr>
      </w:pPr>
    </w:p>
    <w:p>
      <w:pPr>
        <w:ind w:right="180" w:firstLine="464"/>
        <w:spacing w:after="0" w:line="268" w:lineRule="auto"/>
        <w:tabs>
          <w:tab w:leader="none" w:pos="666"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Termination Date</w:t>
      </w:r>
      <w:r>
        <w:rPr>
          <w:rFonts w:ascii="Arial" w:cs="Arial" w:eastAsia="Arial" w:hAnsi="Arial"/>
          <w:sz w:val="18"/>
          <w:szCs w:val="18"/>
          <w:color w:val="auto"/>
        </w:rPr>
        <w:t>” means the last day of each March, June, September and December following an Offering Commencement Date, or such other Offering Termination Date established in connection with a Terminating Event.</w:t>
      </w:r>
    </w:p>
    <w:p>
      <w:pPr>
        <w:spacing w:after="0" w:line="131" w:lineRule="exact"/>
        <w:rPr>
          <w:rFonts w:ascii="Arial" w:cs="Arial" w:eastAsia="Arial" w:hAnsi="Arial"/>
          <w:sz w:val="18"/>
          <w:szCs w:val="18"/>
          <w:color w:val="auto"/>
        </w:rPr>
      </w:pPr>
    </w:p>
    <w:p>
      <w:pPr>
        <w:ind w:right="80" w:firstLine="464"/>
        <w:spacing w:after="0" w:line="268"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timely delivered an Election Form to the Committee in accordance with procedures established by the Committee.</w:t>
      </w:r>
    </w:p>
    <w:p>
      <w:pPr>
        <w:spacing w:after="0" w:line="131" w:lineRule="exact"/>
        <w:rPr>
          <w:rFonts w:ascii="Arial" w:cs="Arial" w:eastAsia="Arial" w:hAnsi="Arial"/>
          <w:sz w:val="18"/>
          <w:szCs w:val="18"/>
          <w:color w:val="auto"/>
        </w:rPr>
      </w:pPr>
    </w:p>
    <w:p>
      <w:pPr>
        <w:jc w:val="both"/>
        <w:ind w:right="40" w:firstLine="464"/>
        <w:spacing w:after="0" w:line="259"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Eligible Employers, if any, that are designated by the Board or the Committee from time to time. Notwithstanding the foregoing, the Board or the Committee may delegate its authority to designate an Eligible Employer as a Participating Company under this Paragraph 2(v) to an officer of the Company or committee of two or more officers of the Company.</w:t>
      </w:r>
    </w:p>
    <w:p>
      <w:pPr>
        <w:spacing w:after="0" w:line="140" w:lineRule="exact"/>
        <w:rPr>
          <w:rFonts w:ascii="Arial" w:cs="Arial" w:eastAsia="Arial" w:hAnsi="Arial"/>
          <w:sz w:val="18"/>
          <w:szCs w:val="18"/>
          <w:color w:val="auto"/>
        </w:rPr>
      </w:pPr>
    </w:p>
    <w:p>
      <w:pPr>
        <w:ind w:left="760" w:hanging="296"/>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Payroll Deductions</w:t>
      </w:r>
      <w:r>
        <w:rPr>
          <w:rFonts w:ascii="Arial" w:cs="Arial" w:eastAsia="Arial" w:hAnsi="Arial"/>
          <w:sz w:val="18"/>
          <w:szCs w:val="18"/>
          <w:color w:val="auto"/>
        </w:rPr>
        <w:t>” means amounts withheld from a Participant’s Compensation pursuant to the Plan, as described in Paragraph 5.</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Plan</w:t>
      </w:r>
      <w:r>
        <w:rPr>
          <w:rFonts w:ascii="Arial" w:cs="Arial" w:eastAsia="Arial" w:hAnsi="Arial"/>
          <w:sz w:val="15"/>
          <w:szCs w:val="15"/>
          <w:color w:val="auto"/>
        </w:rPr>
        <w:t>” means the Comcast Corporation 2002 Employee Stock Purchase Plan, as set forth in this document, and as may be amended from time to time.</w:t>
      </w:r>
    </w:p>
    <w:p>
      <w:pPr>
        <w:spacing w:after="0" w:line="205" w:lineRule="exact"/>
        <w:rPr>
          <w:rFonts w:ascii="Arial" w:cs="Arial" w:eastAsia="Arial" w:hAnsi="Arial"/>
          <w:sz w:val="15"/>
          <w:szCs w:val="15"/>
          <w:color w:val="auto"/>
        </w:rPr>
      </w:pPr>
    </w:p>
    <w:p>
      <w:pPr>
        <w:ind w:left="700" w:hanging="23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Termination Date</w:t>
      </w:r>
      <w:r>
        <w:rPr>
          <w:rFonts w:ascii="Arial" w:cs="Arial" w:eastAsia="Arial" w:hAnsi="Arial"/>
          <w:sz w:val="18"/>
          <w:szCs w:val="18"/>
          <w:color w:val="auto"/>
        </w:rPr>
        <w:t>” means the earlier of:</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Offering Termination Date for the Offering in which the maximum number of Shares specified in Paragraph 9 have been issued pursuant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Plan; or</w:t>
      </w:r>
    </w:p>
    <w:p>
      <w:pPr>
        <w:spacing w:after="0" w:line="164" w:lineRule="exact"/>
        <w:rPr>
          <w:rFonts w:ascii="Arial" w:cs="Arial" w:eastAsia="Arial" w:hAnsi="Arial"/>
          <w:sz w:val="16"/>
          <w:szCs w:val="16"/>
          <w:color w:val="auto"/>
        </w:rPr>
      </w:pPr>
    </w:p>
    <w:p>
      <w:pPr>
        <w:ind w:left="1160" w:hanging="239"/>
        <w:spacing w:after="0"/>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date as of which the Board or the Committee chooses to terminate the Plan as provided in Paragraph 14.</w:t>
      </w:r>
    </w:p>
    <w:p>
      <w:pPr>
        <w:spacing w:after="0" w:line="171" w:lineRule="exact"/>
        <w:rPr>
          <w:sz w:val="20"/>
          <w:szCs w:val="20"/>
          <w:color w:val="auto"/>
        </w:rPr>
      </w:pPr>
    </w:p>
    <w:p>
      <w:pPr>
        <w:jc w:val="both"/>
        <w:ind w:right="80" w:firstLine="464"/>
        <w:spacing w:after="0" w:line="306" w:lineRule="auto"/>
        <w:tabs>
          <w:tab w:leader="none" w:pos="773"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Price</w:t>
      </w:r>
      <w:r>
        <w:rPr>
          <w:rFonts w:ascii="Arial" w:cs="Arial" w:eastAsia="Arial" w:hAnsi="Arial"/>
          <w:sz w:val="16"/>
          <w:szCs w:val="16"/>
          <w:color w:val="auto"/>
        </w:rPr>
        <w:t>” means 85 percent of the lesser of: (1) the Fair Market Value per Share on the Offering Commencement Date, or if such date is not a trading day, then on the next trading day thereafter or (2) the Fair Market Value per Share on the Offering Termination Date, or if such date is not a trading day, then on the trading day immediately preceding the Offering Termination Date.</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40" w:name="page41"/>
    <w:bookmarkEnd w:id="40"/>
    <w:p>
      <w:pPr>
        <w:ind w:left="792" w:hanging="336"/>
        <w:spacing w:after="0"/>
        <w:tabs>
          <w:tab w:leader="none" w:pos="792" w:val="left"/>
        </w:tabs>
        <w:numPr>
          <w:ilvl w:val="1"/>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Shares</w:t>
      </w:r>
      <w:r>
        <w:rPr>
          <w:rFonts w:ascii="Arial" w:cs="Arial" w:eastAsia="Arial" w:hAnsi="Arial"/>
          <w:sz w:val="18"/>
          <w:szCs w:val="18"/>
          <w:color w:val="auto"/>
        </w:rPr>
        <w:t>” means shares of Comcast Corporation Class A Common Stock, par value $0.01.</w:t>
      </w:r>
    </w:p>
    <w:p>
      <w:pPr>
        <w:spacing w:after="0" w:line="171" w:lineRule="exact"/>
        <w:rPr>
          <w:rFonts w:ascii="Arial" w:cs="Arial" w:eastAsia="Arial" w:hAnsi="Arial"/>
          <w:sz w:val="18"/>
          <w:szCs w:val="18"/>
          <w:color w:val="auto"/>
        </w:rPr>
      </w:pPr>
    </w:p>
    <w:p>
      <w:pPr>
        <w:ind w:left="-8" w:firstLine="464"/>
        <w:spacing w:after="0" w:line="268" w:lineRule="auto"/>
        <w:tabs>
          <w:tab w:leader="none" w:pos="765"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Successor-in-Interest</w:t>
      </w:r>
      <w:r>
        <w:rPr>
          <w:rFonts w:ascii="Arial" w:cs="Arial" w:eastAsia="Arial" w:hAnsi="Arial"/>
          <w:sz w:val="18"/>
          <w:szCs w:val="18"/>
          <w:color w:val="auto"/>
        </w:rPr>
        <w:t>” means the Participant’s executor or administrator, or such other person or entity to which the Participant’s rights under the Plan shall have passed by will or the laws of descent and distribution.</w:t>
      </w:r>
    </w:p>
    <w:p>
      <w:pPr>
        <w:spacing w:after="0" w:line="131" w:lineRule="exact"/>
        <w:rPr>
          <w:rFonts w:ascii="Arial" w:cs="Arial" w:eastAsia="Arial" w:hAnsi="Arial"/>
          <w:sz w:val="18"/>
          <w:szCs w:val="18"/>
          <w:color w:val="auto"/>
        </w:rPr>
      </w:pPr>
    </w:p>
    <w:p>
      <w:pPr>
        <w:ind w:left="792" w:hanging="336"/>
        <w:spacing w:after="0"/>
        <w:tabs>
          <w:tab w:leader="none" w:pos="792"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171" w:lineRule="exact"/>
        <w:rPr>
          <w:rFonts w:ascii="Arial" w:cs="Arial" w:eastAsia="Arial" w:hAnsi="Arial"/>
          <w:sz w:val="18"/>
          <w:szCs w:val="18"/>
          <w:color w:val="auto"/>
        </w:rPr>
      </w:pPr>
    </w:p>
    <w:p>
      <w:pPr>
        <w:ind w:left="1152" w:hanging="239"/>
        <w:spacing w:after="0"/>
        <w:tabs>
          <w:tab w:leader="none" w:pos="1152"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171" w:lineRule="exact"/>
        <w:rPr>
          <w:rFonts w:ascii="Arial" w:cs="Arial" w:eastAsia="Arial" w:hAnsi="Arial"/>
          <w:sz w:val="18"/>
          <w:szCs w:val="18"/>
          <w:color w:val="auto"/>
        </w:rPr>
      </w:pPr>
    </w:p>
    <w:p>
      <w:pPr>
        <w:ind w:left="1152" w:hanging="239"/>
        <w:spacing w:after="0"/>
        <w:tabs>
          <w:tab w:leader="none" w:pos="1152" w:val="left"/>
        </w:tabs>
        <w:numPr>
          <w:ilvl w:val="2"/>
          <w:numId w:val="19"/>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71" w:lineRule="exact"/>
        <w:rPr>
          <w:rFonts w:ascii="Arial" w:cs="Arial" w:eastAsia="Arial" w:hAnsi="Arial"/>
          <w:sz w:val="18"/>
          <w:szCs w:val="18"/>
          <w:color w:val="auto"/>
        </w:rPr>
      </w:pPr>
    </w:p>
    <w:p>
      <w:pPr>
        <w:ind w:left="-8" w:right="360" w:firstLine="464"/>
        <w:spacing w:after="0" w:line="332" w:lineRule="auto"/>
        <w:tabs>
          <w:tab w:leader="none" w:pos="765" w:val="left"/>
        </w:tabs>
        <w:numPr>
          <w:ilvl w:val="1"/>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together with such Person’s Affiliates, provided that the term “Third Party” shall not include the Company or an Affiliate of the Company.</w:t>
      </w:r>
    </w:p>
    <w:p>
      <w:pPr>
        <w:spacing w:after="0" w:line="85" w:lineRule="exact"/>
        <w:rPr>
          <w:rFonts w:ascii="Arial" w:cs="Arial" w:eastAsia="Arial" w:hAnsi="Arial"/>
          <w:sz w:val="16"/>
          <w:szCs w:val="16"/>
          <w:color w:val="auto"/>
        </w:rPr>
      </w:pPr>
    </w:p>
    <w:p>
      <w:pPr>
        <w:ind w:left="-8" w:firstLine="464"/>
        <w:spacing w:after="0" w:line="268" w:lineRule="auto"/>
        <w:tabs>
          <w:tab w:leader="none" w:pos="723"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Form</w:t>
      </w:r>
      <w:r>
        <w:rPr>
          <w:rFonts w:ascii="Arial" w:cs="Arial" w:eastAsia="Arial" w:hAnsi="Arial"/>
          <w:sz w:val="18"/>
          <w:szCs w:val="18"/>
          <w:color w:val="auto"/>
        </w:rPr>
        <w:t>” means the written or electronic form acceptable to the Committee which an Employee shall use to discontinue participation during an Offering Period pursuant to Paragraph 7(b).</w:t>
      </w:r>
    </w:p>
    <w:p>
      <w:pPr>
        <w:spacing w:after="0" w:line="206" w:lineRule="exact"/>
        <w:rPr>
          <w:rFonts w:ascii="Arial" w:cs="Arial" w:eastAsia="Arial" w:hAnsi="Arial"/>
          <w:sz w:val="18"/>
          <w:szCs w:val="18"/>
          <w:color w:val="auto"/>
        </w:rPr>
      </w:pPr>
    </w:p>
    <w:p>
      <w:pPr>
        <w:ind w:left="172" w:hanging="172"/>
        <w:spacing w:after="0"/>
        <w:tabs>
          <w:tab w:leader="none" w:pos="17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 and Participation</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692" w:hanging="236"/>
        <w:spacing w:after="0"/>
        <w:tabs>
          <w:tab w:leader="none" w:pos="692"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Except to the extent participation is restricted under Paragraph 3(b), each Eligible Employee shall be eligible to participate in the Plan.</w:t>
      </w:r>
    </w:p>
    <w:p>
      <w:pPr>
        <w:spacing w:after="0" w:line="194" w:lineRule="exact"/>
        <w:rPr>
          <w:rFonts w:ascii="Arial" w:cs="Arial" w:eastAsia="Arial" w:hAnsi="Arial"/>
          <w:sz w:val="16"/>
          <w:szCs w:val="16"/>
          <w:color w:val="auto"/>
        </w:rPr>
      </w:pPr>
    </w:p>
    <w:p>
      <w:pPr>
        <w:ind w:left="-8" w:right="560" w:firstLine="464"/>
        <w:spacing w:after="0" w:line="268" w:lineRule="auto"/>
        <w:tabs>
          <w:tab w:leader="none" w:pos="697"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Restrictions on Participation</w:t>
      </w:r>
      <w:r>
        <w:rPr>
          <w:rFonts w:ascii="Arial" w:cs="Arial" w:eastAsia="Arial" w:hAnsi="Arial"/>
          <w:sz w:val="18"/>
          <w:szCs w:val="18"/>
          <w:color w:val="auto"/>
        </w:rPr>
        <w:t>. Notwithstanding any provisions of the Plan to the contrary, no Employee shall be eligible to purchase Shares in an Offering to the extent that:</w:t>
      </w:r>
    </w:p>
    <w:p>
      <w:pPr>
        <w:spacing w:after="0" w:line="131" w:lineRule="exact"/>
        <w:rPr>
          <w:rFonts w:ascii="Arial" w:cs="Arial" w:eastAsia="Arial" w:hAnsi="Arial"/>
          <w:sz w:val="18"/>
          <w:szCs w:val="18"/>
          <w:color w:val="auto"/>
        </w:rPr>
      </w:pPr>
    </w:p>
    <w:p>
      <w:pPr>
        <w:ind w:left="1152" w:hanging="239"/>
        <w:spacing w:after="0"/>
        <w:tabs>
          <w:tab w:leader="none" w:pos="1152" w:val="left"/>
        </w:tabs>
        <w:numPr>
          <w:ilvl w:val="2"/>
          <w:numId w:val="20"/>
        </w:numPr>
        <w:rPr>
          <w:rFonts w:ascii="Arial" w:cs="Arial" w:eastAsia="Arial" w:hAnsi="Arial"/>
          <w:sz w:val="18"/>
          <w:szCs w:val="18"/>
          <w:color w:val="auto"/>
        </w:rPr>
      </w:pPr>
      <w:r>
        <w:rPr>
          <w:rFonts w:ascii="Arial" w:cs="Arial" w:eastAsia="Arial" w:hAnsi="Arial"/>
          <w:sz w:val="18"/>
          <w:szCs w:val="18"/>
          <w:color w:val="auto"/>
        </w:rPr>
        <w:t>immediately after the purchase of Shares, such Employee would be a Five Percent Owner; or</w:t>
      </w:r>
    </w:p>
    <w:p>
      <w:pPr>
        <w:spacing w:after="0" w:line="171" w:lineRule="exact"/>
        <w:rPr>
          <w:rFonts w:ascii="Arial" w:cs="Arial" w:eastAsia="Arial" w:hAnsi="Arial"/>
          <w:sz w:val="18"/>
          <w:szCs w:val="18"/>
          <w:color w:val="auto"/>
        </w:rPr>
      </w:pPr>
    </w:p>
    <w:p>
      <w:pPr>
        <w:ind w:left="-8" w:right="100" w:firstLine="921"/>
        <w:spacing w:after="0" w:line="259" w:lineRule="auto"/>
        <w:tabs>
          <w:tab w:leader="none" w:pos="1154" w:val="left"/>
        </w:tabs>
        <w:numPr>
          <w:ilvl w:val="2"/>
          <w:numId w:val="20"/>
        </w:numPr>
        <w:rPr>
          <w:rFonts w:ascii="Arial" w:cs="Arial" w:eastAsia="Arial" w:hAnsi="Arial"/>
          <w:sz w:val="18"/>
          <w:szCs w:val="18"/>
          <w:color w:val="auto"/>
        </w:rPr>
      </w:pPr>
      <w:r>
        <w:rPr>
          <w:rFonts w:ascii="Arial" w:cs="Arial" w:eastAsia="Arial" w:hAnsi="Arial"/>
          <w:sz w:val="18"/>
          <w:szCs w:val="18"/>
          <w:color w:val="auto"/>
        </w:rPr>
        <w:t>a purchase of Shares would permit such Employee’s rights to purchase stock under all employee stock purchase plans of the Participating Companies which meet the requirements of section 423(b) of the Code to accrue at a rate which exceeds $25,000 in fair market value (as determined pursuant to section 423(b)(8) of the Code) for each calendar year in which such right to purchase Shares is outstanding.</w:t>
      </w:r>
    </w:p>
    <w:p>
      <w:pPr>
        <w:spacing w:after="0" w:line="140" w:lineRule="exact"/>
        <w:rPr>
          <w:rFonts w:ascii="Arial" w:cs="Arial" w:eastAsia="Arial" w:hAnsi="Arial"/>
          <w:sz w:val="18"/>
          <w:szCs w:val="18"/>
          <w:color w:val="auto"/>
        </w:rPr>
      </w:pPr>
    </w:p>
    <w:p>
      <w:pPr>
        <w:jc w:val="both"/>
        <w:ind w:left="-8" w:firstLine="464"/>
        <w:spacing w:after="0" w:line="298" w:lineRule="auto"/>
        <w:tabs>
          <w:tab w:leader="none" w:pos="687"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Commencement of Participation</w:t>
      </w:r>
      <w:r>
        <w:rPr>
          <w:rFonts w:ascii="Arial" w:cs="Arial" w:eastAsia="Arial" w:hAnsi="Arial"/>
          <w:sz w:val="16"/>
          <w:szCs w:val="16"/>
          <w:color w:val="auto"/>
        </w:rPr>
        <w:t>. An Eligible Employee shall become a Participant by completing an Election Form and filing it with the Committee on or before the 15th day of the month immediately preceding the Offering Commencement Date for the first Offering to which such Election Form applies. Payroll Deductions for a Participant shall commence on first payroll period ending after the applicable Offering Commencement Date when his or her authorization for Payroll Deductions becomes effective, and shall end on the Plan Termination Date, unless sooner terminated by the Participant pursuant to Paragraph 7(b).</w:t>
      </w:r>
    </w:p>
    <w:p>
      <w:pPr>
        <w:spacing w:after="0" w:line="9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72"/>
          </w:cols>
          <w:pgMar w:left="248" w:top="280" w:right="279" w:bottom="1440" w:gutter="0" w:footer="0" w:header="0"/>
        </w:sectPr>
      </w:pPr>
    </w:p>
    <w:bookmarkStart w:id="41" w:name="page42"/>
    <w:bookmarkEnd w:id="41"/>
    <w:p>
      <w:pPr>
        <w:ind w:left="180" w:hanging="172"/>
        <w:spacing w:after="0"/>
        <w:tabs>
          <w:tab w:leader="none" w:pos="1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Per Offering</w:t>
      </w:r>
      <w:r>
        <w:rPr>
          <w:rFonts w:ascii="Arial" w:cs="Arial" w:eastAsia="Arial" w:hAnsi="Arial"/>
          <w:sz w:val="18"/>
          <w:szCs w:val="18"/>
          <w:b w:val="1"/>
          <w:bCs w:val="1"/>
          <w:color w:val="auto"/>
        </w:rPr>
        <w:t>.</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Plan shall be implemented by a series of Offerings that shall commence after Offerings have been authorized by the Board or the Committee, and terminate on the Plan Termination Date. Offerings shall be made with respect to Compensation accumulated during each Offering Period for the period commencing with the first day of the first Offering Period (when such Offering Period is authorized by the Board or the Committee) and ending with the Plan Termination Date. Shares available for any Offering shall be the difference between the maximum number of Shares that may be issued under the Plan, as determined pursuant to Paragraph 8(a), for all of the Offerings, less the actual number of Shares purchased by Participants pursuant to prior Offerings, provided that notwithstanding any other provisions of the Plan to the contrary, for any Offering Period beginning after December 31, 2009, the maximum number of Shares subject to purchase by any Participant for any Offering Period shall not exceed 1,500. If the total number of Shares subject to purchase under the Plan on any Offering Termination Date exceeds the maximum number of Shares available, the Board or the Committee shall make a pro rata allocation of Shares available for delivery and distribution in as nearly a uniform manner as practicable, and as it shall determine to be fair and equitable, and the unapplied Account balances shall be returned to Participants as soon as practicable following the Offering Termination Date.</w:t>
      </w:r>
    </w:p>
    <w:p>
      <w:pPr>
        <w:spacing w:after="0" w:line="198"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Payroll Deductions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20" w:firstLine="464"/>
        <w:spacing w:after="0" w:line="256" w:lineRule="auto"/>
        <w:tabs>
          <w:tab w:leader="none" w:pos="695"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Amount of Payroll Deductions</w:t>
      </w:r>
      <w:r>
        <w:rPr>
          <w:rFonts w:ascii="Arial" w:cs="Arial" w:eastAsia="Arial" w:hAnsi="Arial"/>
          <w:sz w:val="18"/>
          <w:szCs w:val="18"/>
          <w:color w:val="auto"/>
        </w:rPr>
        <w:t>. On the Election Form, an Eligible Employee may elect to have Payroll Deductions of not more than 15 percent of Compensation earned for each payroll period ending within the Offering Period, subject to the limitation that the maximum amount of Payroll Deductions for any Eligible Employee for any calendar year shall not exceed $10,000. The rules established by the Committee regarding Payroll Deductions, as reflected on the Election Form, shall be consistent with section 423(b)(5) of the Code.</w:t>
      </w:r>
    </w:p>
    <w:p>
      <w:pPr>
        <w:spacing w:after="0" w:line="143" w:lineRule="exact"/>
        <w:rPr>
          <w:rFonts w:ascii="Arial" w:cs="Arial" w:eastAsia="Arial" w:hAnsi="Arial"/>
          <w:sz w:val="18"/>
          <w:szCs w:val="18"/>
          <w:color w:val="auto"/>
        </w:rPr>
      </w:pPr>
    </w:p>
    <w:p>
      <w:pPr>
        <w:ind w:right="280" w:firstLine="464"/>
        <w:spacing w:after="0" w:line="268" w:lineRule="auto"/>
        <w:tabs>
          <w:tab w:leader="none" w:pos="705"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Participants’ Accounts</w:t>
      </w:r>
      <w:r>
        <w:rPr>
          <w:rFonts w:ascii="Arial" w:cs="Arial" w:eastAsia="Arial" w:hAnsi="Arial"/>
          <w:sz w:val="18"/>
          <w:szCs w:val="18"/>
          <w:color w:val="auto"/>
        </w:rPr>
        <w:t>. All Payroll Deductions with respect to a Participant pursuant to Paragraph 5(a) shall be credited to the Participant’s Account under the Plan.</w:t>
      </w:r>
    </w:p>
    <w:p>
      <w:pPr>
        <w:spacing w:after="0" w:line="131" w:lineRule="exact"/>
        <w:rPr>
          <w:rFonts w:ascii="Arial" w:cs="Arial" w:eastAsia="Arial" w:hAnsi="Arial"/>
          <w:sz w:val="18"/>
          <w:szCs w:val="18"/>
          <w:color w:val="auto"/>
        </w:rPr>
      </w:pPr>
    </w:p>
    <w:p>
      <w:pPr>
        <w:ind w:right="100" w:firstLine="464"/>
        <w:spacing w:after="0" w:line="294" w:lineRule="auto"/>
        <w:tabs>
          <w:tab w:leader="none" w:pos="695"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Changes in Payroll Deductions</w:t>
      </w:r>
      <w:r>
        <w:rPr>
          <w:rFonts w:ascii="Arial" w:cs="Arial" w:eastAsia="Arial" w:hAnsi="Arial"/>
          <w:sz w:val="16"/>
          <w:szCs w:val="16"/>
          <w:color w:val="auto"/>
        </w:rPr>
        <w:t>. A Participant may discontinue Payroll Deductions during an Offering Period by providing a Termination Form to the Committee at any time before the Offering Termination Date applicable to any Offering. No other change can be made during an Offering, including, but not limited to, changes in the amount of Payroll Deductions for such Offering. A Participant may change the amount of Payroll Deductions for subsequent Offerings by giving written notice (or notice in another form pursuant to procedures established by the Committee) of such change to the Committee on or before the 15th day of the month immediately preceding the Offering Commencement Date for the Offering for which such change is effective.</w:t>
      </w:r>
    </w:p>
    <w:p>
      <w:pPr>
        <w:spacing w:after="0" w:line="190" w:lineRule="exact"/>
        <w:rPr>
          <w:rFonts w:ascii="Arial" w:cs="Arial" w:eastAsia="Arial" w:hAnsi="Arial"/>
          <w:sz w:val="16"/>
          <w:szCs w:val="16"/>
          <w:color w:val="auto"/>
        </w:rPr>
      </w:pPr>
    </w:p>
    <w:p>
      <w:pPr>
        <w:ind w:left="180" w:hanging="172"/>
        <w:spacing w:after="0"/>
        <w:tabs>
          <w:tab w:leader="none" w:pos="1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Purchase of Shares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140" w:firstLine="464"/>
        <w:spacing w:after="0" w:line="256" w:lineRule="auto"/>
        <w:tabs>
          <w:tab w:leader="none" w:pos="695"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On each Offering Termination Date, each Participant shall be deemed to have purchased a number of whole Shares equal to the quotient obtained by dividing the balance credited to the Participant’s Account as of the Offering Termination Date, by the Purchase Price, rounded to the next lowest whole Share. Shares deemed purchased by a Participant under the Plan shall be credited to the Participant’s Brokerage Account as soon as practicable following the Offering Termination Date.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42" w:name="page43"/>
    <w:bookmarkEnd w:id="42"/>
    <w:p>
      <w:pPr>
        <w:ind w:left="-8" w:right="300" w:firstLine="464"/>
        <w:spacing w:after="0" w:line="306" w:lineRule="auto"/>
        <w:tabs>
          <w:tab w:leader="none" w:pos="697"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Terminating Events</w:t>
      </w:r>
      <w:r>
        <w:rPr>
          <w:rFonts w:ascii="Arial" w:cs="Arial" w:eastAsia="Arial" w:hAnsi="Arial"/>
          <w:sz w:val="16"/>
          <w:szCs w:val="16"/>
          <w:color w:val="auto"/>
        </w:rPr>
        <w:t>. The Company shall give Participants at least 30 days’ notice (or, if not practicable, such shorter notice as may be reasonably practicable) prior to the anticipated date of the consummation of a Terminating Event. The 20th day following the issuance of such notice by the Company (or such earlier date as the Board or the Committee may reasonably determine) shall constitute the Offering Termination Date for any outstanding Offering.</w:t>
      </w:r>
    </w:p>
    <w:p>
      <w:pPr>
        <w:spacing w:after="0" w:line="106" w:lineRule="exact"/>
        <w:rPr>
          <w:rFonts w:ascii="Arial" w:cs="Arial" w:eastAsia="Arial" w:hAnsi="Arial"/>
          <w:sz w:val="16"/>
          <w:szCs w:val="16"/>
          <w:color w:val="auto"/>
        </w:rPr>
      </w:pPr>
    </w:p>
    <w:p>
      <w:pPr>
        <w:ind w:left="-8" w:right="160" w:firstLine="464"/>
        <w:spacing w:after="0" w:line="306" w:lineRule="auto"/>
        <w:tabs>
          <w:tab w:leader="none" w:pos="687"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Fractional Shares and Minimum Number of Shares</w:t>
      </w:r>
      <w:r>
        <w:rPr>
          <w:rFonts w:ascii="Arial" w:cs="Arial" w:eastAsia="Arial" w:hAnsi="Arial"/>
          <w:sz w:val="16"/>
          <w:szCs w:val="16"/>
          <w:color w:val="auto"/>
        </w:rPr>
        <w:t>. Fractional Shares shall not be issued under the Plan. Amounts credited to an Account remaining after the application of such Account to the purchase of Shares under the Plan shall be credited to the Participant’s Account for the next succeeding Offering, or, at the Participant’s election, returned to the Participant as soon as practicable following the Offering Termination Date, without interest.</w:t>
      </w:r>
    </w:p>
    <w:p>
      <w:pPr>
        <w:spacing w:after="0" w:line="106" w:lineRule="exact"/>
        <w:rPr>
          <w:rFonts w:ascii="Arial" w:cs="Arial" w:eastAsia="Arial" w:hAnsi="Arial"/>
          <w:sz w:val="16"/>
          <w:szCs w:val="16"/>
          <w:color w:val="auto"/>
        </w:rPr>
      </w:pPr>
    </w:p>
    <w:p>
      <w:pPr>
        <w:ind w:left="-8" w:right="160" w:firstLine="464"/>
        <w:spacing w:after="0" w:line="259" w:lineRule="auto"/>
        <w:tabs>
          <w:tab w:leader="none" w:pos="697"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Transferability of Rights to Purchase Shares</w:t>
      </w:r>
      <w:r>
        <w:rPr>
          <w:rFonts w:ascii="Arial" w:cs="Arial" w:eastAsia="Arial" w:hAnsi="Arial"/>
          <w:sz w:val="18"/>
          <w:szCs w:val="18"/>
          <w:color w:val="auto"/>
        </w:rPr>
        <w:t>. No right to purchase Shares pursuant to the Plan shall be transferable other than by will or by the laws of descent and distribution, and no such right to purchase Shares pursuant to the Plan shall be exercisable during the Participant’s lifetime other than by the Participant.</w:t>
      </w:r>
    </w:p>
    <w:p>
      <w:pPr>
        <w:spacing w:after="0" w:line="215" w:lineRule="exact"/>
        <w:rPr>
          <w:rFonts w:ascii="Arial" w:cs="Arial" w:eastAsia="Arial" w:hAnsi="Arial"/>
          <w:sz w:val="18"/>
          <w:szCs w:val="18"/>
          <w:color w:val="auto"/>
        </w:rPr>
      </w:pPr>
    </w:p>
    <w:p>
      <w:pPr>
        <w:ind w:left="172" w:hanging="172"/>
        <w:spacing w:after="0"/>
        <w:tabs>
          <w:tab w:leader="none" w:pos="17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Participation</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692" w:hanging="236"/>
        <w:spacing w:after="0"/>
        <w:tabs>
          <w:tab w:leader="none" w:pos="692"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Account</w:t>
      </w:r>
      <w:r>
        <w:rPr>
          <w:rFonts w:ascii="Arial" w:cs="Arial" w:eastAsia="Arial" w:hAnsi="Arial"/>
          <w:sz w:val="18"/>
          <w:szCs w:val="18"/>
          <w:color w:val="auto"/>
        </w:rPr>
        <w:t>. Except as provided in Paragraph 7(c), no amounts shall be distributed from Participants’ Accounts during an Offering Period.</w:t>
      </w:r>
    </w:p>
    <w:p>
      <w:pPr>
        <w:spacing w:after="0" w:line="171" w:lineRule="exact"/>
        <w:rPr>
          <w:rFonts w:ascii="Arial" w:cs="Arial" w:eastAsia="Arial" w:hAnsi="Arial"/>
          <w:sz w:val="18"/>
          <w:szCs w:val="18"/>
          <w:color w:val="auto"/>
        </w:rPr>
      </w:pPr>
    </w:p>
    <w:p>
      <w:pPr>
        <w:ind w:left="-8" w:firstLine="464"/>
        <w:spacing w:after="0" w:line="298" w:lineRule="auto"/>
        <w:tabs>
          <w:tab w:leader="none" w:pos="697"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Suspension of Participation</w:t>
      </w:r>
      <w:r>
        <w:rPr>
          <w:rFonts w:ascii="Arial" w:cs="Arial" w:eastAsia="Arial" w:hAnsi="Arial"/>
          <w:sz w:val="16"/>
          <w:szCs w:val="16"/>
          <w:color w:val="auto"/>
        </w:rPr>
        <w:t>. A Participant may discontinue Payroll Deductions during an Offering Period by providing a Termination Form to the Committee at any time before the Offering Termination Date applicable to any Offering. All amounts credited to such Participant’s Account shall be applied to the purchase of Shares pursuant to Paragraph 6. A Participant who discontinues Payroll Deductions during an Offering Period shall not be eligible to participate in the Offering next following the date on which the Participant delivers the Termination Form to the Committee.</w:t>
      </w:r>
    </w:p>
    <w:p>
      <w:pPr>
        <w:spacing w:after="0" w:line="112" w:lineRule="exact"/>
        <w:rPr>
          <w:rFonts w:ascii="Arial" w:cs="Arial" w:eastAsia="Arial" w:hAnsi="Arial"/>
          <w:sz w:val="16"/>
          <w:szCs w:val="16"/>
          <w:color w:val="auto"/>
        </w:rPr>
      </w:pPr>
    </w:p>
    <w:p>
      <w:pPr>
        <w:ind w:left="-8" w:right="200" w:firstLine="464"/>
        <w:spacing w:after="0" w:line="268" w:lineRule="auto"/>
        <w:tabs>
          <w:tab w:leader="none" w:pos="687"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Upon termination of a Participant’s employment for any reason, all amounts credited to such Participant’s Account shall be returned to the Participant, or, following the Participant’s death, to the Participant’s Successor-in-Interest.</w:t>
      </w:r>
    </w:p>
    <w:p>
      <w:pPr>
        <w:spacing w:after="0" w:line="206" w:lineRule="exact"/>
        <w:rPr>
          <w:rFonts w:ascii="Arial" w:cs="Arial" w:eastAsia="Arial" w:hAnsi="Arial"/>
          <w:sz w:val="18"/>
          <w:szCs w:val="18"/>
          <w:color w:val="auto"/>
        </w:rPr>
      </w:pPr>
    </w:p>
    <w:p>
      <w:pPr>
        <w:ind w:left="172" w:hanging="172"/>
        <w:spacing w:after="0"/>
        <w:tabs>
          <w:tab w:leader="none" w:pos="17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Interest</w:t>
      </w:r>
      <w:r>
        <w:rPr>
          <w:rFonts w:ascii="Arial" w:cs="Arial" w:eastAsia="Arial" w:hAnsi="Arial"/>
          <w:sz w:val="18"/>
          <w:szCs w:val="18"/>
          <w:b w:val="1"/>
          <w:bCs w:val="1"/>
          <w:color w:val="auto"/>
        </w:rPr>
        <w:t>.</w:t>
      </w:r>
    </w:p>
    <w:p>
      <w:pPr>
        <w:spacing w:after="0" w:line="96" w:lineRule="exact"/>
        <w:rPr>
          <w:sz w:val="20"/>
          <w:szCs w:val="20"/>
          <w:color w:val="auto"/>
        </w:rPr>
      </w:pPr>
    </w:p>
    <w:p>
      <w:pPr>
        <w:ind w:left="452"/>
        <w:spacing w:after="0"/>
        <w:rPr>
          <w:sz w:val="20"/>
          <w:szCs w:val="20"/>
          <w:color w:val="auto"/>
        </w:rPr>
      </w:pPr>
      <w:r>
        <w:rPr>
          <w:rFonts w:ascii="Arial" w:cs="Arial" w:eastAsia="Arial" w:hAnsi="Arial"/>
          <w:sz w:val="18"/>
          <w:szCs w:val="18"/>
          <w:color w:val="auto"/>
        </w:rPr>
        <w:t>No interest shall be paid or allowed with respect to Payroll Deductions paid into the Plan or credited to any Participant’s Account.</w:t>
      </w:r>
    </w:p>
    <w:p>
      <w:pPr>
        <w:spacing w:after="0" w:line="158"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280" w:right="239" w:bottom="1440" w:gutter="0" w:footer="0" w:header="0"/>
        </w:sectPr>
      </w:pPr>
    </w:p>
    <w:bookmarkStart w:id="43" w:name="page44"/>
    <w:bookmarkEnd w:id="43"/>
    <w:p>
      <w:pPr>
        <w:ind w:left="180" w:hanging="172"/>
        <w:spacing w:after="0"/>
        <w:tabs>
          <w:tab w:leader="none" w:pos="1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firstLine="464"/>
        <w:spacing w:after="0" w:line="301" w:lineRule="auto"/>
        <w:tabs>
          <w:tab w:leader="none" w:pos="695" w:val="left"/>
        </w:tabs>
        <w:numPr>
          <w:ilvl w:val="1"/>
          <w:numId w:val="25"/>
        </w:numPr>
        <w:rPr>
          <w:rFonts w:ascii="Arial" w:cs="Arial" w:eastAsia="Arial" w:hAnsi="Arial"/>
          <w:sz w:val="15"/>
          <w:szCs w:val="15"/>
          <w:color w:val="auto"/>
        </w:rPr>
      </w:pPr>
      <w:r>
        <w:rPr>
          <w:rFonts w:ascii="Arial" w:cs="Arial" w:eastAsia="Arial" w:hAnsi="Arial"/>
          <w:sz w:val="15"/>
          <w:szCs w:val="15"/>
          <w:u w:val="single" w:color="auto"/>
          <w:color w:val="auto"/>
        </w:rPr>
        <w:t>Maximum Number of Shares; Adjustments</w:t>
      </w:r>
      <w:r>
        <w:rPr>
          <w:rFonts w:ascii="Arial" w:cs="Arial" w:eastAsia="Arial" w:hAnsi="Arial"/>
          <w:sz w:val="15"/>
          <w:szCs w:val="15"/>
          <w:color w:val="auto"/>
        </w:rPr>
        <w:t>. Subject to adjustment as provided in this Paragraph 9, not more than 26,500,000 Shares in the aggregate may be issued pursuant to the Plan pursuant to Offerings under the Plan, including Offerings commenced since the Plan first became effective as the Comcast Corporation 2001 Employee Stock Purchase Plan. Shares delivered pursuant to the Plan may, at the Company’s option, be either treasury Shares or Shares originally issued for such purpose. 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Board or the Committee shall make appropriate equitable anti-dilution adjustments to the number and class of shares of stock available for issuance under the Plan, to the number and class of shares of stock subject to outstanding Offerings and to the Purchase Price. Any reference to the Purchase Price in the Plan and in any related documents shall be a reference to the Purchase Price as so adjusted. Any reference to the term “Shares” in the Plan and in any related documents shall be a reference to the appropriate number and class of shares of stock available for issuance under the Plan, as adjusted pursuant to this Paragraph</w:t>
      </w:r>
    </w:p>
    <w:p>
      <w:pPr>
        <w:spacing w:after="0" w:line="4" w:lineRule="exact"/>
        <w:rPr>
          <w:rFonts w:ascii="Arial" w:cs="Arial" w:eastAsia="Arial" w:hAnsi="Arial"/>
          <w:sz w:val="15"/>
          <w:szCs w:val="15"/>
          <w:color w:val="auto"/>
        </w:rPr>
      </w:pPr>
    </w:p>
    <w:p>
      <w:pPr>
        <w:ind w:right="180" w:firstLine="8"/>
        <w:spacing w:after="0" w:line="261" w:lineRule="auto"/>
        <w:tabs>
          <w:tab w:leader="none" w:pos="1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Board’s or the Committee’s adjustment shall be effective and binding for all purposes of this Plan. All Shares issued pursuant to the Plan shall be validly issued, fully paid and nonassessable.</w:t>
      </w:r>
    </w:p>
    <w:p>
      <w:pPr>
        <w:spacing w:after="0" w:line="137" w:lineRule="exact"/>
        <w:rPr>
          <w:rFonts w:ascii="Arial" w:cs="Arial" w:eastAsia="Arial" w:hAnsi="Arial"/>
          <w:sz w:val="18"/>
          <w:szCs w:val="18"/>
          <w:color w:val="auto"/>
        </w:rPr>
      </w:pPr>
    </w:p>
    <w:p>
      <w:pPr>
        <w:ind w:right="600" w:firstLine="464"/>
        <w:spacing w:after="0" w:line="268" w:lineRule="auto"/>
        <w:tabs>
          <w:tab w:leader="none" w:pos="705"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Participant’s Interest in Shares</w:t>
      </w:r>
      <w:r>
        <w:rPr>
          <w:rFonts w:ascii="Arial" w:cs="Arial" w:eastAsia="Arial" w:hAnsi="Arial"/>
          <w:sz w:val="18"/>
          <w:szCs w:val="18"/>
          <w:color w:val="auto"/>
        </w:rPr>
        <w:t>. A Participant shall have no interest in Shares offered under the Plan until Shares are credited to the Participant’s Brokerage Account.</w:t>
      </w:r>
    </w:p>
    <w:p>
      <w:pPr>
        <w:spacing w:after="0" w:line="131" w:lineRule="exact"/>
        <w:rPr>
          <w:rFonts w:ascii="Arial" w:cs="Arial" w:eastAsia="Arial" w:hAnsi="Arial"/>
          <w:sz w:val="18"/>
          <w:szCs w:val="18"/>
          <w:color w:val="auto"/>
        </w:rPr>
      </w:pPr>
    </w:p>
    <w:p>
      <w:pPr>
        <w:ind w:right="640" w:firstLine="464"/>
        <w:spacing w:after="0" w:line="268" w:lineRule="auto"/>
        <w:tabs>
          <w:tab w:leader="none" w:pos="695"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Crediting of Shares to Brokerage Account</w:t>
      </w:r>
      <w:r>
        <w:rPr>
          <w:rFonts w:ascii="Arial" w:cs="Arial" w:eastAsia="Arial" w:hAnsi="Arial"/>
          <w:sz w:val="18"/>
          <w:szCs w:val="18"/>
          <w:color w:val="auto"/>
        </w:rPr>
        <w:t>. Shares purchased under the Plan shall be credited to the Participant’s Brokerage Account as soon as practicable following the Offering Termination Date.</w:t>
      </w:r>
    </w:p>
    <w:p>
      <w:pPr>
        <w:spacing w:after="0" w:line="131" w:lineRule="exact"/>
        <w:rPr>
          <w:rFonts w:ascii="Arial" w:cs="Arial" w:eastAsia="Arial" w:hAnsi="Arial"/>
          <w:sz w:val="18"/>
          <w:szCs w:val="18"/>
          <w:color w:val="auto"/>
        </w:rPr>
      </w:pPr>
    </w:p>
    <w:p>
      <w:pPr>
        <w:ind w:right="260" w:firstLine="464"/>
        <w:spacing w:after="0" w:line="332" w:lineRule="auto"/>
        <w:tabs>
          <w:tab w:leader="none" w:pos="705"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Restrictions on Purchase</w:t>
      </w:r>
      <w:r>
        <w:rPr>
          <w:rFonts w:ascii="Arial" w:cs="Arial" w:eastAsia="Arial" w:hAnsi="Arial"/>
          <w:sz w:val="16"/>
          <w:szCs w:val="16"/>
          <w:color w:val="auto"/>
        </w:rPr>
        <w:t>. The Board or the Committee may, in its discretion, require as conditions to the purchase of any Shares under the Plan such conditions as it may deem necessary to assure that such purchase of Shares is in compliance with applicable securities laws.</w:t>
      </w:r>
    </w:p>
    <w:p>
      <w:pPr>
        <w:spacing w:after="0" w:line="160" w:lineRule="exact"/>
        <w:rPr>
          <w:rFonts w:ascii="Arial" w:cs="Arial" w:eastAsia="Arial" w:hAnsi="Arial"/>
          <w:sz w:val="16"/>
          <w:szCs w:val="16"/>
          <w:color w:val="auto"/>
        </w:rPr>
      </w:pPr>
    </w:p>
    <w:p>
      <w:pPr>
        <w:ind w:left="280" w:hanging="272"/>
        <w:spacing w:after="0"/>
        <w:tabs>
          <w:tab w:leader="none" w:pos="2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Participating Companies shall pay all fees and expenses incurred (excluding individual Federal, state, local or other taxes) in connection with the Plan. No charge or deduction for any such expenses will be made to a Participant upon the termination of his or her participation under the Plan or upon the distribution of certificates representing Shares purchased with his or her Payroll Deductions.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44" w:name="page45"/>
    <w:bookmarkEnd w:id="44"/>
    <w:p>
      <w:pPr>
        <w:ind w:left="260" w:hanging="252"/>
        <w:spacing w:after="0"/>
        <w:tabs>
          <w:tab w:leader="none" w:pos="2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Taxes</w:t>
      </w:r>
      <w:r>
        <w:rPr>
          <w:rFonts w:ascii="Arial" w:cs="Arial" w:eastAsia="Arial" w:hAnsi="Arial"/>
          <w:sz w:val="18"/>
          <w:szCs w:val="18"/>
          <w:b w:val="1"/>
          <w:bCs w:val="1"/>
          <w:color w:val="auto"/>
        </w:rPr>
        <w:t>.</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Participating Companies shall have the right to withhold from each Participant’s Compensation an amount equal to all federal, state, city or other taxes as the Participating Companies shall determine are required to be withheld by them in connection with the purchase of Shares under the Plan and in connection with the sale of Shares acquired under the Plan. In connection with such withholding, the Participating Companies may make any such arrangements as they may deem necessary or appropriate to protect their interests.</w:t>
      </w:r>
    </w:p>
    <w:p>
      <w:pPr>
        <w:spacing w:after="0" w:line="218" w:lineRule="exact"/>
        <w:rPr>
          <w:sz w:val="20"/>
          <w:szCs w:val="20"/>
          <w:color w:val="auto"/>
        </w:rPr>
      </w:pPr>
    </w:p>
    <w:p>
      <w:pPr>
        <w:ind w:left="280" w:hanging="272"/>
        <w:spacing w:after="0"/>
        <w:tabs>
          <w:tab w:leader="none" w:pos="2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and Contributions Not to Affect Employment</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shall not confer upon any Eligible Employee any right to continue in the employ of the Participating Companies.</w:t>
      </w:r>
    </w:p>
    <w:p>
      <w:pPr>
        <w:spacing w:after="0" w:line="246" w:lineRule="exact"/>
        <w:rPr>
          <w:sz w:val="20"/>
          <w:szCs w:val="20"/>
          <w:color w:val="auto"/>
        </w:rPr>
      </w:pPr>
    </w:p>
    <w:p>
      <w:pPr>
        <w:ind w:left="280" w:hanging="272"/>
        <w:spacing w:after="0"/>
        <w:tabs>
          <w:tab w:leader="none" w:pos="2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Plan shall be administered by the Committee. The Board and the Committee shall have authority to interpret the Plan, to prescribe, amend and rescind rules and regulations relating to it, and to make all other determinations deemed necessary or advisable in administering the Plan, with or without the advice of counsel. The Committee may delegate its administrative duties, subject to its review and supervision, to the appropriate officers and employees of the Company. The determinations of the Board and the Committee on the matters referred to in this Paragraph 13 shall be conclusive and binding.</w:t>
      </w:r>
    </w:p>
    <w:p>
      <w:pPr>
        <w:spacing w:after="0" w:line="188" w:lineRule="exact"/>
        <w:rPr>
          <w:sz w:val="20"/>
          <w:szCs w:val="20"/>
          <w:color w:val="auto"/>
        </w:rPr>
      </w:pPr>
    </w:p>
    <w:p>
      <w:pPr>
        <w:ind w:left="280" w:hanging="272"/>
        <w:spacing w:after="0"/>
        <w:tabs>
          <w:tab w:leader="none" w:pos="2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Termination</w:t>
      </w:r>
      <w:r>
        <w:rPr>
          <w:rFonts w:ascii="Arial" w:cs="Arial" w:eastAsia="Arial" w:hAnsi="Arial"/>
          <w:sz w:val="18"/>
          <w:szCs w:val="18"/>
          <w:b w:val="1"/>
          <w:bCs w:val="1"/>
          <w:color w:val="auto"/>
        </w:rPr>
        <w:t>.</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Board or the Committee may terminate the Plan at any time and may amend the Plan from time to time in any respect; provided, however, that upon any termination of the Plan, all Shares or Payroll Deductions (to the extent not yet applied to the purchase of Shares) under the Plan shall be distributed to the Participants, provided further, that no amendment to the Plan shall affect the right of any Participant to receive his or her proportionate interest in the Shares or his or her Payroll Deductions (to the extent not yet applied to the purchase of Shares) under the Plan, and provided further that the Company may seek shareholder approval of an amendment to the Plan if such approval is determined to be required by or advisable under the regulations of the Securities and Exchange Commission or the Internal Revenue Service, the rules of any stock exchange or system on which the Shares are listed or other applicable law or regulation.</w:t>
      </w:r>
    </w:p>
    <w:p>
      <w:pPr>
        <w:spacing w:after="0" w:line="180" w:lineRule="exact"/>
        <w:rPr>
          <w:sz w:val="20"/>
          <w:szCs w:val="20"/>
          <w:color w:val="auto"/>
        </w:rPr>
      </w:pPr>
    </w:p>
    <w:p>
      <w:pPr>
        <w:ind w:left="280" w:hanging="272"/>
        <w:spacing w:after="0"/>
        <w:tabs>
          <w:tab w:leader="none" w:pos="2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original effective date of the Plan was December 20, 2000. This amendment and restatement of the Plan is effective on May 19, 2010, except as otherwise specifically provided in the Plan.</w:t>
      </w:r>
    </w:p>
    <w:p>
      <w:pPr>
        <w:spacing w:after="0" w:line="207" w:lineRule="exact"/>
        <w:rPr>
          <w:sz w:val="20"/>
          <w:szCs w:val="20"/>
          <w:color w:val="auto"/>
        </w:rPr>
      </w:pPr>
    </w:p>
    <w:p>
      <w:pPr>
        <w:ind w:left="280" w:hanging="272"/>
        <w:spacing w:after="0"/>
        <w:tabs>
          <w:tab w:leader="none" w:pos="2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Government and Other Regulations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840" w:firstLine="464"/>
        <w:spacing w:after="0" w:line="268" w:lineRule="auto"/>
        <w:tabs>
          <w:tab w:leader="none" w:pos="695"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purchase of Shares under the Plan shall be subject to all applicable laws, rules and regulations, and to such approvals by any governmental agencies as may be required.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45" w:name="page46"/>
    <w:bookmarkEnd w:id="45"/>
    <w:p>
      <w:pPr>
        <w:ind w:right="260" w:firstLine="464"/>
        <w:spacing w:after="0" w:line="306" w:lineRule="auto"/>
        <w:tabs>
          <w:tab w:leader="none" w:pos="705"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Law</w:t>
      </w:r>
      <w:r>
        <w:rPr>
          <w:rFonts w:ascii="Arial" w:cs="Arial" w:eastAsia="Arial" w:hAnsi="Arial"/>
          <w:sz w:val="16"/>
          <w:szCs w:val="16"/>
          <w:color w:val="auto"/>
        </w:rPr>
        <w:t>. The Committee shall have the power to make each Offering under the Plan subject to such conditions as it deems necessary or appropriate to comply with the then-existing requirements of the Securities Act of 1933, as amended, and the Securities Exchange Act of 1934, as amended, including Rule 16b-3 (or any similar rule) promulgated by the Securities and Exchange Commission thereunder.</w:t>
      </w:r>
    </w:p>
    <w:p>
      <w:pPr>
        <w:spacing w:after="0" w:line="181" w:lineRule="exact"/>
        <w:rPr>
          <w:rFonts w:ascii="Arial" w:cs="Arial" w:eastAsia="Arial" w:hAnsi="Arial"/>
          <w:sz w:val="16"/>
          <w:szCs w:val="16"/>
          <w:color w:val="auto"/>
        </w:rPr>
      </w:pPr>
    </w:p>
    <w:p>
      <w:pPr>
        <w:ind w:left="280" w:hanging="272"/>
        <w:spacing w:after="0"/>
        <w:tabs>
          <w:tab w:leader="none" w:pos="2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Non-Alienation</w:t>
      </w:r>
      <w:r>
        <w:rPr>
          <w:rFonts w:ascii="Arial" w:cs="Arial" w:eastAsia="Arial" w:hAnsi="Arial"/>
          <w:sz w:val="18"/>
          <w:szCs w:val="18"/>
          <w:b w:val="1"/>
          <w:bCs w:val="1"/>
          <w:color w:val="auto"/>
        </w:rPr>
        <w:t>.</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No Participant shall be permitted to assign, alienate, sell, transfer, pledge or otherwise encumber his right to purchase Shares under the Plan prior to time that Shares are credited to the Participant’s Brokerage Account. Any attempt at assignment, alienation, sale, transfer, pledge or other encumbrance shall be void and of no effect.</w:t>
      </w:r>
    </w:p>
    <w:p>
      <w:pPr>
        <w:spacing w:after="0" w:line="215" w:lineRule="exact"/>
        <w:rPr>
          <w:sz w:val="20"/>
          <w:szCs w:val="20"/>
          <w:color w:val="auto"/>
        </w:rPr>
      </w:pPr>
    </w:p>
    <w:p>
      <w:pPr>
        <w:ind w:left="280" w:hanging="272"/>
        <w:spacing w:after="0"/>
        <w:tabs>
          <w:tab w:leader="none" w:pos="2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Any notice required or permitted hereunder shall be sufficiently given only if delivered personally, telecopied, or sent by first class mail, postage prepaid, and addressed:</w:t>
      </w:r>
    </w:p>
    <w:p>
      <w:pPr>
        <w:spacing w:after="0" w:line="172"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1701 JFK Boulevard</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Fax: 215-286-7794</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Attention: General Counsel</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 any other address provided pursuant to notice provided by the Committee.</w:t>
      </w:r>
    </w:p>
    <w:p>
      <w:pPr>
        <w:spacing w:after="0" w:line="212"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If to the Participant</w:t>
      </w:r>
      <w:r>
        <w:rPr>
          <w:rFonts w:ascii="Arial" w:cs="Arial" w:eastAsia="Arial" w:hAnsi="Arial"/>
          <w:sz w:val="18"/>
          <w:szCs w:val="18"/>
          <w:color w:val="auto"/>
        </w:rPr>
        <w:t>:</w:t>
      </w:r>
    </w:p>
    <w:p>
      <w:pPr>
        <w:spacing w:after="0" w:line="225" w:lineRule="exact"/>
        <w:rPr>
          <w:sz w:val="20"/>
          <w:szCs w:val="20"/>
          <w:color w:val="auto"/>
        </w:rPr>
      </w:pPr>
    </w:p>
    <w:p>
      <w:pPr>
        <w:ind w:left="1160" w:right="320"/>
        <w:spacing w:after="0" w:line="332" w:lineRule="auto"/>
        <w:rPr>
          <w:sz w:val="20"/>
          <w:szCs w:val="20"/>
          <w:color w:val="auto"/>
        </w:rPr>
      </w:pPr>
      <w:r>
        <w:rPr>
          <w:rFonts w:ascii="Arial" w:cs="Arial" w:eastAsia="Arial" w:hAnsi="Arial"/>
          <w:sz w:val="16"/>
          <w:szCs w:val="16"/>
          <w:color w:val="auto"/>
        </w:rPr>
        <w:t>At the address on file with the Participating Company from time to time, or to such other address as either party may hereafter designate in writing (or via such other means of communication permitted by the Committee) by notice similarly given by one party to the other.</w:t>
      </w:r>
    </w:p>
    <w:p>
      <w:pPr>
        <w:spacing w:after="0" w:line="160" w:lineRule="exact"/>
        <w:rPr>
          <w:sz w:val="20"/>
          <w:szCs w:val="20"/>
          <w:color w:val="auto"/>
        </w:rPr>
      </w:pPr>
    </w:p>
    <w:p>
      <w:pPr>
        <w:ind w:left="280" w:hanging="272"/>
        <w:spacing w:after="0"/>
        <w:tabs>
          <w:tab w:leader="none" w:pos="2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shall be binding upon and inure to the benefit of any successors or assigns of the Company.</w:t>
      </w:r>
    </w:p>
    <w:p>
      <w:pPr>
        <w:spacing w:after="0" w:line="246" w:lineRule="exact"/>
        <w:rPr>
          <w:sz w:val="20"/>
          <w:szCs w:val="20"/>
          <w:color w:val="auto"/>
        </w:rPr>
      </w:pPr>
    </w:p>
    <w:p>
      <w:pPr>
        <w:ind w:left="280" w:hanging="272"/>
        <w:spacing w:after="0"/>
        <w:tabs>
          <w:tab w:leader="none" w:pos="2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If any part of this Plan shall be determined to be invalid or void in any respect, such determination shall not affect, impair, invalidate or nullify the remaining provisions of this Plan which shall continue in full force and effect.</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280" w:right="419" w:bottom="1440" w:gutter="0" w:footer="0" w:header="0"/>
        </w:sectPr>
      </w:pPr>
    </w:p>
    <w:bookmarkStart w:id="46" w:name="page47"/>
    <w:bookmarkEnd w:id="46"/>
    <w:p>
      <w:pPr>
        <w:ind w:left="280" w:hanging="272"/>
        <w:spacing w:after="0"/>
        <w:tabs>
          <w:tab w:leader="none" w:pos="2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Acceptance</w:t>
      </w:r>
      <w:r>
        <w:rPr>
          <w:rFonts w:ascii="Arial" w:cs="Arial" w:eastAsia="Arial" w:hAnsi="Arial"/>
          <w:sz w:val="18"/>
          <w:szCs w:val="18"/>
          <w:b w:val="1"/>
          <w:bCs w:val="1"/>
          <w:color w:val="auto"/>
        </w:rPr>
        <w: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election by any Eligible Employee to participate in this Plan constitutes his or her acceptance of the terms of the Plan and his or her agreement to be bound hereby.</w:t>
      </w:r>
    </w:p>
    <w:p>
      <w:pPr>
        <w:spacing w:after="0" w:line="207" w:lineRule="exact"/>
        <w:rPr>
          <w:sz w:val="20"/>
          <w:szCs w:val="20"/>
          <w:color w:val="auto"/>
        </w:rPr>
      </w:pPr>
    </w:p>
    <w:p>
      <w:pPr>
        <w:ind w:left="280" w:hanging="272"/>
        <w:spacing w:after="0"/>
        <w:tabs>
          <w:tab w:leader="none" w:pos="2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This Plan shall be construed in accordance with the laws of the Commonwealth of Pennsylvania, to the extent not preempted by applicable Federal law.</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Executed as of the 19</w:t>
      </w:r>
      <w:r>
        <w:rPr>
          <w:rFonts w:ascii="Arial" w:cs="Arial" w:eastAsia="Arial" w:hAnsi="Arial"/>
          <w:sz w:val="11"/>
          <w:szCs w:val="11"/>
          <w:color w:val="auto"/>
        </w:rPr>
        <w:t>th</w:t>
      </w:r>
      <w:r>
        <w:rPr>
          <w:rFonts w:ascii="Arial" w:cs="Arial" w:eastAsia="Arial" w:hAnsi="Arial"/>
          <w:sz w:val="18"/>
          <w:szCs w:val="18"/>
          <w:color w:val="auto"/>
        </w:rPr>
        <w:t xml:space="preserve"> day of May, 2010.</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ind w:left="6860"/>
        <w:spacing w:after="0"/>
        <w:tabs>
          <w:tab w:leader="none" w:pos="780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14605</wp:posOffset>
            </wp:positionV>
            <wp:extent cx="22898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32" w:lineRule="exact"/>
        <w:rPr>
          <w:sz w:val="20"/>
          <w:szCs w:val="20"/>
          <w:color w:val="auto"/>
        </w:rPr>
      </w:pPr>
    </w:p>
    <w:p>
      <w:pPr>
        <w:ind w:left="6860"/>
        <w:spacing w:after="0"/>
        <w:tabs>
          <w:tab w:leader="none" w:pos="7800" w:val="left"/>
        </w:tabs>
        <w:rPr>
          <w:sz w:val="20"/>
          <w:szCs w:val="20"/>
          <w:color w:val="auto"/>
        </w:rPr>
      </w:pPr>
      <w:r>
        <w:rPr>
          <w:rFonts w:ascii="Arial" w:cs="Arial" w:eastAsia="Arial" w:hAnsi="Arial"/>
          <w:sz w:val="18"/>
          <w:szCs w:val="18"/>
          <w:b w:val="1"/>
          <w:bCs w:val="1"/>
          <w:color w:val="auto"/>
        </w:rPr>
        <w:t>ATTEST:</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14605</wp:posOffset>
            </wp:positionV>
            <wp:extent cx="22898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7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274" w:right="47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28, 2010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Michael J. Angelakis, certify that:</w:t>
      </w:r>
    </w:p>
    <w:p>
      <w:pPr>
        <w:spacing w:after="0" w:line="77"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28, 2010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2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28, 2010</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Brian L. Roberts, the Chief Executive Officer and Michael J. Angelakis, the Chief Financial Officer of Comcast Corporation,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lowerLetter"/>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lowerLetter"/>
      <w:start w:val="1"/>
    </w:lvl>
  </w:abstractNum>
  <w:abstractNum w:abstractNumId="5">
    <w:nsid w:val="75A2A8D4"/>
    <w:multiLevelType w:val="hybridMultilevel"/>
    <w:lvl w:ilvl="0">
      <w:lvlJc w:val="left"/>
      <w:lvlText w:val="(%1)"/>
      <w:numFmt w:val="lowerLetter"/>
      <w:start w:val="2"/>
    </w:lvl>
  </w:abstractNum>
  <w:abstractNum w:abstractNumId="6">
    <w:nsid w:val="8EDBDAB"/>
    <w:multiLevelType w:val="hybridMultilevel"/>
    <w:lvl w:ilvl="0">
      <w:lvlJc w:val="left"/>
      <w:lvlText w:val="(%1)"/>
      <w:numFmt w:val="lowerLetter"/>
      <w:start w:val="4"/>
    </w:lvl>
    <w:lvl w:ilvl="1">
      <w:lvlJc w:val="left"/>
      <w:lvlText w:val="•"/>
      <w:numFmt w:val="bullet"/>
      <w:start w:val="1"/>
    </w:lvl>
  </w:abstractNum>
  <w:abstractNum w:abstractNumId="7">
    <w:nsid w:val="79838CB2"/>
    <w:multiLevelType w:val="hybridMultilevel"/>
    <w:lvl w:ilvl="0">
      <w:lvlJc w:val="left"/>
      <w:lvlText w:val="(%1)"/>
      <w:numFmt w:val="lowerLetter"/>
      <w:start w:val="10"/>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lowerLetter"/>
      <w:start w:val="1"/>
    </w:lvl>
  </w:abstractNum>
  <w:abstractNum w:abstractNumId="10">
    <w:nsid w:val="189A769B"/>
    <w:multiLevelType w:val="hybridMultilevel"/>
    <w:lvl w:ilvl="0">
      <w:lvlJc w:val="left"/>
      <w:lvlText w:val="(%1)"/>
      <w:numFmt w:val="lowerLetter"/>
      <w:start w:val="1"/>
    </w:lvl>
  </w:abstractNum>
  <w:abstractNum w:abstractNumId="11">
    <w:nsid w:val="54E49EB4"/>
    <w:multiLevelType w:val="hybridMultilevel"/>
    <w:lvl w:ilvl="0">
      <w:lvlJc w:val="left"/>
      <w:lvlText w:val="%1"/>
      <w:numFmt w:val="decimal"/>
      <w:start w:val="31"/>
    </w:lvl>
  </w:abstractNum>
  <w:abstractNum w:abstractNumId="12">
    <w:nsid w:val="71F32454"/>
    <w:multiLevelType w:val="hybridMultilevel"/>
    <w:lvl w:ilvl="0">
      <w:lvlJc w:val="left"/>
      <w:lvlText w:val="%1"/>
      <w:numFmt w:val="decimal"/>
      <w:start w:val="10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2"/>
    </w:lvl>
    <w:lvl w:ilvl="1">
      <w:lvlJc w:val="left"/>
      <w:lvlText w:val="(%2)"/>
      <w:numFmt w:val="lowerLetter"/>
      <w:start w:val="1"/>
    </w:lvl>
  </w:abstractNum>
  <w:abstractNum w:abstractNumId="15">
    <w:nsid w:val="2901D82"/>
    <w:multiLevelType w:val="hybridMultilevel"/>
    <w:lvl w:ilvl="0">
      <w:lvlJc w:val="left"/>
      <w:lvlText w:val="(%1)"/>
      <w:numFmt w:val="lowerLetter"/>
      <w:start w:val="8"/>
    </w:lvl>
    <w:lvl w:ilvl="1">
      <w:lvlJc w:val="left"/>
      <w:lvlText w:val="(%2)"/>
      <w:numFmt w:val="decimal"/>
      <w:start w:val="1"/>
    </w:lvl>
  </w:abstractNum>
  <w:abstractNum w:abstractNumId="16">
    <w:nsid w:val="3A95F874"/>
    <w:multiLevelType w:val="hybridMultilevel"/>
    <w:lvl w:ilvl="0">
      <w:lvlJc w:val="left"/>
      <w:lvlText w:val="(%1)"/>
      <w:numFmt w:val="lowerLetter"/>
      <w:start w:val="17"/>
    </w:lvl>
    <w:lvl w:ilvl="1">
      <w:lvlJc w:val="left"/>
      <w:lvlText w:val="(%2)"/>
      <w:numFmt w:val="decimal"/>
      <w:start w:val="1"/>
    </w:lvl>
  </w:abstractNum>
  <w:abstractNum w:abstractNumId="17">
    <w:nsid w:val="8138641"/>
    <w:multiLevelType w:val="hybridMultilevel"/>
    <w:lvl w:ilvl="0">
      <w:lvlJc w:val="left"/>
      <w:lvlText w:val="(%1)"/>
      <w:numFmt w:val="lowerLetter"/>
      <w:start w:val="27"/>
    </w:lvl>
  </w:abstractNum>
  <w:abstractNum w:abstractNumId="18">
    <w:nsid w:val="1E7FF521"/>
    <w:multiLevelType w:val="hybridMultilevel"/>
    <w:lvl w:ilvl="0">
      <w:lvlJc w:val="left"/>
      <w:lvlText w:val="%1"/>
      <w:numFmt w:val="decimal"/>
      <w:start w:val="1"/>
    </w:lvl>
    <w:lvl w:ilvl="1">
      <w:lvlJc w:val="left"/>
      <w:lvlText w:val="(%2)"/>
      <w:numFmt w:val="lowerLetter"/>
      <w:start w:val="28"/>
    </w:lvl>
    <w:lvl w:ilvl="2">
      <w:lvlJc w:val="left"/>
      <w:lvlText w:val="(%3)"/>
      <w:numFmt w:val="decimal"/>
      <w:start w:val="1"/>
    </w:lvl>
  </w:abstractNum>
  <w:abstractNum w:abstractNumId="19">
    <w:nsid w:val="7C3DBD3D"/>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20">
    <w:nsid w:val="737B8DDC"/>
    <w:multiLevelType w:val="hybridMultilevel"/>
    <w:lvl w:ilvl="0">
      <w:lvlJc w:val="left"/>
      <w:lvlText w:val="%1."/>
      <w:numFmt w:val="decimal"/>
      <w:start w:val="4"/>
    </w:lvl>
  </w:abstractNum>
  <w:abstractNum w:abstractNumId="21">
    <w:nsid w:val="6CEAF087"/>
    <w:multiLevelType w:val="hybridMultilevel"/>
    <w:lvl w:ilvl="0">
      <w:lvlJc w:val="left"/>
      <w:lvlText w:val="%1."/>
      <w:numFmt w:val="decimal"/>
      <w:start w:val="5"/>
    </w:lvl>
    <w:lvl w:ilvl="1">
      <w:lvlJc w:val="left"/>
      <w:lvlText w:val="(%2)"/>
      <w:numFmt w:val="lowerLetter"/>
      <w:start w:val="1"/>
    </w:lvl>
  </w:abstractNum>
  <w:abstractNum w:abstractNumId="22">
    <w:nsid w:val="22221A70"/>
    <w:multiLevelType w:val="hybridMultilevel"/>
    <w:lvl w:ilvl="0">
      <w:lvlJc w:val="left"/>
      <w:lvlText w:val="%1"/>
      <w:numFmt w:val="decimal"/>
      <w:start w:val="1"/>
    </w:lvl>
    <w:lvl w:ilvl="1">
      <w:lvlJc w:val="left"/>
      <w:lvlText w:val="(%2)"/>
      <w:numFmt w:val="lowerLetter"/>
      <w:start w:val="2"/>
    </w:lvl>
  </w:abstractNum>
  <w:abstractNum w:abstractNumId="23">
    <w:nsid w:val="4516DDE9"/>
    <w:multiLevelType w:val="hybridMultilevel"/>
    <w:lvl w:ilvl="0">
      <w:lvlJc w:val="left"/>
      <w:lvlText w:val="%1."/>
      <w:numFmt w:val="decimal"/>
      <w:start w:val="7"/>
    </w:lvl>
    <w:lvl w:ilvl="1">
      <w:lvlJc w:val="left"/>
      <w:lvlText w:val="(%2)"/>
      <w:numFmt w:val="lowerLetter"/>
      <w:start w:val="1"/>
    </w:lvl>
  </w:abstractNum>
  <w:abstractNum w:abstractNumId="24">
    <w:nsid w:val="3006C83E"/>
    <w:multiLevelType w:val="hybridMultilevel"/>
    <w:lvl w:ilvl="0">
      <w:lvlJc w:val="left"/>
      <w:lvlText w:val="%1."/>
      <w:numFmt w:val="decimal"/>
      <w:start w:val="9"/>
    </w:lvl>
    <w:lvl w:ilvl="1">
      <w:lvlJc w:val="left"/>
      <w:lvlText w:val="(%2)"/>
      <w:numFmt w:val="lowerLetter"/>
      <w:start w:val="1"/>
    </w:lvl>
  </w:abstractNum>
  <w:abstractNum w:abstractNumId="25">
    <w:nsid w:val="614FD4A1"/>
    <w:multiLevelType w:val="hybridMultilevel"/>
    <w:lvl w:ilvl="0">
      <w:lvlJc w:val="left"/>
      <w:lvlText w:val="%1."/>
      <w:numFmt w:val="decimal"/>
      <w:start w:val="9"/>
    </w:lvl>
    <w:lvl w:ilvl="1">
      <w:lvlJc w:val="left"/>
      <w:lvlText w:val="(%2)"/>
      <w:numFmt w:val="lowerLetter"/>
      <w:start w:val="2"/>
    </w:lvl>
  </w:abstractNum>
  <w:abstractNum w:abstractNumId="26">
    <w:nsid w:val="419AC241"/>
    <w:multiLevelType w:val="hybridMultilevel"/>
    <w:lvl w:ilvl="0">
      <w:lvlJc w:val="left"/>
      <w:lvlText w:val="%1."/>
      <w:numFmt w:val="decimal"/>
      <w:start w:val="11"/>
    </w:lvl>
  </w:abstractNum>
  <w:abstractNum w:abstractNumId="27">
    <w:nsid w:val="5577F8E1"/>
    <w:multiLevelType w:val="hybridMultilevel"/>
    <w:lvl w:ilvl="0">
      <w:lvlJc w:val="left"/>
      <w:lvlText w:val="%1."/>
      <w:numFmt w:val="decimal"/>
      <w:start w:val="12"/>
    </w:lvl>
  </w:abstractNum>
  <w:abstractNum w:abstractNumId="28">
    <w:nsid w:val="440BADFC"/>
    <w:multiLevelType w:val="hybridMultilevel"/>
    <w:lvl w:ilvl="0">
      <w:lvlJc w:val="left"/>
      <w:lvlText w:val="%1."/>
      <w:numFmt w:val="decimal"/>
      <w:start w:val="13"/>
    </w:lvl>
  </w:abstractNum>
  <w:abstractNum w:abstractNumId="29">
    <w:nsid w:val="5072367"/>
    <w:multiLevelType w:val="hybridMultilevel"/>
    <w:lvl w:ilvl="0">
      <w:lvlJc w:val="left"/>
      <w:lvlText w:val="%1."/>
      <w:numFmt w:val="decimal"/>
      <w:start w:val="14"/>
    </w:lvl>
  </w:abstractNum>
  <w:abstractNum w:abstractNumId="30">
    <w:nsid w:val="3804823E"/>
    <w:multiLevelType w:val="hybridMultilevel"/>
    <w:lvl w:ilvl="0">
      <w:lvlJc w:val="left"/>
      <w:lvlText w:val="%1."/>
      <w:numFmt w:val="decimal"/>
      <w:start w:val="15"/>
    </w:lvl>
  </w:abstractNum>
  <w:abstractNum w:abstractNumId="31">
    <w:nsid w:val="77465F01"/>
    <w:multiLevelType w:val="hybridMultilevel"/>
    <w:lvl w:ilvl="0">
      <w:lvlJc w:val="left"/>
      <w:lvlText w:val="%1."/>
      <w:numFmt w:val="decimal"/>
      <w:start w:val="16"/>
    </w:lvl>
    <w:lvl w:ilvl="1">
      <w:lvlJc w:val="left"/>
      <w:lvlText w:val="(%2)"/>
      <w:numFmt w:val="lowerLetter"/>
      <w:start w:val="1"/>
    </w:lvl>
  </w:abstractNum>
  <w:abstractNum w:abstractNumId="32">
    <w:nsid w:val="7724C67E"/>
    <w:multiLevelType w:val="hybridMultilevel"/>
    <w:lvl w:ilvl="0">
      <w:lvlJc w:val="left"/>
      <w:lvlText w:val="%1"/>
      <w:numFmt w:val="decimal"/>
      <w:start w:val="1"/>
    </w:lvl>
    <w:lvl w:ilvl="1">
      <w:lvlJc w:val="left"/>
      <w:lvlText w:val="(%2)"/>
      <w:numFmt w:val="lowerLetter"/>
      <w:start w:val="2"/>
    </w:lvl>
  </w:abstractNum>
  <w:abstractNum w:abstractNumId="33">
    <w:nsid w:val="5C482A97"/>
    <w:multiLevelType w:val="hybridMultilevel"/>
    <w:lvl w:ilvl="0">
      <w:lvlJc w:val="left"/>
      <w:lvlText w:val="%1."/>
      <w:numFmt w:val="decimal"/>
      <w:start w:val="17"/>
    </w:lvl>
    <w:lvl w:ilvl="1">
      <w:lvlJc w:val="left"/>
      <w:lvlText w:val="%2"/>
      <w:numFmt w:val="lowerLetter"/>
      <w:start w:val="1"/>
    </w:lvl>
  </w:abstractNum>
  <w:abstractNum w:abstractNumId="34">
    <w:nsid w:val="2463B9EA"/>
    <w:multiLevelType w:val="hybridMultilevel"/>
    <w:lvl w:ilvl="0">
      <w:lvlJc w:val="left"/>
      <w:lvlText w:val="%1."/>
      <w:numFmt w:val="decimal"/>
      <w:start w:val="18"/>
    </w:lvl>
  </w:abstractNum>
  <w:abstractNum w:abstractNumId="35">
    <w:nsid w:val="5E884ADC"/>
    <w:multiLevelType w:val="hybridMultilevel"/>
    <w:lvl w:ilvl="0">
      <w:lvlJc w:val="left"/>
      <w:lvlText w:val="%1."/>
      <w:numFmt w:val="decimal"/>
      <w:start w:val="19"/>
    </w:lvl>
  </w:abstractNum>
  <w:abstractNum w:abstractNumId="36">
    <w:nsid w:val="51EAD36B"/>
    <w:multiLevelType w:val="hybridMultilevel"/>
    <w:lvl w:ilvl="0">
      <w:lvlJc w:val="left"/>
      <w:lvlText w:val="%1."/>
      <w:numFmt w:val="decimal"/>
      <w:start w:val="20"/>
    </w:lvl>
  </w:abstractNum>
  <w:abstractNum w:abstractNumId="37">
    <w:nsid w:val="2D517796"/>
    <w:multiLevelType w:val="hybridMultilevel"/>
    <w:lvl w:ilvl="0">
      <w:lvlJc w:val="left"/>
      <w:lvlText w:val="%1."/>
      <w:numFmt w:val="decimal"/>
      <w:start w:val="21"/>
    </w:lvl>
  </w:abstractNum>
  <w:abstractNum w:abstractNumId="38">
    <w:nsid w:val="580BD78F"/>
    <w:multiLevelType w:val="hybridMultilevel"/>
    <w:lvl w:ilvl="0">
      <w:lvlJc w:val="left"/>
      <w:lvlText w:val="%1."/>
      <w:numFmt w:val="decimal"/>
      <w:start w:val="22"/>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2019-12-10T21:59:32Z</dcterms:created>
  <dcterms:modified xsi:type="dcterms:W3CDTF">2019-12-10T21:59:32Z</dcterms:modified>
</cp:coreProperties>
</file>